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b/>
          <w:bCs/>
          <w:color w:val="auto"/>
          <w:sz w:val="30"/>
          <w:szCs w:val="30"/>
        </w:rPr>
        <w:id w:val="147465688"/>
        <w15:color w:val="DBDBDB"/>
        <w:docPartObj>
          <w:docPartGallery w:val="Table of Contents"/>
          <w:docPartUnique/>
        </w:docPartObj>
      </w:sdtPr>
      <w:sdtEndPr>
        <w:rPr>
          <w:b/>
          <w:bCs/>
          <w:color w:val="auto"/>
          <w:sz w:val="30"/>
          <w:szCs w:val="30"/>
        </w:rPr>
      </w:sdtEndPr>
      <w:sdtContent>
        <w:p w14:paraId="5C211121">
          <w:pPr>
            <w:spacing w:before="166" w:beforeLines="50" w:after="166" w:afterLines="50"/>
            <w:ind w:firstLine="0" w:firstLineChars="0"/>
            <w:jc w:val="center"/>
            <w:rPr>
              <w:b/>
              <w:bCs/>
              <w:color w:val="auto"/>
              <w:sz w:val="30"/>
              <w:szCs w:val="30"/>
            </w:rPr>
          </w:pPr>
          <w:bookmarkStart w:id="0" w:name="_Toc8158"/>
          <w:r>
            <w:rPr>
              <w:b/>
              <w:bCs/>
              <w:color w:val="auto"/>
              <w:sz w:val="30"/>
              <w:szCs w:val="30"/>
            </w:rPr>
            <w:t>目  录</w:t>
          </w:r>
        </w:p>
        <w:p w14:paraId="66DA3FD4">
          <w:pPr>
            <w:pStyle w:val="17"/>
            <w:tabs>
              <w:tab w:val="right" w:leader="dot" w:pos="8901"/>
            </w:tabs>
            <w:ind w:firstLine="482"/>
            <w:rPr>
              <w:color w:val="auto"/>
            </w:rPr>
          </w:pPr>
          <w:r>
            <w:rPr>
              <w:color w:val="auto"/>
              <w:szCs w:val="24"/>
            </w:rPr>
            <w:fldChar w:fldCharType="begin"/>
          </w:r>
          <w:r>
            <w:rPr>
              <w:color w:val="auto"/>
              <w:szCs w:val="24"/>
            </w:rPr>
            <w:instrText xml:space="preserve">TOC \o "1-2" \h \u </w:instrText>
          </w:r>
          <w:r>
            <w:rPr>
              <w:color w:val="auto"/>
              <w:szCs w:val="24"/>
            </w:rPr>
            <w:fldChar w:fldCharType="separate"/>
          </w:r>
          <w:r>
            <w:rPr>
              <w:color w:val="auto"/>
            </w:rPr>
            <w:fldChar w:fldCharType="begin"/>
          </w:r>
          <w:r>
            <w:rPr>
              <w:color w:val="auto"/>
            </w:rPr>
            <w:instrText xml:space="preserve"> HYPERLINK \l "_Toc8900" </w:instrText>
          </w:r>
          <w:r>
            <w:rPr>
              <w:color w:val="auto"/>
            </w:rPr>
            <w:fldChar w:fldCharType="separate"/>
          </w:r>
          <w:r>
            <w:rPr>
              <w:rFonts w:eastAsiaTheme="minorEastAsia"/>
              <w:color w:val="auto"/>
            </w:rPr>
            <w:t>1总 则</w:t>
          </w:r>
          <w:r>
            <w:rPr>
              <w:color w:val="auto"/>
            </w:rPr>
            <w:tab/>
          </w:r>
          <w:r>
            <w:rPr>
              <w:color w:val="auto"/>
            </w:rPr>
            <w:fldChar w:fldCharType="begin"/>
          </w:r>
          <w:r>
            <w:rPr>
              <w:color w:val="auto"/>
            </w:rPr>
            <w:instrText xml:space="preserve"> PAGEREF _Toc8900 \h </w:instrText>
          </w:r>
          <w:r>
            <w:rPr>
              <w:color w:val="auto"/>
            </w:rPr>
            <w:fldChar w:fldCharType="separate"/>
          </w:r>
          <w:r>
            <w:rPr>
              <w:color w:val="auto"/>
            </w:rPr>
            <w:t>1</w:t>
          </w:r>
          <w:r>
            <w:rPr>
              <w:color w:val="auto"/>
            </w:rPr>
            <w:fldChar w:fldCharType="end"/>
          </w:r>
          <w:r>
            <w:rPr>
              <w:color w:val="auto"/>
            </w:rPr>
            <w:fldChar w:fldCharType="end"/>
          </w:r>
        </w:p>
        <w:p w14:paraId="421EC3DF">
          <w:pPr>
            <w:pStyle w:val="18"/>
            <w:tabs>
              <w:tab w:val="right" w:leader="dot" w:pos="8901"/>
            </w:tabs>
            <w:ind w:left="480" w:firstLine="480"/>
            <w:rPr>
              <w:color w:val="auto"/>
            </w:rPr>
          </w:pPr>
          <w:r>
            <w:rPr>
              <w:color w:val="auto"/>
            </w:rPr>
            <w:fldChar w:fldCharType="begin"/>
          </w:r>
          <w:r>
            <w:rPr>
              <w:color w:val="auto"/>
            </w:rPr>
            <w:instrText xml:space="preserve"> HYPERLINK \l "_Toc22939" </w:instrText>
          </w:r>
          <w:r>
            <w:rPr>
              <w:color w:val="auto"/>
            </w:rPr>
            <w:fldChar w:fldCharType="separate"/>
          </w:r>
          <w:r>
            <w:rPr>
              <w:color w:val="auto"/>
            </w:rPr>
            <w:t>1.1项目来源</w:t>
          </w:r>
          <w:r>
            <w:rPr>
              <w:color w:val="auto"/>
            </w:rPr>
            <w:tab/>
          </w:r>
          <w:r>
            <w:rPr>
              <w:color w:val="auto"/>
            </w:rPr>
            <w:fldChar w:fldCharType="begin"/>
          </w:r>
          <w:r>
            <w:rPr>
              <w:color w:val="auto"/>
            </w:rPr>
            <w:instrText xml:space="preserve"> PAGEREF _Toc22939 \h </w:instrText>
          </w:r>
          <w:r>
            <w:rPr>
              <w:color w:val="auto"/>
            </w:rPr>
            <w:fldChar w:fldCharType="separate"/>
          </w:r>
          <w:r>
            <w:rPr>
              <w:color w:val="auto"/>
            </w:rPr>
            <w:t>1</w:t>
          </w:r>
          <w:r>
            <w:rPr>
              <w:color w:val="auto"/>
            </w:rPr>
            <w:fldChar w:fldCharType="end"/>
          </w:r>
          <w:r>
            <w:rPr>
              <w:color w:val="auto"/>
            </w:rPr>
            <w:fldChar w:fldCharType="end"/>
          </w:r>
        </w:p>
        <w:p w14:paraId="371FDB7A">
          <w:pPr>
            <w:pStyle w:val="18"/>
            <w:tabs>
              <w:tab w:val="right" w:leader="dot" w:pos="8901"/>
            </w:tabs>
            <w:ind w:left="480" w:firstLine="480"/>
            <w:rPr>
              <w:color w:val="auto"/>
            </w:rPr>
          </w:pPr>
          <w:r>
            <w:rPr>
              <w:color w:val="auto"/>
            </w:rPr>
            <w:fldChar w:fldCharType="begin"/>
          </w:r>
          <w:r>
            <w:rPr>
              <w:color w:val="auto"/>
            </w:rPr>
            <w:instrText xml:space="preserve"> HYPERLINK \l "_Toc12289" </w:instrText>
          </w:r>
          <w:r>
            <w:rPr>
              <w:color w:val="auto"/>
            </w:rPr>
            <w:fldChar w:fldCharType="separate"/>
          </w:r>
          <w:r>
            <w:rPr>
              <w:color w:val="auto"/>
            </w:rPr>
            <w:t>1.2评估目的、原则和任务</w:t>
          </w:r>
          <w:r>
            <w:rPr>
              <w:color w:val="auto"/>
            </w:rPr>
            <w:tab/>
          </w:r>
          <w:r>
            <w:rPr>
              <w:color w:val="auto"/>
            </w:rPr>
            <w:fldChar w:fldCharType="begin"/>
          </w:r>
          <w:r>
            <w:rPr>
              <w:color w:val="auto"/>
            </w:rPr>
            <w:instrText xml:space="preserve"> PAGEREF _Toc12289 \h </w:instrText>
          </w:r>
          <w:r>
            <w:rPr>
              <w:color w:val="auto"/>
            </w:rPr>
            <w:fldChar w:fldCharType="separate"/>
          </w:r>
          <w:r>
            <w:rPr>
              <w:color w:val="auto"/>
            </w:rPr>
            <w:t>3</w:t>
          </w:r>
          <w:r>
            <w:rPr>
              <w:color w:val="auto"/>
            </w:rPr>
            <w:fldChar w:fldCharType="end"/>
          </w:r>
          <w:r>
            <w:rPr>
              <w:color w:val="auto"/>
            </w:rPr>
            <w:fldChar w:fldCharType="end"/>
          </w:r>
        </w:p>
        <w:p w14:paraId="0B8A6322">
          <w:pPr>
            <w:pStyle w:val="18"/>
            <w:tabs>
              <w:tab w:val="right" w:leader="dot" w:pos="8901"/>
            </w:tabs>
            <w:ind w:left="480" w:firstLine="480"/>
            <w:rPr>
              <w:color w:val="auto"/>
            </w:rPr>
          </w:pPr>
          <w:r>
            <w:rPr>
              <w:color w:val="auto"/>
            </w:rPr>
            <w:fldChar w:fldCharType="begin"/>
          </w:r>
          <w:r>
            <w:rPr>
              <w:color w:val="auto"/>
            </w:rPr>
            <w:instrText xml:space="preserve"> HYPERLINK \l "_Toc6209" </w:instrText>
          </w:r>
          <w:r>
            <w:rPr>
              <w:color w:val="auto"/>
            </w:rPr>
            <w:fldChar w:fldCharType="separate"/>
          </w:r>
          <w:r>
            <w:rPr>
              <w:color w:val="auto"/>
            </w:rPr>
            <w:t>1.3编制依据</w:t>
          </w:r>
          <w:r>
            <w:rPr>
              <w:color w:val="auto"/>
            </w:rPr>
            <w:tab/>
          </w:r>
          <w:r>
            <w:rPr>
              <w:color w:val="auto"/>
            </w:rPr>
            <w:fldChar w:fldCharType="begin"/>
          </w:r>
          <w:r>
            <w:rPr>
              <w:color w:val="auto"/>
            </w:rPr>
            <w:instrText xml:space="preserve"> PAGEREF _Toc6209 \h </w:instrText>
          </w:r>
          <w:r>
            <w:rPr>
              <w:color w:val="auto"/>
            </w:rPr>
            <w:fldChar w:fldCharType="separate"/>
          </w:r>
          <w:r>
            <w:rPr>
              <w:color w:val="auto"/>
            </w:rPr>
            <w:t>4</w:t>
          </w:r>
          <w:r>
            <w:rPr>
              <w:color w:val="auto"/>
            </w:rPr>
            <w:fldChar w:fldCharType="end"/>
          </w:r>
          <w:r>
            <w:rPr>
              <w:color w:val="auto"/>
            </w:rPr>
            <w:fldChar w:fldCharType="end"/>
          </w:r>
        </w:p>
        <w:p w14:paraId="4C5A0259">
          <w:pPr>
            <w:pStyle w:val="18"/>
            <w:tabs>
              <w:tab w:val="right" w:leader="dot" w:pos="8901"/>
            </w:tabs>
            <w:ind w:left="480" w:firstLine="480"/>
            <w:rPr>
              <w:color w:val="auto"/>
            </w:rPr>
          </w:pPr>
          <w:r>
            <w:rPr>
              <w:color w:val="auto"/>
            </w:rPr>
            <w:fldChar w:fldCharType="begin"/>
          </w:r>
          <w:r>
            <w:rPr>
              <w:color w:val="auto"/>
            </w:rPr>
            <w:instrText xml:space="preserve"> HYPERLINK \l "_Toc18581" </w:instrText>
          </w:r>
          <w:r>
            <w:rPr>
              <w:color w:val="auto"/>
            </w:rPr>
            <w:fldChar w:fldCharType="separate"/>
          </w:r>
          <w:r>
            <w:rPr>
              <w:color w:val="auto"/>
            </w:rPr>
            <w:t>1.4评估范</w:t>
          </w:r>
          <w:bookmarkStart w:id="101" w:name="_GoBack"/>
          <w:bookmarkEnd w:id="101"/>
          <w:r>
            <w:rPr>
              <w:color w:val="auto"/>
            </w:rPr>
            <w:t>围</w:t>
          </w:r>
          <w:r>
            <w:rPr>
              <w:color w:val="auto"/>
            </w:rPr>
            <w:tab/>
          </w:r>
          <w:r>
            <w:rPr>
              <w:color w:val="auto"/>
            </w:rPr>
            <w:fldChar w:fldCharType="begin"/>
          </w:r>
          <w:r>
            <w:rPr>
              <w:color w:val="auto"/>
            </w:rPr>
            <w:instrText xml:space="preserve"> PAGEREF _Toc18581 \h </w:instrText>
          </w:r>
          <w:r>
            <w:rPr>
              <w:color w:val="auto"/>
            </w:rPr>
            <w:fldChar w:fldCharType="separate"/>
          </w:r>
          <w:r>
            <w:rPr>
              <w:color w:val="auto"/>
            </w:rPr>
            <w:t>8</w:t>
          </w:r>
          <w:r>
            <w:rPr>
              <w:color w:val="auto"/>
            </w:rPr>
            <w:fldChar w:fldCharType="end"/>
          </w:r>
          <w:r>
            <w:rPr>
              <w:color w:val="auto"/>
            </w:rPr>
            <w:fldChar w:fldCharType="end"/>
          </w:r>
        </w:p>
        <w:p w14:paraId="08B4456C">
          <w:pPr>
            <w:pStyle w:val="18"/>
            <w:tabs>
              <w:tab w:val="right" w:leader="dot" w:pos="8901"/>
            </w:tabs>
            <w:ind w:left="480" w:firstLine="480"/>
            <w:rPr>
              <w:color w:val="auto"/>
            </w:rPr>
          </w:pPr>
          <w:r>
            <w:rPr>
              <w:color w:val="auto"/>
            </w:rPr>
            <w:fldChar w:fldCharType="begin"/>
          </w:r>
          <w:r>
            <w:rPr>
              <w:color w:val="auto"/>
            </w:rPr>
            <w:instrText xml:space="preserve"> HYPERLINK \l "_Toc14863" </w:instrText>
          </w:r>
          <w:r>
            <w:rPr>
              <w:color w:val="auto"/>
            </w:rPr>
            <w:fldChar w:fldCharType="separate"/>
          </w:r>
          <w:r>
            <w:rPr>
              <w:color w:val="auto"/>
            </w:rPr>
            <w:t>1.5水平年</w:t>
          </w:r>
          <w:r>
            <w:rPr>
              <w:color w:val="auto"/>
            </w:rPr>
            <w:tab/>
          </w:r>
          <w:r>
            <w:rPr>
              <w:color w:val="auto"/>
            </w:rPr>
            <w:fldChar w:fldCharType="begin"/>
          </w:r>
          <w:r>
            <w:rPr>
              <w:color w:val="auto"/>
            </w:rPr>
            <w:instrText xml:space="preserve"> PAGEREF _Toc14863 \h </w:instrText>
          </w:r>
          <w:r>
            <w:rPr>
              <w:color w:val="auto"/>
            </w:rPr>
            <w:fldChar w:fldCharType="separate"/>
          </w:r>
          <w:r>
            <w:rPr>
              <w:color w:val="auto"/>
            </w:rPr>
            <w:t>11</w:t>
          </w:r>
          <w:r>
            <w:rPr>
              <w:color w:val="auto"/>
            </w:rPr>
            <w:fldChar w:fldCharType="end"/>
          </w:r>
          <w:r>
            <w:rPr>
              <w:color w:val="auto"/>
            </w:rPr>
            <w:fldChar w:fldCharType="end"/>
          </w:r>
        </w:p>
        <w:p w14:paraId="39C9E7E8">
          <w:pPr>
            <w:pStyle w:val="18"/>
            <w:tabs>
              <w:tab w:val="right" w:leader="dot" w:pos="8901"/>
            </w:tabs>
            <w:ind w:left="480" w:firstLine="480"/>
            <w:rPr>
              <w:color w:val="auto"/>
            </w:rPr>
          </w:pPr>
          <w:r>
            <w:rPr>
              <w:color w:val="auto"/>
            </w:rPr>
            <w:fldChar w:fldCharType="begin"/>
          </w:r>
          <w:r>
            <w:rPr>
              <w:color w:val="auto"/>
            </w:rPr>
            <w:instrText xml:space="preserve"> HYPERLINK \l "_Toc25907" </w:instrText>
          </w:r>
          <w:r>
            <w:rPr>
              <w:color w:val="auto"/>
            </w:rPr>
            <w:fldChar w:fldCharType="separate"/>
          </w:r>
          <w:r>
            <w:rPr>
              <w:color w:val="auto"/>
            </w:rPr>
            <w:t>1.6论证委托书、委托单位与承担单位</w:t>
          </w:r>
          <w:r>
            <w:rPr>
              <w:color w:val="auto"/>
            </w:rPr>
            <w:tab/>
          </w:r>
          <w:r>
            <w:rPr>
              <w:color w:val="auto"/>
            </w:rPr>
            <w:fldChar w:fldCharType="begin"/>
          </w:r>
          <w:r>
            <w:rPr>
              <w:color w:val="auto"/>
            </w:rPr>
            <w:instrText xml:space="preserve"> PAGEREF _Toc25907 \h </w:instrText>
          </w:r>
          <w:r>
            <w:rPr>
              <w:color w:val="auto"/>
            </w:rPr>
            <w:fldChar w:fldCharType="separate"/>
          </w:r>
          <w:r>
            <w:rPr>
              <w:color w:val="auto"/>
            </w:rPr>
            <w:t>11</w:t>
          </w:r>
          <w:r>
            <w:rPr>
              <w:color w:val="auto"/>
            </w:rPr>
            <w:fldChar w:fldCharType="end"/>
          </w:r>
          <w:r>
            <w:rPr>
              <w:color w:val="auto"/>
            </w:rPr>
            <w:fldChar w:fldCharType="end"/>
          </w:r>
        </w:p>
        <w:p w14:paraId="264DF0EC">
          <w:pPr>
            <w:pStyle w:val="17"/>
            <w:tabs>
              <w:tab w:val="right" w:leader="dot" w:pos="8901"/>
            </w:tabs>
            <w:ind w:firstLine="482"/>
            <w:rPr>
              <w:color w:val="auto"/>
            </w:rPr>
          </w:pPr>
          <w:r>
            <w:rPr>
              <w:color w:val="auto"/>
            </w:rPr>
            <w:fldChar w:fldCharType="begin"/>
          </w:r>
          <w:r>
            <w:rPr>
              <w:color w:val="auto"/>
            </w:rPr>
            <w:instrText xml:space="preserve"> HYPERLINK \l "_Toc4164" </w:instrText>
          </w:r>
          <w:r>
            <w:rPr>
              <w:color w:val="auto"/>
            </w:rPr>
            <w:fldChar w:fldCharType="separate"/>
          </w:r>
          <w:r>
            <w:rPr>
              <w:color w:val="auto"/>
            </w:rPr>
            <w:t>2区域概况</w:t>
          </w:r>
          <w:r>
            <w:rPr>
              <w:color w:val="auto"/>
            </w:rPr>
            <w:tab/>
          </w:r>
          <w:r>
            <w:rPr>
              <w:color w:val="auto"/>
            </w:rPr>
            <w:fldChar w:fldCharType="begin"/>
          </w:r>
          <w:r>
            <w:rPr>
              <w:color w:val="auto"/>
            </w:rPr>
            <w:instrText xml:space="preserve"> PAGEREF _Toc4164 \h </w:instrText>
          </w:r>
          <w:r>
            <w:rPr>
              <w:color w:val="auto"/>
            </w:rPr>
            <w:fldChar w:fldCharType="separate"/>
          </w:r>
          <w:r>
            <w:rPr>
              <w:color w:val="auto"/>
            </w:rPr>
            <w:t>12</w:t>
          </w:r>
          <w:r>
            <w:rPr>
              <w:color w:val="auto"/>
            </w:rPr>
            <w:fldChar w:fldCharType="end"/>
          </w:r>
          <w:r>
            <w:rPr>
              <w:color w:val="auto"/>
            </w:rPr>
            <w:fldChar w:fldCharType="end"/>
          </w:r>
        </w:p>
        <w:p w14:paraId="1CF4259F">
          <w:pPr>
            <w:pStyle w:val="18"/>
            <w:tabs>
              <w:tab w:val="right" w:leader="dot" w:pos="8901"/>
            </w:tabs>
            <w:ind w:left="480" w:firstLine="480"/>
            <w:rPr>
              <w:color w:val="auto"/>
            </w:rPr>
          </w:pPr>
          <w:r>
            <w:rPr>
              <w:color w:val="auto"/>
            </w:rPr>
            <w:fldChar w:fldCharType="begin"/>
          </w:r>
          <w:r>
            <w:rPr>
              <w:color w:val="auto"/>
            </w:rPr>
            <w:instrText xml:space="preserve"> HYPERLINK \l "_Toc18442" </w:instrText>
          </w:r>
          <w:r>
            <w:rPr>
              <w:color w:val="auto"/>
            </w:rPr>
            <w:fldChar w:fldCharType="separate"/>
          </w:r>
          <w:r>
            <w:rPr>
              <w:color w:val="auto"/>
            </w:rPr>
            <w:t>2.1区域规划背景</w:t>
          </w:r>
          <w:r>
            <w:rPr>
              <w:color w:val="auto"/>
            </w:rPr>
            <w:tab/>
          </w:r>
          <w:r>
            <w:rPr>
              <w:color w:val="auto"/>
            </w:rPr>
            <w:fldChar w:fldCharType="begin"/>
          </w:r>
          <w:r>
            <w:rPr>
              <w:color w:val="auto"/>
            </w:rPr>
            <w:instrText xml:space="preserve"> PAGEREF _Toc18442 \h </w:instrText>
          </w:r>
          <w:r>
            <w:rPr>
              <w:color w:val="auto"/>
            </w:rPr>
            <w:fldChar w:fldCharType="separate"/>
          </w:r>
          <w:r>
            <w:rPr>
              <w:color w:val="auto"/>
            </w:rPr>
            <w:t>12</w:t>
          </w:r>
          <w:r>
            <w:rPr>
              <w:color w:val="auto"/>
            </w:rPr>
            <w:fldChar w:fldCharType="end"/>
          </w:r>
          <w:r>
            <w:rPr>
              <w:color w:val="auto"/>
            </w:rPr>
            <w:fldChar w:fldCharType="end"/>
          </w:r>
        </w:p>
        <w:p w14:paraId="38B1B057">
          <w:pPr>
            <w:pStyle w:val="18"/>
            <w:tabs>
              <w:tab w:val="right" w:leader="dot" w:pos="8901"/>
            </w:tabs>
            <w:ind w:left="480" w:firstLine="480"/>
            <w:rPr>
              <w:color w:val="auto"/>
            </w:rPr>
          </w:pPr>
          <w:r>
            <w:rPr>
              <w:color w:val="auto"/>
            </w:rPr>
            <w:fldChar w:fldCharType="begin"/>
          </w:r>
          <w:r>
            <w:rPr>
              <w:color w:val="auto"/>
            </w:rPr>
            <w:instrText xml:space="preserve"> HYPERLINK \l "_Toc31356" </w:instrText>
          </w:r>
          <w:r>
            <w:rPr>
              <w:color w:val="auto"/>
            </w:rPr>
            <w:fldChar w:fldCharType="separate"/>
          </w:r>
          <w:r>
            <w:rPr>
              <w:color w:val="auto"/>
            </w:rPr>
            <w:t>2.2区域基本情况</w:t>
          </w:r>
          <w:r>
            <w:rPr>
              <w:color w:val="auto"/>
            </w:rPr>
            <w:tab/>
          </w:r>
          <w:r>
            <w:rPr>
              <w:color w:val="auto"/>
            </w:rPr>
            <w:fldChar w:fldCharType="begin"/>
          </w:r>
          <w:r>
            <w:rPr>
              <w:color w:val="auto"/>
            </w:rPr>
            <w:instrText xml:space="preserve"> PAGEREF _Toc31356 \h </w:instrText>
          </w:r>
          <w:r>
            <w:rPr>
              <w:color w:val="auto"/>
            </w:rPr>
            <w:fldChar w:fldCharType="separate"/>
          </w:r>
          <w:r>
            <w:rPr>
              <w:color w:val="auto"/>
            </w:rPr>
            <w:t>19</w:t>
          </w:r>
          <w:r>
            <w:rPr>
              <w:color w:val="auto"/>
            </w:rPr>
            <w:fldChar w:fldCharType="end"/>
          </w:r>
          <w:r>
            <w:rPr>
              <w:color w:val="auto"/>
            </w:rPr>
            <w:fldChar w:fldCharType="end"/>
          </w:r>
        </w:p>
        <w:p w14:paraId="2C257A1E">
          <w:pPr>
            <w:pStyle w:val="18"/>
            <w:tabs>
              <w:tab w:val="right" w:leader="dot" w:pos="8901"/>
            </w:tabs>
            <w:ind w:left="480" w:firstLine="480"/>
            <w:rPr>
              <w:color w:val="auto"/>
            </w:rPr>
          </w:pPr>
          <w:r>
            <w:rPr>
              <w:color w:val="auto"/>
            </w:rPr>
            <w:fldChar w:fldCharType="begin"/>
          </w:r>
          <w:r>
            <w:rPr>
              <w:color w:val="auto"/>
            </w:rPr>
            <w:instrText xml:space="preserve"> HYPERLINK \l "_Toc1994" </w:instrText>
          </w:r>
          <w:r>
            <w:rPr>
              <w:color w:val="auto"/>
            </w:rPr>
            <w:fldChar w:fldCharType="separate"/>
          </w:r>
          <w:r>
            <w:rPr>
              <w:color w:val="auto"/>
            </w:rPr>
            <w:t>2.3区域产业入住情况及布局</w:t>
          </w:r>
          <w:r>
            <w:rPr>
              <w:color w:val="auto"/>
            </w:rPr>
            <w:tab/>
          </w:r>
          <w:r>
            <w:rPr>
              <w:color w:val="auto"/>
            </w:rPr>
            <w:fldChar w:fldCharType="begin"/>
          </w:r>
          <w:r>
            <w:rPr>
              <w:color w:val="auto"/>
            </w:rPr>
            <w:instrText xml:space="preserve"> PAGEREF _Toc1994 \h </w:instrText>
          </w:r>
          <w:r>
            <w:rPr>
              <w:color w:val="auto"/>
            </w:rPr>
            <w:fldChar w:fldCharType="separate"/>
          </w:r>
          <w:r>
            <w:rPr>
              <w:color w:val="auto"/>
            </w:rPr>
            <w:t>25</w:t>
          </w:r>
          <w:r>
            <w:rPr>
              <w:color w:val="auto"/>
            </w:rPr>
            <w:fldChar w:fldCharType="end"/>
          </w:r>
          <w:r>
            <w:rPr>
              <w:color w:val="auto"/>
            </w:rPr>
            <w:fldChar w:fldCharType="end"/>
          </w:r>
        </w:p>
        <w:p w14:paraId="6F265A7F">
          <w:pPr>
            <w:pStyle w:val="18"/>
            <w:tabs>
              <w:tab w:val="right" w:leader="dot" w:pos="8901"/>
            </w:tabs>
            <w:ind w:left="480" w:firstLine="480"/>
            <w:rPr>
              <w:color w:val="auto"/>
            </w:rPr>
          </w:pPr>
          <w:r>
            <w:rPr>
              <w:color w:val="auto"/>
            </w:rPr>
            <w:fldChar w:fldCharType="begin"/>
          </w:r>
          <w:r>
            <w:rPr>
              <w:color w:val="auto"/>
            </w:rPr>
            <w:instrText xml:space="preserve"> HYPERLINK \l "_Toc7202" </w:instrText>
          </w:r>
          <w:r>
            <w:rPr>
              <w:color w:val="auto"/>
            </w:rPr>
            <w:fldChar w:fldCharType="separate"/>
          </w:r>
          <w:r>
            <w:rPr>
              <w:color w:val="auto"/>
            </w:rPr>
            <w:t>2.4区域现状供、退水方案</w:t>
          </w:r>
          <w:r>
            <w:rPr>
              <w:color w:val="auto"/>
            </w:rPr>
            <w:tab/>
          </w:r>
          <w:r>
            <w:rPr>
              <w:color w:val="auto"/>
            </w:rPr>
            <w:fldChar w:fldCharType="begin"/>
          </w:r>
          <w:r>
            <w:rPr>
              <w:color w:val="auto"/>
            </w:rPr>
            <w:instrText xml:space="preserve"> PAGEREF _Toc7202 \h </w:instrText>
          </w:r>
          <w:r>
            <w:rPr>
              <w:color w:val="auto"/>
            </w:rPr>
            <w:fldChar w:fldCharType="separate"/>
          </w:r>
          <w:r>
            <w:rPr>
              <w:color w:val="auto"/>
            </w:rPr>
            <w:t>41</w:t>
          </w:r>
          <w:r>
            <w:rPr>
              <w:color w:val="auto"/>
            </w:rPr>
            <w:fldChar w:fldCharType="end"/>
          </w:r>
          <w:r>
            <w:rPr>
              <w:color w:val="auto"/>
            </w:rPr>
            <w:fldChar w:fldCharType="end"/>
          </w:r>
        </w:p>
        <w:p w14:paraId="3104CAD7">
          <w:pPr>
            <w:pStyle w:val="17"/>
            <w:tabs>
              <w:tab w:val="right" w:leader="dot" w:pos="8901"/>
            </w:tabs>
            <w:ind w:firstLine="482"/>
            <w:rPr>
              <w:color w:val="auto"/>
            </w:rPr>
          </w:pPr>
          <w:r>
            <w:rPr>
              <w:color w:val="auto"/>
            </w:rPr>
            <w:fldChar w:fldCharType="begin"/>
          </w:r>
          <w:r>
            <w:rPr>
              <w:color w:val="auto"/>
            </w:rPr>
            <w:instrText xml:space="preserve"> HYPERLINK \l "_Toc27587" </w:instrText>
          </w:r>
          <w:r>
            <w:rPr>
              <w:color w:val="auto"/>
            </w:rPr>
            <w:fldChar w:fldCharType="separate"/>
          </w:r>
          <w:r>
            <w:rPr>
              <w:color w:val="auto"/>
            </w:rPr>
            <w:t>3区域水资源条件分析</w:t>
          </w:r>
          <w:r>
            <w:rPr>
              <w:color w:val="auto"/>
            </w:rPr>
            <w:tab/>
          </w:r>
          <w:r>
            <w:rPr>
              <w:color w:val="auto"/>
            </w:rPr>
            <w:fldChar w:fldCharType="begin"/>
          </w:r>
          <w:r>
            <w:rPr>
              <w:color w:val="auto"/>
            </w:rPr>
            <w:instrText xml:space="preserve"> PAGEREF _Toc27587 \h </w:instrText>
          </w:r>
          <w:r>
            <w:rPr>
              <w:color w:val="auto"/>
            </w:rPr>
            <w:fldChar w:fldCharType="separate"/>
          </w:r>
          <w:r>
            <w:rPr>
              <w:color w:val="auto"/>
            </w:rPr>
            <w:t>43</w:t>
          </w:r>
          <w:r>
            <w:rPr>
              <w:color w:val="auto"/>
            </w:rPr>
            <w:fldChar w:fldCharType="end"/>
          </w:r>
          <w:r>
            <w:rPr>
              <w:color w:val="auto"/>
            </w:rPr>
            <w:fldChar w:fldCharType="end"/>
          </w:r>
        </w:p>
        <w:p w14:paraId="71502DD3">
          <w:pPr>
            <w:pStyle w:val="18"/>
            <w:tabs>
              <w:tab w:val="right" w:leader="dot" w:pos="8901"/>
            </w:tabs>
            <w:ind w:left="480" w:firstLine="480"/>
            <w:rPr>
              <w:color w:val="auto"/>
            </w:rPr>
          </w:pPr>
          <w:r>
            <w:rPr>
              <w:color w:val="auto"/>
            </w:rPr>
            <w:fldChar w:fldCharType="begin"/>
          </w:r>
          <w:r>
            <w:rPr>
              <w:color w:val="auto"/>
            </w:rPr>
            <w:instrText xml:space="preserve"> HYPERLINK \l "_Toc21136" </w:instrText>
          </w:r>
          <w:r>
            <w:rPr>
              <w:color w:val="auto"/>
            </w:rPr>
            <w:fldChar w:fldCharType="separate"/>
          </w:r>
          <w:r>
            <w:rPr>
              <w:color w:val="auto"/>
            </w:rPr>
            <w:t>3.1水资源状况</w:t>
          </w:r>
          <w:r>
            <w:rPr>
              <w:color w:val="auto"/>
            </w:rPr>
            <w:tab/>
          </w:r>
          <w:r>
            <w:rPr>
              <w:color w:val="auto"/>
            </w:rPr>
            <w:fldChar w:fldCharType="begin"/>
          </w:r>
          <w:r>
            <w:rPr>
              <w:color w:val="auto"/>
            </w:rPr>
            <w:instrText xml:space="preserve"> PAGEREF _Toc21136 \h </w:instrText>
          </w:r>
          <w:r>
            <w:rPr>
              <w:color w:val="auto"/>
            </w:rPr>
            <w:fldChar w:fldCharType="separate"/>
          </w:r>
          <w:r>
            <w:rPr>
              <w:color w:val="auto"/>
            </w:rPr>
            <w:t>43</w:t>
          </w:r>
          <w:r>
            <w:rPr>
              <w:color w:val="auto"/>
            </w:rPr>
            <w:fldChar w:fldCharType="end"/>
          </w:r>
          <w:r>
            <w:rPr>
              <w:color w:val="auto"/>
            </w:rPr>
            <w:fldChar w:fldCharType="end"/>
          </w:r>
        </w:p>
        <w:p w14:paraId="29023913">
          <w:pPr>
            <w:pStyle w:val="18"/>
            <w:tabs>
              <w:tab w:val="right" w:leader="dot" w:pos="8901"/>
            </w:tabs>
            <w:ind w:left="480" w:firstLine="480"/>
            <w:rPr>
              <w:color w:val="auto"/>
            </w:rPr>
          </w:pPr>
          <w:r>
            <w:rPr>
              <w:color w:val="auto"/>
            </w:rPr>
            <w:fldChar w:fldCharType="begin"/>
          </w:r>
          <w:r>
            <w:rPr>
              <w:color w:val="auto"/>
            </w:rPr>
            <w:instrText xml:space="preserve"> HYPERLINK \l "_Toc27148" </w:instrText>
          </w:r>
          <w:r>
            <w:rPr>
              <w:color w:val="auto"/>
            </w:rPr>
            <w:fldChar w:fldCharType="separate"/>
          </w:r>
          <w:r>
            <w:rPr>
              <w:color w:val="auto"/>
            </w:rPr>
            <w:t>3.2水资源开发利用现状及保护现状</w:t>
          </w:r>
          <w:r>
            <w:rPr>
              <w:color w:val="auto"/>
            </w:rPr>
            <w:tab/>
          </w:r>
          <w:r>
            <w:rPr>
              <w:color w:val="auto"/>
            </w:rPr>
            <w:fldChar w:fldCharType="begin"/>
          </w:r>
          <w:r>
            <w:rPr>
              <w:color w:val="auto"/>
            </w:rPr>
            <w:instrText xml:space="preserve"> PAGEREF _Toc27148 \h </w:instrText>
          </w:r>
          <w:r>
            <w:rPr>
              <w:color w:val="auto"/>
            </w:rPr>
            <w:fldChar w:fldCharType="separate"/>
          </w:r>
          <w:r>
            <w:rPr>
              <w:color w:val="auto"/>
            </w:rPr>
            <w:t>49</w:t>
          </w:r>
          <w:r>
            <w:rPr>
              <w:color w:val="auto"/>
            </w:rPr>
            <w:fldChar w:fldCharType="end"/>
          </w:r>
          <w:r>
            <w:rPr>
              <w:color w:val="auto"/>
            </w:rPr>
            <w:fldChar w:fldCharType="end"/>
          </w:r>
        </w:p>
        <w:p w14:paraId="5D2CFA86">
          <w:pPr>
            <w:pStyle w:val="18"/>
            <w:tabs>
              <w:tab w:val="right" w:leader="dot" w:pos="8901"/>
            </w:tabs>
            <w:ind w:left="480" w:firstLine="480"/>
            <w:rPr>
              <w:color w:val="auto"/>
            </w:rPr>
          </w:pPr>
          <w:r>
            <w:rPr>
              <w:color w:val="auto"/>
            </w:rPr>
            <w:fldChar w:fldCharType="begin"/>
          </w:r>
          <w:r>
            <w:rPr>
              <w:color w:val="auto"/>
            </w:rPr>
            <w:instrText xml:space="preserve"> HYPERLINK \l "_Toc6428" </w:instrText>
          </w:r>
          <w:r>
            <w:rPr>
              <w:color w:val="auto"/>
            </w:rPr>
            <w:fldChar w:fldCharType="separate"/>
          </w:r>
          <w:r>
            <w:rPr>
              <w:color w:val="auto"/>
            </w:rPr>
            <w:t>3.3所在行政区水资源管理红线控制指标情况</w:t>
          </w:r>
          <w:r>
            <w:rPr>
              <w:color w:val="auto"/>
            </w:rPr>
            <w:tab/>
          </w:r>
          <w:r>
            <w:rPr>
              <w:color w:val="auto"/>
            </w:rPr>
            <w:fldChar w:fldCharType="begin"/>
          </w:r>
          <w:r>
            <w:rPr>
              <w:color w:val="auto"/>
            </w:rPr>
            <w:instrText xml:space="preserve"> PAGEREF _Toc6428 \h </w:instrText>
          </w:r>
          <w:r>
            <w:rPr>
              <w:color w:val="auto"/>
            </w:rPr>
            <w:fldChar w:fldCharType="separate"/>
          </w:r>
          <w:r>
            <w:rPr>
              <w:color w:val="auto"/>
            </w:rPr>
            <w:t>57</w:t>
          </w:r>
          <w:r>
            <w:rPr>
              <w:color w:val="auto"/>
            </w:rPr>
            <w:fldChar w:fldCharType="end"/>
          </w:r>
          <w:r>
            <w:rPr>
              <w:color w:val="auto"/>
            </w:rPr>
            <w:fldChar w:fldCharType="end"/>
          </w:r>
        </w:p>
        <w:p w14:paraId="3AD83DFF">
          <w:pPr>
            <w:pStyle w:val="18"/>
            <w:tabs>
              <w:tab w:val="right" w:leader="dot" w:pos="8901"/>
            </w:tabs>
            <w:ind w:left="480" w:firstLine="480"/>
            <w:rPr>
              <w:color w:val="auto"/>
            </w:rPr>
          </w:pPr>
          <w:r>
            <w:rPr>
              <w:color w:val="auto"/>
            </w:rPr>
            <w:fldChar w:fldCharType="begin"/>
          </w:r>
          <w:r>
            <w:rPr>
              <w:color w:val="auto"/>
            </w:rPr>
            <w:instrText xml:space="preserve"> HYPERLINK \l "_Toc24532" </w:instrText>
          </w:r>
          <w:r>
            <w:rPr>
              <w:color w:val="auto"/>
            </w:rPr>
            <w:fldChar w:fldCharType="separate"/>
          </w:r>
          <w:r>
            <w:rPr>
              <w:color w:val="auto"/>
            </w:rPr>
            <w:t>3.4水资源开发利用潜力分析</w:t>
          </w:r>
          <w:r>
            <w:rPr>
              <w:color w:val="auto"/>
            </w:rPr>
            <w:tab/>
          </w:r>
          <w:r>
            <w:rPr>
              <w:color w:val="auto"/>
            </w:rPr>
            <w:fldChar w:fldCharType="begin"/>
          </w:r>
          <w:r>
            <w:rPr>
              <w:color w:val="auto"/>
            </w:rPr>
            <w:instrText xml:space="preserve"> PAGEREF _Toc24532 \h </w:instrText>
          </w:r>
          <w:r>
            <w:rPr>
              <w:color w:val="auto"/>
            </w:rPr>
            <w:fldChar w:fldCharType="separate"/>
          </w:r>
          <w:r>
            <w:rPr>
              <w:color w:val="auto"/>
            </w:rPr>
            <w:t>58</w:t>
          </w:r>
          <w:r>
            <w:rPr>
              <w:color w:val="auto"/>
            </w:rPr>
            <w:fldChar w:fldCharType="end"/>
          </w:r>
          <w:r>
            <w:rPr>
              <w:color w:val="auto"/>
            </w:rPr>
            <w:fldChar w:fldCharType="end"/>
          </w:r>
        </w:p>
        <w:p w14:paraId="776B15C3">
          <w:pPr>
            <w:pStyle w:val="18"/>
            <w:tabs>
              <w:tab w:val="right" w:leader="dot" w:pos="8901"/>
            </w:tabs>
            <w:ind w:left="480" w:firstLine="480"/>
            <w:rPr>
              <w:color w:val="auto"/>
            </w:rPr>
          </w:pPr>
          <w:r>
            <w:rPr>
              <w:color w:val="auto"/>
            </w:rPr>
            <w:fldChar w:fldCharType="begin"/>
          </w:r>
          <w:r>
            <w:rPr>
              <w:color w:val="auto"/>
            </w:rPr>
            <w:instrText xml:space="preserve"> HYPERLINK \l "_Toc12960" </w:instrText>
          </w:r>
          <w:r>
            <w:rPr>
              <w:color w:val="auto"/>
            </w:rPr>
            <w:fldChar w:fldCharType="separate"/>
          </w:r>
          <w:r>
            <w:rPr>
              <w:color w:val="auto"/>
            </w:rPr>
            <w:t>3.5水资源开发利用与保护存在的主要问题</w:t>
          </w:r>
          <w:r>
            <w:rPr>
              <w:color w:val="auto"/>
            </w:rPr>
            <w:tab/>
          </w:r>
          <w:r>
            <w:rPr>
              <w:color w:val="auto"/>
            </w:rPr>
            <w:fldChar w:fldCharType="begin"/>
          </w:r>
          <w:r>
            <w:rPr>
              <w:color w:val="auto"/>
            </w:rPr>
            <w:instrText xml:space="preserve"> PAGEREF _Toc12960 \h </w:instrText>
          </w:r>
          <w:r>
            <w:rPr>
              <w:color w:val="auto"/>
            </w:rPr>
            <w:fldChar w:fldCharType="separate"/>
          </w:r>
          <w:r>
            <w:rPr>
              <w:color w:val="auto"/>
            </w:rPr>
            <w:t>59</w:t>
          </w:r>
          <w:r>
            <w:rPr>
              <w:color w:val="auto"/>
            </w:rPr>
            <w:fldChar w:fldCharType="end"/>
          </w:r>
          <w:r>
            <w:rPr>
              <w:color w:val="auto"/>
            </w:rPr>
            <w:fldChar w:fldCharType="end"/>
          </w:r>
        </w:p>
        <w:p w14:paraId="7ED55F28">
          <w:pPr>
            <w:pStyle w:val="17"/>
            <w:tabs>
              <w:tab w:val="right" w:leader="dot" w:pos="8901"/>
            </w:tabs>
            <w:ind w:firstLine="482"/>
            <w:rPr>
              <w:color w:val="auto"/>
            </w:rPr>
          </w:pPr>
          <w:r>
            <w:rPr>
              <w:color w:val="auto"/>
            </w:rPr>
            <w:fldChar w:fldCharType="begin"/>
          </w:r>
          <w:r>
            <w:rPr>
              <w:color w:val="auto"/>
            </w:rPr>
            <w:instrText xml:space="preserve"> HYPERLINK \l "_Toc7501" </w:instrText>
          </w:r>
          <w:r>
            <w:rPr>
              <w:color w:val="auto"/>
            </w:rPr>
            <w:fldChar w:fldCharType="separate"/>
          </w:r>
          <w:r>
            <w:rPr>
              <w:color w:val="auto"/>
            </w:rPr>
            <w:t>4区域需水合理性分析</w:t>
          </w:r>
          <w:r>
            <w:rPr>
              <w:color w:val="auto"/>
            </w:rPr>
            <w:tab/>
          </w:r>
          <w:r>
            <w:rPr>
              <w:color w:val="auto"/>
            </w:rPr>
            <w:fldChar w:fldCharType="begin"/>
          </w:r>
          <w:r>
            <w:rPr>
              <w:color w:val="auto"/>
            </w:rPr>
            <w:instrText xml:space="preserve"> PAGEREF _Toc7501 \h </w:instrText>
          </w:r>
          <w:r>
            <w:rPr>
              <w:color w:val="auto"/>
            </w:rPr>
            <w:fldChar w:fldCharType="separate"/>
          </w:r>
          <w:r>
            <w:rPr>
              <w:color w:val="auto"/>
            </w:rPr>
            <w:t>61</w:t>
          </w:r>
          <w:r>
            <w:rPr>
              <w:color w:val="auto"/>
            </w:rPr>
            <w:fldChar w:fldCharType="end"/>
          </w:r>
          <w:r>
            <w:rPr>
              <w:color w:val="auto"/>
            </w:rPr>
            <w:fldChar w:fldCharType="end"/>
          </w:r>
        </w:p>
        <w:p w14:paraId="63EC657A">
          <w:pPr>
            <w:pStyle w:val="18"/>
            <w:tabs>
              <w:tab w:val="right" w:leader="dot" w:pos="8901"/>
            </w:tabs>
            <w:ind w:left="480" w:firstLine="480"/>
            <w:rPr>
              <w:color w:val="auto"/>
            </w:rPr>
          </w:pPr>
          <w:r>
            <w:rPr>
              <w:color w:val="auto"/>
            </w:rPr>
            <w:fldChar w:fldCharType="begin"/>
          </w:r>
          <w:r>
            <w:rPr>
              <w:color w:val="auto"/>
            </w:rPr>
            <w:instrText xml:space="preserve"> HYPERLINK \l "_Toc27719" </w:instrText>
          </w:r>
          <w:r>
            <w:rPr>
              <w:color w:val="auto"/>
            </w:rPr>
            <w:fldChar w:fldCharType="separate"/>
          </w:r>
          <w:r>
            <w:rPr>
              <w:color w:val="auto"/>
            </w:rPr>
            <w:t>4.1主要经济社会发展指标分析</w:t>
          </w:r>
          <w:r>
            <w:rPr>
              <w:color w:val="auto"/>
            </w:rPr>
            <w:tab/>
          </w:r>
          <w:r>
            <w:rPr>
              <w:color w:val="auto"/>
            </w:rPr>
            <w:fldChar w:fldCharType="begin"/>
          </w:r>
          <w:r>
            <w:rPr>
              <w:color w:val="auto"/>
            </w:rPr>
            <w:instrText xml:space="preserve"> PAGEREF _Toc27719 \h </w:instrText>
          </w:r>
          <w:r>
            <w:rPr>
              <w:color w:val="auto"/>
            </w:rPr>
            <w:fldChar w:fldCharType="separate"/>
          </w:r>
          <w:r>
            <w:rPr>
              <w:color w:val="auto"/>
            </w:rPr>
            <w:t>61</w:t>
          </w:r>
          <w:r>
            <w:rPr>
              <w:color w:val="auto"/>
            </w:rPr>
            <w:fldChar w:fldCharType="end"/>
          </w:r>
          <w:r>
            <w:rPr>
              <w:color w:val="auto"/>
            </w:rPr>
            <w:fldChar w:fldCharType="end"/>
          </w:r>
        </w:p>
        <w:p w14:paraId="25318EE6">
          <w:pPr>
            <w:pStyle w:val="18"/>
            <w:tabs>
              <w:tab w:val="right" w:leader="dot" w:pos="8901"/>
            </w:tabs>
            <w:ind w:left="480" w:firstLine="480"/>
            <w:rPr>
              <w:color w:val="auto"/>
            </w:rPr>
          </w:pPr>
          <w:r>
            <w:rPr>
              <w:color w:val="auto"/>
            </w:rPr>
            <w:fldChar w:fldCharType="begin"/>
          </w:r>
          <w:r>
            <w:rPr>
              <w:color w:val="auto"/>
            </w:rPr>
            <w:instrText xml:space="preserve"> HYPERLINK \l "_Toc27082" </w:instrText>
          </w:r>
          <w:r>
            <w:rPr>
              <w:color w:val="auto"/>
            </w:rPr>
            <w:fldChar w:fldCharType="separate"/>
          </w:r>
          <w:r>
            <w:rPr>
              <w:color w:val="auto"/>
            </w:rPr>
            <w:t>4.2用水效率指标分析</w:t>
          </w:r>
          <w:r>
            <w:rPr>
              <w:color w:val="auto"/>
            </w:rPr>
            <w:tab/>
          </w:r>
          <w:r>
            <w:rPr>
              <w:color w:val="auto"/>
            </w:rPr>
            <w:fldChar w:fldCharType="begin"/>
          </w:r>
          <w:r>
            <w:rPr>
              <w:color w:val="auto"/>
            </w:rPr>
            <w:instrText xml:space="preserve"> PAGEREF _Toc27082 \h </w:instrText>
          </w:r>
          <w:r>
            <w:rPr>
              <w:color w:val="auto"/>
            </w:rPr>
            <w:fldChar w:fldCharType="separate"/>
          </w:r>
          <w:r>
            <w:rPr>
              <w:color w:val="auto"/>
            </w:rPr>
            <w:t>64</w:t>
          </w:r>
          <w:r>
            <w:rPr>
              <w:color w:val="auto"/>
            </w:rPr>
            <w:fldChar w:fldCharType="end"/>
          </w:r>
          <w:r>
            <w:rPr>
              <w:color w:val="auto"/>
            </w:rPr>
            <w:fldChar w:fldCharType="end"/>
          </w:r>
        </w:p>
        <w:p w14:paraId="172B8FF1">
          <w:pPr>
            <w:pStyle w:val="18"/>
            <w:tabs>
              <w:tab w:val="right" w:leader="dot" w:pos="8901"/>
            </w:tabs>
            <w:ind w:left="480" w:firstLine="480"/>
            <w:rPr>
              <w:color w:val="auto"/>
            </w:rPr>
          </w:pPr>
          <w:r>
            <w:rPr>
              <w:color w:val="auto"/>
            </w:rPr>
            <w:fldChar w:fldCharType="begin"/>
          </w:r>
          <w:r>
            <w:rPr>
              <w:color w:val="auto"/>
            </w:rPr>
            <w:instrText xml:space="preserve"> HYPERLINK \l "_Toc11163" </w:instrText>
          </w:r>
          <w:r>
            <w:rPr>
              <w:color w:val="auto"/>
            </w:rPr>
            <w:fldChar w:fldCharType="separate"/>
          </w:r>
          <w:r>
            <w:rPr>
              <w:color w:val="auto"/>
            </w:rPr>
            <w:t>4.3需水预测</w:t>
          </w:r>
          <w:r>
            <w:rPr>
              <w:color w:val="auto"/>
            </w:rPr>
            <w:tab/>
          </w:r>
          <w:r>
            <w:rPr>
              <w:color w:val="auto"/>
            </w:rPr>
            <w:fldChar w:fldCharType="begin"/>
          </w:r>
          <w:r>
            <w:rPr>
              <w:color w:val="auto"/>
            </w:rPr>
            <w:instrText xml:space="preserve"> PAGEREF _Toc11163 \h </w:instrText>
          </w:r>
          <w:r>
            <w:rPr>
              <w:color w:val="auto"/>
            </w:rPr>
            <w:fldChar w:fldCharType="separate"/>
          </w:r>
          <w:r>
            <w:rPr>
              <w:color w:val="auto"/>
            </w:rPr>
            <w:t>68</w:t>
          </w:r>
          <w:r>
            <w:rPr>
              <w:color w:val="auto"/>
            </w:rPr>
            <w:fldChar w:fldCharType="end"/>
          </w:r>
          <w:r>
            <w:rPr>
              <w:color w:val="auto"/>
            </w:rPr>
            <w:fldChar w:fldCharType="end"/>
          </w:r>
        </w:p>
        <w:p w14:paraId="4230CA8B">
          <w:pPr>
            <w:pStyle w:val="18"/>
            <w:tabs>
              <w:tab w:val="right" w:leader="dot" w:pos="8901"/>
            </w:tabs>
            <w:ind w:left="480" w:firstLine="480"/>
            <w:rPr>
              <w:color w:val="auto"/>
            </w:rPr>
          </w:pPr>
          <w:r>
            <w:rPr>
              <w:color w:val="auto"/>
            </w:rPr>
            <w:fldChar w:fldCharType="begin"/>
          </w:r>
          <w:r>
            <w:rPr>
              <w:color w:val="auto"/>
            </w:rPr>
            <w:instrText xml:space="preserve"> HYPERLINK \l "_Toc2576" </w:instrText>
          </w:r>
          <w:r>
            <w:rPr>
              <w:color w:val="auto"/>
            </w:rPr>
            <w:fldChar w:fldCharType="separate"/>
          </w:r>
          <w:r>
            <w:rPr>
              <w:color w:val="auto"/>
            </w:rPr>
            <w:t>4.4需水总量合理性分析</w:t>
          </w:r>
          <w:r>
            <w:rPr>
              <w:color w:val="auto"/>
            </w:rPr>
            <w:tab/>
          </w:r>
          <w:r>
            <w:rPr>
              <w:color w:val="auto"/>
            </w:rPr>
            <w:fldChar w:fldCharType="begin"/>
          </w:r>
          <w:r>
            <w:rPr>
              <w:color w:val="auto"/>
            </w:rPr>
            <w:instrText xml:space="preserve"> PAGEREF _Toc2576 \h </w:instrText>
          </w:r>
          <w:r>
            <w:rPr>
              <w:color w:val="auto"/>
            </w:rPr>
            <w:fldChar w:fldCharType="separate"/>
          </w:r>
          <w:r>
            <w:rPr>
              <w:color w:val="auto"/>
            </w:rPr>
            <w:t>81</w:t>
          </w:r>
          <w:r>
            <w:rPr>
              <w:color w:val="auto"/>
            </w:rPr>
            <w:fldChar w:fldCharType="end"/>
          </w:r>
          <w:r>
            <w:rPr>
              <w:color w:val="auto"/>
            </w:rPr>
            <w:fldChar w:fldCharType="end"/>
          </w:r>
        </w:p>
        <w:p w14:paraId="61A0FD12">
          <w:pPr>
            <w:pStyle w:val="18"/>
            <w:tabs>
              <w:tab w:val="right" w:leader="dot" w:pos="8901"/>
            </w:tabs>
            <w:ind w:left="480" w:firstLine="480"/>
            <w:rPr>
              <w:color w:val="auto"/>
            </w:rPr>
          </w:pPr>
          <w:r>
            <w:rPr>
              <w:color w:val="auto"/>
            </w:rPr>
            <w:fldChar w:fldCharType="begin"/>
          </w:r>
          <w:r>
            <w:rPr>
              <w:color w:val="auto"/>
            </w:rPr>
            <w:instrText xml:space="preserve"> HYPERLINK \l "_Toc18984" </w:instrText>
          </w:r>
          <w:r>
            <w:rPr>
              <w:color w:val="auto"/>
            </w:rPr>
            <w:fldChar w:fldCharType="separate"/>
          </w:r>
          <w:r>
            <w:rPr>
              <w:color w:val="auto"/>
            </w:rPr>
            <w:t>4.5区域用水总量、用水效率控制目标确定</w:t>
          </w:r>
          <w:r>
            <w:rPr>
              <w:color w:val="auto"/>
            </w:rPr>
            <w:tab/>
          </w:r>
          <w:r>
            <w:rPr>
              <w:color w:val="auto"/>
            </w:rPr>
            <w:fldChar w:fldCharType="begin"/>
          </w:r>
          <w:r>
            <w:rPr>
              <w:color w:val="auto"/>
            </w:rPr>
            <w:instrText xml:space="preserve"> PAGEREF _Toc18984 \h </w:instrText>
          </w:r>
          <w:r>
            <w:rPr>
              <w:color w:val="auto"/>
            </w:rPr>
            <w:fldChar w:fldCharType="separate"/>
          </w:r>
          <w:r>
            <w:rPr>
              <w:color w:val="auto"/>
            </w:rPr>
            <w:t>82</w:t>
          </w:r>
          <w:r>
            <w:rPr>
              <w:color w:val="auto"/>
            </w:rPr>
            <w:fldChar w:fldCharType="end"/>
          </w:r>
          <w:r>
            <w:rPr>
              <w:color w:val="auto"/>
            </w:rPr>
            <w:fldChar w:fldCharType="end"/>
          </w:r>
        </w:p>
        <w:p w14:paraId="51949277">
          <w:pPr>
            <w:pStyle w:val="17"/>
            <w:tabs>
              <w:tab w:val="right" w:leader="dot" w:pos="8901"/>
            </w:tabs>
            <w:ind w:firstLine="482"/>
            <w:rPr>
              <w:color w:val="auto"/>
            </w:rPr>
          </w:pPr>
          <w:r>
            <w:rPr>
              <w:color w:val="auto"/>
            </w:rPr>
            <w:fldChar w:fldCharType="begin"/>
          </w:r>
          <w:r>
            <w:rPr>
              <w:color w:val="auto"/>
            </w:rPr>
            <w:instrText xml:space="preserve"> HYPERLINK \l "_Toc25065" </w:instrText>
          </w:r>
          <w:r>
            <w:rPr>
              <w:color w:val="auto"/>
            </w:rPr>
            <w:fldChar w:fldCharType="separate"/>
          </w:r>
          <w:r>
            <w:rPr>
              <w:color w:val="auto"/>
            </w:rPr>
            <w:t>5区域节水评价</w:t>
          </w:r>
          <w:r>
            <w:rPr>
              <w:color w:val="auto"/>
            </w:rPr>
            <w:tab/>
          </w:r>
          <w:r>
            <w:rPr>
              <w:color w:val="auto"/>
            </w:rPr>
            <w:fldChar w:fldCharType="begin"/>
          </w:r>
          <w:r>
            <w:rPr>
              <w:color w:val="auto"/>
            </w:rPr>
            <w:instrText xml:space="preserve"> PAGEREF _Toc25065 \h </w:instrText>
          </w:r>
          <w:r>
            <w:rPr>
              <w:color w:val="auto"/>
            </w:rPr>
            <w:fldChar w:fldCharType="separate"/>
          </w:r>
          <w:r>
            <w:rPr>
              <w:color w:val="auto"/>
            </w:rPr>
            <w:t>84</w:t>
          </w:r>
          <w:r>
            <w:rPr>
              <w:color w:val="auto"/>
            </w:rPr>
            <w:fldChar w:fldCharType="end"/>
          </w:r>
          <w:r>
            <w:rPr>
              <w:color w:val="auto"/>
            </w:rPr>
            <w:fldChar w:fldCharType="end"/>
          </w:r>
        </w:p>
        <w:p w14:paraId="23407D3B">
          <w:pPr>
            <w:pStyle w:val="18"/>
            <w:tabs>
              <w:tab w:val="right" w:leader="dot" w:pos="8901"/>
            </w:tabs>
            <w:ind w:left="480" w:firstLine="480"/>
            <w:rPr>
              <w:color w:val="auto"/>
            </w:rPr>
          </w:pPr>
          <w:r>
            <w:rPr>
              <w:color w:val="auto"/>
            </w:rPr>
            <w:fldChar w:fldCharType="begin"/>
          </w:r>
          <w:r>
            <w:rPr>
              <w:color w:val="auto"/>
            </w:rPr>
            <w:instrText xml:space="preserve"> HYPERLINK \l "_Toc4924" </w:instrText>
          </w:r>
          <w:r>
            <w:rPr>
              <w:color w:val="auto"/>
            </w:rPr>
            <w:fldChar w:fldCharType="separate"/>
          </w:r>
          <w:r>
            <w:rPr>
              <w:color w:val="auto"/>
            </w:rPr>
            <w:t>5.1现状节水水平评价与节水潜力分析</w:t>
          </w:r>
          <w:r>
            <w:rPr>
              <w:color w:val="auto"/>
            </w:rPr>
            <w:tab/>
          </w:r>
          <w:r>
            <w:rPr>
              <w:color w:val="auto"/>
            </w:rPr>
            <w:fldChar w:fldCharType="begin"/>
          </w:r>
          <w:r>
            <w:rPr>
              <w:color w:val="auto"/>
            </w:rPr>
            <w:instrText xml:space="preserve"> PAGEREF _Toc4924 \h </w:instrText>
          </w:r>
          <w:r>
            <w:rPr>
              <w:color w:val="auto"/>
            </w:rPr>
            <w:fldChar w:fldCharType="separate"/>
          </w:r>
          <w:r>
            <w:rPr>
              <w:color w:val="auto"/>
            </w:rPr>
            <w:t>84</w:t>
          </w:r>
          <w:r>
            <w:rPr>
              <w:color w:val="auto"/>
            </w:rPr>
            <w:fldChar w:fldCharType="end"/>
          </w:r>
          <w:r>
            <w:rPr>
              <w:color w:val="auto"/>
            </w:rPr>
            <w:fldChar w:fldCharType="end"/>
          </w:r>
        </w:p>
        <w:p w14:paraId="6E0761DF">
          <w:pPr>
            <w:pStyle w:val="18"/>
            <w:tabs>
              <w:tab w:val="right" w:leader="dot" w:pos="8901"/>
            </w:tabs>
            <w:ind w:left="480" w:firstLine="480"/>
            <w:rPr>
              <w:color w:val="auto"/>
            </w:rPr>
          </w:pPr>
          <w:r>
            <w:rPr>
              <w:color w:val="auto"/>
            </w:rPr>
            <w:fldChar w:fldCharType="begin"/>
          </w:r>
          <w:r>
            <w:rPr>
              <w:color w:val="auto"/>
            </w:rPr>
            <w:instrText xml:space="preserve"> HYPERLINK \l "_Toc21360" </w:instrText>
          </w:r>
          <w:r>
            <w:rPr>
              <w:color w:val="auto"/>
            </w:rPr>
            <w:fldChar w:fldCharType="separate"/>
          </w:r>
          <w:r>
            <w:rPr>
              <w:color w:val="auto"/>
            </w:rPr>
            <w:t>5.2节水目标与指标评价</w:t>
          </w:r>
          <w:r>
            <w:rPr>
              <w:color w:val="auto"/>
            </w:rPr>
            <w:tab/>
          </w:r>
          <w:r>
            <w:rPr>
              <w:color w:val="auto"/>
            </w:rPr>
            <w:fldChar w:fldCharType="begin"/>
          </w:r>
          <w:r>
            <w:rPr>
              <w:color w:val="auto"/>
            </w:rPr>
            <w:instrText xml:space="preserve"> PAGEREF _Toc21360 \h </w:instrText>
          </w:r>
          <w:r>
            <w:rPr>
              <w:color w:val="auto"/>
            </w:rPr>
            <w:fldChar w:fldCharType="separate"/>
          </w:r>
          <w:r>
            <w:rPr>
              <w:color w:val="auto"/>
            </w:rPr>
            <w:t>87</w:t>
          </w:r>
          <w:r>
            <w:rPr>
              <w:color w:val="auto"/>
            </w:rPr>
            <w:fldChar w:fldCharType="end"/>
          </w:r>
          <w:r>
            <w:rPr>
              <w:color w:val="auto"/>
            </w:rPr>
            <w:fldChar w:fldCharType="end"/>
          </w:r>
        </w:p>
        <w:p w14:paraId="2F92F916">
          <w:pPr>
            <w:pStyle w:val="18"/>
            <w:tabs>
              <w:tab w:val="right" w:leader="dot" w:pos="8901"/>
            </w:tabs>
            <w:ind w:left="480" w:firstLine="480"/>
            <w:rPr>
              <w:color w:val="auto"/>
            </w:rPr>
          </w:pPr>
          <w:r>
            <w:rPr>
              <w:color w:val="auto"/>
            </w:rPr>
            <w:fldChar w:fldCharType="begin"/>
          </w:r>
          <w:r>
            <w:rPr>
              <w:color w:val="auto"/>
            </w:rPr>
            <w:instrText xml:space="preserve"> HYPERLINK \l "_Toc7296" </w:instrText>
          </w:r>
          <w:r>
            <w:rPr>
              <w:color w:val="auto"/>
            </w:rPr>
            <w:fldChar w:fldCharType="separate"/>
          </w:r>
          <w:r>
            <w:rPr>
              <w:color w:val="auto"/>
            </w:rPr>
            <w:t>5.3规划水平年节水符合性评价</w:t>
          </w:r>
          <w:r>
            <w:rPr>
              <w:color w:val="auto"/>
            </w:rPr>
            <w:tab/>
          </w:r>
          <w:r>
            <w:rPr>
              <w:color w:val="auto"/>
            </w:rPr>
            <w:fldChar w:fldCharType="begin"/>
          </w:r>
          <w:r>
            <w:rPr>
              <w:color w:val="auto"/>
            </w:rPr>
            <w:instrText xml:space="preserve"> PAGEREF _Toc7296 \h </w:instrText>
          </w:r>
          <w:r>
            <w:rPr>
              <w:color w:val="auto"/>
            </w:rPr>
            <w:fldChar w:fldCharType="separate"/>
          </w:r>
          <w:r>
            <w:rPr>
              <w:color w:val="auto"/>
            </w:rPr>
            <w:t>89</w:t>
          </w:r>
          <w:r>
            <w:rPr>
              <w:color w:val="auto"/>
            </w:rPr>
            <w:fldChar w:fldCharType="end"/>
          </w:r>
          <w:r>
            <w:rPr>
              <w:color w:val="auto"/>
            </w:rPr>
            <w:fldChar w:fldCharType="end"/>
          </w:r>
        </w:p>
        <w:p w14:paraId="3B648289">
          <w:pPr>
            <w:pStyle w:val="18"/>
            <w:tabs>
              <w:tab w:val="right" w:leader="dot" w:pos="8901"/>
            </w:tabs>
            <w:ind w:left="480" w:firstLine="480"/>
            <w:rPr>
              <w:color w:val="auto"/>
            </w:rPr>
          </w:pPr>
          <w:r>
            <w:rPr>
              <w:color w:val="auto"/>
            </w:rPr>
            <w:fldChar w:fldCharType="begin"/>
          </w:r>
          <w:r>
            <w:rPr>
              <w:color w:val="auto"/>
            </w:rPr>
            <w:instrText xml:space="preserve"> HYPERLINK \l "_Toc20920" </w:instrText>
          </w:r>
          <w:r>
            <w:rPr>
              <w:color w:val="auto"/>
            </w:rPr>
            <w:fldChar w:fldCharType="separate"/>
          </w:r>
          <w:r>
            <w:rPr>
              <w:color w:val="auto"/>
            </w:rPr>
            <w:t>5.4节水措施方案与节水效果评价</w:t>
          </w:r>
          <w:r>
            <w:rPr>
              <w:color w:val="auto"/>
            </w:rPr>
            <w:tab/>
          </w:r>
          <w:r>
            <w:rPr>
              <w:color w:val="auto"/>
            </w:rPr>
            <w:fldChar w:fldCharType="begin"/>
          </w:r>
          <w:r>
            <w:rPr>
              <w:color w:val="auto"/>
            </w:rPr>
            <w:instrText xml:space="preserve"> PAGEREF _Toc20920 \h </w:instrText>
          </w:r>
          <w:r>
            <w:rPr>
              <w:color w:val="auto"/>
            </w:rPr>
            <w:fldChar w:fldCharType="separate"/>
          </w:r>
          <w:r>
            <w:rPr>
              <w:color w:val="auto"/>
            </w:rPr>
            <w:t>92</w:t>
          </w:r>
          <w:r>
            <w:rPr>
              <w:color w:val="auto"/>
            </w:rPr>
            <w:fldChar w:fldCharType="end"/>
          </w:r>
          <w:r>
            <w:rPr>
              <w:color w:val="auto"/>
            </w:rPr>
            <w:fldChar w:fldCharType="end"/>
          </w:r>
        </w:p>
        <w:p w14:paraId="0A74CBD5">
          <w:pPr>
            <w:pStyle w:val="18"/>
            <w:tabs>
              <w:tab w:val="right" w:leader="dot" w:pos="8901"/>
            </w:tabs>
            <w:ind w:left="480" w:firstLine="480"/>
            <w:rPr>
              <w:color w:val="auto"/>
            </w:rPr>
          </w:pPr>
          <w:r>
            <w:rPr>
              <w:color w:val="auto"/>
            </w:rPr>
            <w:fldChar w:fldCharType="begin"/>
          </w:r>
          <w:r>
            <w:rPr>
              <w:color w:val="auto"/>
            </w:rPr>
            <w:instrText xml:space="preserve"> HYPERLINK \l "_Toc14467" </w:instrText>
          </w:r>
          <w:r>
            <w:rPr>
              <w:color w:val="auto"/>
            </w:rPr>
            <w:fldChar w:fldCharType="separate"/>
          </w:r>
          <w:r>
            <w:rPr>
              <w:color w:val="auto"/>
            </w:rPr>
            <w:t>5.5节水评价结论与建议</w:t>
          </w:r>
          <w:r>
            <w:rPr>
              <w:color w:val="auto"/>
            </w:rPr>
            <w:tab/>
          </w:r>
          <w:r>
            <w:rPr>
              <w:color w:val="auto"/>
            </w:rPr>
            <w:fldChar w:fldCharType="begin"/>
          </w:r>
          <w:r>
            <w:rPr>
              <w:color w:val="auto"/>
            </w:rPr>
            <w:instrText xml:space="preserve"> PAGEREF _Toc14467 \h </w:instrText>
          </w:r>
          <w:r>
            <w:rPr>
              <w:color w:val="auto"/>
            </w:rPr>
            <w:fldChar w:fldCharType="separate"/>
          </w:r>
          <w:r>
            <w:rPr>
              <w:color w:val="auto"/>
            </w:rPr>
            <w:t>97</w:t>
          </w:r>
          <w:r>
            <w:rPr>
              <w:color w:val="auto"/>
            </w:rPr>
            <w:fldChar w:fldCharType="end"/>
          </w:r>
          <w:r>
            <w:rPr>
              <w:color w:val="auto"/>
            </w:rPr>
            <w:fldChar w:fldCharType="end"/>
          </w:r>
        </w:p>
        <w:p w14:paraId="341240AF">
          <w:pPr>
            <w:pStyle w:val="17"/>
            <w:tabs>
              <w:tab w:val="right" w:leader="dot" w:pos="8901"/>
            </w:tabs>
            <w:ind w:firstLine="482"/>
            <w:rPr>
              <w:color w:val="auto"/>
            </w:rPr>
          </w:pPr>
          <w:r>
            <w:rPr>
              <w:color w:val="auto"/>
            </w:rPr>
            <w:fldChar w:fldCharType="begin"/>
          </w:r>
          <w:r>
            <w:rPr>
              <w:color w:val="auto"/>
            </w:rPr>
            <w:instrText xml:space="preserve"> HYPERLINK \l "_Toc2494" </w:instrText>
          </w:r>
          <w:r>
            <w:rPr>
              <w:color w:val="auto"/>
            </w:rPr>
            <w:fldChar w:fldCharType="separate"/>
          </w:r>
          <w:r>
            <w:rPr>
              <w:color w:val="auto"/>
            </w:rPr>
            <w:t>6区域水资源配置方案</w:t>
          </w:r>
          <w:r>
            <w:rPr>
              <w:color w:val="auto"/>
            </w:rPr>
            <w:tab/>
          </w:r>
          <w:r>
            <w:rPr>
              <w:color w:val="auto"/>
            </w:rPr>
            <w:fldChar w:fldCharType="begin"/>
          </w:r>
          <w:r>
            <w:rPr>
              <w:color w:val="auto"/>
            </w:rPr>
            <w:instrText xml:space="preserve"> PAGEREF _Toc2494 \h </w:instrText>
          </w:r>
          <w:r>
            <w:rPr>
              <w:color w:val="auto"/>
            </w:rPr>
            <w:fldChar w:fldCharType="separate"/>
          </w:r>
          <w:r>
            <w:rPr>
              <w:color w:val="auto"/>
            </w:rPr>
            <w:t>101</w:t>
          </w:r>
          <w:r>
            <w:rPr>
              <w:color w:val="auto"/>
            </w:rPr>
            <w:fldChar w:fldCharType="end"/>
          </w:r>
          <w:r>
            <w:rPr>
              <w:color w:val="auto"/>
            </w:rPr>
            <w:fldChar w:fldCharType="end"/>
          </w:r>
        </w:p>
        <w:p w14:paraId="64A1A511">
          <w:pPr>
            <w:pStyle w:val="18"/>
            <w:tabs>
              <w:tab w:val="right" w:leader="dot" w:pos="8901"/>
            </w:tabs>
            <w:ind w:left="480" w:firstLine="480"/>
            <w:rPr>
              <w:color w:val="auto"/>
            </w:rPr>
          </w:pPr>
          <w:r>
            <w:rPr>
              <w:color w:val="auto"/>
            </w:rPr>
            <w:fldChar w:fldCharType="begin"/>
          </w:r>
          <w:r>
            <w:rPr>
              <w:color w:val="auto"/>
            </w:rPr>
            <w:instrText xml:space="preserve"> HYPERLINK \l "_Toc31337" </w:instrText>
          </w:r>
          <w:r>
            <w:rPr>
              <w:color w:val="auto"/>
            </w:rPr>
            <w:fldChar w:fldCharType="separate"/>
          </w:r>
          <w:r>
            <w:rPr>
              <w:color w:val="auto"/>
            </w:rPr>
            <w:t>6.1区域现状水资源配置情况</w:t>
          </w:r>
          <w:r>
            <w:rPr>
              <w:color w:val="auto"/>
            </w:rPr>
            <w:tab/>
          </w:r>
          <w:r>
            <w:rPr>
              <w:color w:val="auto"/>
            </w:rPr>
            <w:fldChar w:fldCharType="begin"/>
          </w:r>
          <w:r>
            <w:rPr>
              <w:color w:val="auto"/>
            </w:rPr>
            <w:instrText xml:space="preserve"> PAGEREF _Toc31337 \h </w:instrText>
          </w:r>
          <w:r>
            <w:rPr>
              <w:color w:val="auto"/>
            </w:rPr>
            <w:fldChar w:fldCharType="separate"/>
          </w:r>
          <w:r>
            <w:rPr>
              <w:color w:val="auto"/>
            </w:rPr>
            <w:t>101</w:t>
          </w:r>
          <w:r>
            <w:rPr>
              <w:color w:val="auto"/>
            </w:rPr>
            <w:fldChar w:fldCharType="end"/>
          </w:r>
          <w:r>
            <w:rPr>
              <w:color w:val="auto"/>
            </w:rPr>
            <w:fldChar w:fldCharType="end"/>
          </w:r>
        </w:p>
        <w:p w14:paraId="2DED7912">
          <w:pPr>
            <w:pStyle w:val="18"/>
            <w:tabs>
              <w:tab w:val="right" w:leader="dot" w:pos="8901"/>
            </w:tabs>
            <w:ind w:left="480" w:firstLine="480"/>
            <w:rPr>
              <w:color w:val="auto"/>
            </w:rPr>
          </w:pPr>
          <w:r>
            <w:rPr>
              <w:color w:val="auto"/>
            </w:rPr>
            <w:fldChar w:fldCharType="begin"/>
          </w:r>
          <w:r>
            <w:rPr>
              <w:color w:val="auto"/>
            </w:rPr>
            <w:instrText xml:space="preserve"> HYPERLINK \l "_Toc23488" </w:instrText>
          </w:r>
          <w:r>
            <w:rPr>
              <w:color w:val="auto"/>
            </w:rPr>
            <w:fldChar w:fldCharType="separate"/>
          </w:r>
          <w:r>
            <w:rPr>
              <w:color w:val="auto"/>
            </w:rPr>
            <w:t>6.2区域水资源配置方案</w:t>
          </w:r>
          <w:r>
            <w:rPr>
              <w:color w:val="auto"/>
            </w:rPr>
            <w:tab/>
          </w:r>
          <w:r>
            <w:rPr>
              <w:color w:val="auto"/>
            </w:rPr>
            <w:fldChar w:fldCharType="begin"/>
          </w:r>
          <w:r>
            <w:rPr>
              <w:color w:val="auto"/>
            </w:rPr>
            <w:instrText xml:space="preserve"> PAGEREF _Toc23488 \h </w:instrText>
          </w:r>
          <w:r>
            <w:rPr>
              <w:color w:val="auto"/>
            </w:rPr>
            <w:fldChar w:fldCharType="separate"/>
          </w:r>
          <w:r>
            <w:rPr>
              <w:color w:val="auto"/>
            </w:rPr>
            <w:t>102</w:t>
          </w:r>
          <w:r>
            <w:rPr>
              <w:color w:val="auto"/>
            </w:rPr>
            <w:fldChar w:fldCharType="end"/>
          </w:r>
          <w:r>
            <w:rPr>
              <w:color w:val="auto"/>
            </w:rPr>
            <w:fldChar w:fldCharType="end"/>
          </w:r>
        </w:p>
        <w:p w14:paraId="294989E9">
          <w:pPr>
            <w:pStyle w:val="18"/>
            <w:tabs>
              <w:tab w:val="right" w:leader="dot" w:pos="8901"/>
            </w:tabs>
            <w:ind w:left="480" w:firstLine="480"/>
            <w:rPr>
              <w:color w:val="auto"/>
            </w:rPr>
          </w:pPr>
          <w:r>
            <w:rPr>
              <w:color w:val="auto"/>
            </w:rPr>
            <w:fldChar w:fldCharType="begin"/>
          </w:r>
          <w:r>
            <w:rPr>
              <w:color w:val="auto"/>
            </w:rPr>
            <w:instrText xml:space="preserve"> HYPERLINK \l "_Toc15461" </w:instrText>
          </w:r>
          <w:r>
            <w:rPr>
              <w:color w:val="auto"/>
            </w:rPr>
            <w:fldChar w:fldCharType="separate"/>
          </w:r>
          <w:r>
            <w:rPr>
              <w:color w:val="auto"/>
            </w:rPr>
            <w:t>6.3水资源配置方案的可靠性、可行性分析</w:t>
          </w:r>
          <w:r>
            <w:rPr>
              <w:color w:val="auto"/>
            </w:rPr>
            <w:tab/>
          </w:r>
          <w:r>
            <w:rPr>
              <w:color w:val="auto"/>
            </w:rPr>
            <w:fldChar w:fldCharType="begin"/>
          </w:r>
          <w:r>
            <w:rPr>
              <w:color w:val="auto"/>
            </w:rPr>
            <w:instrText xml:space="preserve"> PAGEREF _Toc15461 \h </w:instrText>
          </w:r>
          <w:r>
            <w:rPr>
              <w:color w:val="auto"/>
            </w:rPr>
            <w:fldChar w:fldCharType="separate"/>
          </w:r>
          <w:r>
            <w:rPr>
              <w:color w:val="auto"/>
            </w:rPr>
            <w:t>110</w:t>
          </w:r>
          <w:r>
            <w:rPr>
              <w:color w:val="auto"/>
            </w:rPr>
            <w:fldChar w:fldCharType="end"/>
          </w:r>
          <w:r>
            <w:rPr>
              <w:color w:val="auto"/>
            </w:rPr>
            <w:fldChar w:fldCharType="end"/>
          </w:r>
        </w:p>
        <w:p w14:paraId="5D32B1AA">
          <w:pPr>
            <w:pStyle w:val="18"/>
            <w:tabs>
              <w:tab w:val="right" w:leader="dot" w:pos="8901"/>
            </w:tabs>
            <w:ind w:left="480" w:firstLine="480"/>
            <w:rPr>
              <w:color w:val="auto"/>
            </w:rPr>
          </w:pPr>
          <w:r>
            <w:rPr>
              <w:color w:val="auto"/>
            </w:rPr>
            <w:fldChar w:fldCharType="begin"/>
          </w:r>
          <w:r>
            <w:rPr>
              <w:color w:val="auto"/>
            </w:rPr>
            <w:instrText xml:space="preserve"> HYPERLINK \l "_Toc28780" </w:instrText>
          </w:r>
          <w:r>
            <w:rPr>
              <w:color w:val="auto"/>
            </w:rPr>
            <w:fldChar w:fldCharType="separate"/>
          </w:r>
          <w:r>
            <w:rPr>
              <w:color w:val="auto"/>
            </w:rPr>
            <w:t>6.4应急备用水源</w:t>
          </w:r>
          <w:r>
            <w:rPr>
              <w:color w:val="auto"/>
            </w:rPr>
            <w:tab/>
          </w:r>
          <w:r>
            <w:rPr>
              <w:color w:val="auto"/>
            </w:rPr>
            <w:fldChar w:fldCharType="begin"/>
          </w:r>
          <w:r>
            <w:rPr>
              <w:color w:val="auto"/>
            </w:rPr>
            <w:instrText xml:space="preserve"> PAGEREF _Toc28780 \h </w:instrText>
          </w:r>
          <w:r>
            <w:rPr>
              <w:color w:val="auto"/>
            </w:rPr>
            <w:fldChar w:fldCharType="separate"/>
          </w:r>
          <w:r>
            <w:rPr>
              <w:color w:val="auto"/>
            </w:rPr>
            <w:t>121</w:t>
          </w:r>
          <w:r>
            <w:rPr>
              <w:color w:val="auto"/>
            </w:rPr>
            <w:fldChar w:fldCharType="end"/>
          </w:r>
          <w:r>
            <w:rPr>
              <w:color w:val="auto"/>
            </w:rPr>
            <w:fldChar w:fldCharType="end"/>
          </w:r>
        </w:p>
        <w:p w14:paraId="4DADA9B0">
          <w:pPr>
            <w:pStyle w:val="17"/>
            <w:tabs>
              <w:tab w:val="right" w:leader="dot" w:pos="8901"/>
            </w:tabs>
            <w:ind w:firstLine="482"/>
            <w:rPr>
              <w:color w:val="auto"/>
            </w:rPr>
          </w:pPr>
          <w:r>
            <w:rPr>
              <w:color w:val="auto"/>
            </w:rPr>
            <w:fldChar w:fldCharType="begin"/>
          </w:r>
          <w:r>
            <w:rPr>
              <w:color w:val="auto"/>
            </w:rPr>
            <w:instrText xml:space="preserve"> HYPERLINK \l "_Toc26274" </w:instrText>
          </w:r>
          <w:r>
            <w:rPr>
              <w:color w:val="auto"/>
            </w:rPr>
            <w:fldChar w:fldCharType="separate"/>
          </w:r>
          <w:r>
            <w:rPr>
              <w:color w:val="auto"/>
            </w:rPr>
            <w:t>7区域退水方案分析</w:t>
          </w:r>
          <w:r>
            <w:rPr>
              <w:color w:val="auto"/>
            </w:rPr>
            <w:tab/>
          </w:r>
          <w:r>
            <w:rPr>
              <w:color w:val="auto"/>
            </w:rPr>
            <w:fldChar w:fldCharType="begin"/>
          </w:r>
          <w:r>
            <w:rPr>
              <w:color w:val="auto"/>
            </w:rPr>
            <w:instrText xml:space="preserve"> PAGEREF _Toc26274 \h </w:instrText>
          </w:r>
          <w:r>
            <w:rPr>
              <w:color w:val="auto"/>
            </w:rPr>
            <w:fldChar w:fldCharType="separate"/>
          </w:r>
          <w:r>
            <w:rPr>
              <w:color w:val="auto"/>
            </w:rPr>
            <w:t>125</w:t>
          </w:r>
          <w:r>
            <w:rPr>
              <w:color w:val="auto"/>
            </w:rPr>
            <w:fldChar w:fldCharType="end"/>
          </w:r>
          <w:r>
            <w:rPr>
              <w:color w:val="auto"/>
            </w:rPr>
            <w:fldChar w:fldCharType="end"/>
          </w:r>
        </w:p>
        <w:p w14:paraId="3496AF22">
          <w:pPr>
            <w:pStyle w:val="18"/>
            <w:tabs>
              <w:tab w:val="right" w:leader="dot" w:pos="8901"/>
            </w:tabs>
            <w:ind w:left="480" w:firstLine="480"/>
            <w:rPr>
              <w:color w:val="auto"/>
            </w:rPr>
          </w:pPr>
          <w:r>
            <w:rPr>
              <w:color w:val="auto"/>
            </w:rPr>
            <w:fldChar w:fldCharType="begin"/>
          </w:r>
          <w:r>
            <w:rPr>
              <w:color w:val="auto"/>
            </w:rPr>
            <w:instrText xml:space="preserve"> HYPERLINK \l "_Toc20624" </w:instrText>
          </w:r>
          <w:r>
            <w:rPr>
              <w:color w:val="auto"/>
            </w:rPr>
            <w:fldChar w:fldCharType="separate"/>
          </w:r>
          <w:r>
            <w:rPr>
              <w:color w:val="auto"/>
            </w:rPr>
            <w:t>7.1退水总量及水质</w:t>
          </w:r>
          <w:r>
            <w:rPr>
              <w:color w:val="auto"/>
            </w:rPr>
            <w:tab/>
          </w:r>
          <w:r>
            <w:rPr>
              <w:color w:val="auto"/>
            </w:rPr>
            <w:fldChar w:fldCharType="begin"/>
          </w:r>
          <w:r>
            <w:rPr>
              <w:color w:val="auto"/>
            </w:rPr>
            <w:instrText xml:space="preserve"> PAGEREF _Toc20624 \h </w:instrText>
          </w:r>
          <w:r>
            <w:rPr>
              <w:color w:val="auto"/>
            </w:rPr>
            <w:fldChar w:fldCharType="separate"/>
          </w:r>
          <w:r>
            <w:rPr>
              <w:color w:val="auto"/>
            </w:rPr>
            <w:t>125</w:t>
          </w:r>
          <w:r>
            <w:rPr>
              <w:color w:val="auto"/>
            </w:rPr>
            <w:fldChar w:fldCharType="end"/>
          </w:r>
          <w:r>
            <w:rPr>
              <w:color w:val="auto"/>
            </w:rPr>
            <w:fldChar w:fldCharType="end"/>
          </w:r>
        </w:p>
        <w:p w14:paraId="31EF1E37">
          <w:pPr>
            <w:pStyle w:val="18"/>
            <w:tabs>
              <w:tab w:val="right" w:leader="dot" w:pos="8901"/>
            </w:tabs>
            <w:ind w:left="480" w:firstLine="480"/>
            <w:rPr>
              <w:color w:val="auto"/>
            </w:rPr>
          </w:pPr>
          <w:r>
            <w:rPr>
              <w:color w:val="auto"/>
            </w:rPr>
            <w:fldChar w:fldCharType="begin"/>
          </w:r>
          <w:r>
            <w:rPr>
              <w:color w:val="auto"/>
            </w:rPr>
            <w:instrText xml:space="preserve"> HYPERLINK \l "_Toc25283" </w:instrText>
          </w:r>
          <w:r>
            <w:rPr>
              <w:color w:val="auto"/>
            </w:rPr>
            <w:fldChar w:fldCharType="separate"/>
          </w:r>
          <w:r>
            <w:rPr>
              <w:color w:val="auto"/>
            </w:rPr>
            <w:t>7.2退水处理方案</w:t>
          </w:r>
          <w:r>
            <w:rPr>
              <w:color w:val="auto"/>
            </w:rPr>
            <w:tab/>
          </w:r>
          <w:r>
            <w:rPr>
              <w:color w:val="auto"/>
            </w:rPr>
            <w:fldChar w:fldCharType="begin"/>
          </w:r>
          <w:r>
            <w:rPr>
              <w:color w:val="auto"/>
            </w:rPr>
            <w:instrText xml:space="preserve"> PAGEREF _Toc25283 \h </w:instrText>
          </w:r>
          <w:r>
            <w:rPr>
              <w:color w:val="auto"/>
            </w:rPr>
            <w:fldChar w:fldCharType="separate"/>
          </w:r>
          <w:r>
            <w:rPr>
              <w:color w:val="auto"/>
            </w:rPr>
            <w:t>127</w:t>
          </w:r>
          <w:r>
            <w:rPr>
              <w:color w:val="auto"/>
            </w:rPr>
            <w:fldChar w:fldCharType="end"/>
          </w:r>
          <w:r>
            <w:rPr>
              <w:color w:val="auto"/>
            </w:rPr>
            <w:fldChar w:fldCharType="end"/>
          </w:r>
        </w:p>
        <w:p w14:paraId="0E9A5FA5">
          <w:pPr>
            <w:pStyle w:val="18"/>
            <w:tabs>
              <w:tab w:val="right" w:leader="dot" w:pos="8901"/>
            </w:tabs>
            <w:ind w:left="480" w:firstLine="480"/>
            <w:rPr>
              <w:color w:val="auto"/>
            </w:rPr>
          </w:pPr>
          <w:r>
            <w:rPr>
              <w:color w:val="auto"/>
            </w:rPr>
            <w:fldChar w:fldCharType="begin"/>
          </w:r>
          <w:r>
            <w:rPr>
              <w:color w:val="auto"/>
            </w:rPr>
            <w:instrText xml:space="preserve"> HYPERLINK \l "_Toc23337" </w:instrText>
          </w:r>
          <w:r>
            <w:rPr>
              <w:color w:val="auto"/>
            </w:rPr>
            <w:fldChar w:fldCharType="separate"/>
          </w:r>
          <w:r>
            <w:rPr>
              <w:color w:val="auto"/>
            </w:rPr>
            <w:t>7.3退水方案合理性分析</w:t>
          </w:r>
          <w:r>
            <w:rPr>
              <w:color w:val="auto"/>
            </w:rPr>
            <w:tab/>
          </w:r>
          <w:r>
            <w:rPr>
              <w:color w:val="auto"/>
            </w:rPr>
            <w:fldChar w:fldCharType="begin"/>
          </w:r>
          <w:r>
            <w:rPr>
              <w:color w:val="auto"/>
            </w:rPr>
            <w:instrText xml:space="preserve"> PAGEREF _Toc23337 \h </w:instrText>
          </w:r>
          <w:r>
            <w:rPr>
              <w:color w:val="auto"/>
            </w:rPr>
            <w:fldChar w:fldCharType="separate"/>
          </w:r>
          <w:r>
            <w:rPr>
              <w:color w:val="auto"/>
            </w:rPr>
            <w:t>133</w:t>
          </w:r>
          <w:r>
            <w:rPr>
              <w:color w:val="auto"/>
            </w:rPr>
            <w:fldChar w:fldCharType="end"/>
          </w:r>
          <w:r>
            <w:rPr>
              <w:color w:val="auto"/>
            </w:rPr>
            <w:fldChar w:fldCharType="end"/>
          </w:r>
        </w:p>
        <w:p w14:paraId="2FB776D4">
          <w:pPr>
            <w:pStyle w:val="17"/>
            <w:tabs>
              <w:tab w:val="right" w:leader="dot" w:pos="8901"/>
            </w:tabs>
            <w:ind w:firstLine="482"/>
            <w:rPr>
              <w:color w:val="auto"/>
            </w:rPr>
          </w:pPr>
          <w:r>
            <w:rPr>
              <w:color w:val="auto"/>
            </w:rPr>
            <w:fldChar w:fldCharType="begin"/>
          </w:r>
          <w:r>
            <w:rPr>
              <w:color w:val="auto"/>
            </w:rPr>
            <w:instrText xml:space="preserve"> HYPERLINK \l "_Toc18472" </w:instrText>
          </w:r>
          <w:r>
            <w:rPr>
              <w:color w:val="auto"/>
            </w:rPr>
            <w:fldChar w:fldCharType="separate"/>
          </w:r>
          <w:r>
            <w:rPr>
              <w:color w:val="auto"/>
            </w:rPr>
            <w:t>8区域规划实施影响分析</w:t>
          </w:r>
          <w:r>
            <w:rPr>
              <w:color w:val="auto"/>
            </w:rPr>
            <w:tab/>
          </w:r>
          <w:r>
            <w:rPr>
              <w:color w:val="auto"/>
            </w:rPr>
            <w:fldChar w:fldCharType="begin"/>
          </w:r>
          <w:r>
            <w:rPr>
              <w:color w:val="auto"/>
            </w:rPr>
            <w:instrText xml:space="preserve"> PAGEREF _Toc18472 \h </w:instrText>
          </w:r>
          <w:r>
            <w:rPr>
              <w:color w:val="auto"/>
            </w:rPr>
            <w:fldChar w:fldCharType="separate"/>
          </w:r>
          <w:r>
            <w:rPr>
              <w:color w:val="auto"/>
            </w:rPr>
            <w:t>137</w:t>
          </w:r>
          <w:r>
            <w:rPr>
              <w:color w:val="auto"/>
            </w:rPr>
            <w:fldChar w:fldCharType="end"/>
          </w:r>
          <w:r>
            <w:rPr>
              <w:color w:val="auto"/>
            </w:rPr>
            <w:fldChar w:fldCharType="end"/>
          </w:r>
        </w:p>
        <w:p w14:paraId="5C3C77E4">
          <w:pPr>
            <w:pStyle w:val="18"/>
            <w:tabs>
              <w:tab w:val="right" w:leader="dot" w:pos="8901"/>
            </w:tabs>
            <w:ind w:left="480" w:firstLine="480"/>
            <w:rPr>
              <w:color w:val="auto"/>
            </w:rPr>
          </w:pPr>
          <w:r>
            <w:rPr>
              <w:color w:val="auto"/>
            </w:rPr>
            <w:fldChar w:fldCharType="begin"/>
          </w:r>
          <w:r>
            <w:rPr>
              <w:color w:val="auto"/>
            </w:rPr>
            <w:instrText xml:space="preserve"> HYPERLINK \l "_Toc5380" </w:instrText>
          </w:r>
          <w:r>
            <w:rPr>
              <w:color w:val="auto"/>
            </w:rPr>
            <w:fldChar w:fldCharType="separate"/>
          </w:r>
          <w:r>
            <w:rPr>
              <w:color w:val="auto"/>
            </w:rPr>
            <w:t>8.1对水资源的影响</w:t>
          </w:r>
          <w:r>
            <w:rPr>
              <w:color w:val="auto"/>
            </w:rPr>
            <w:tab/>
          </w:r>
          <w:r>
            <w:rPr>
              <w:color w:val="auto"/>
            </w:rPr>
            <w:fldChar w:fldCharType="begin"/>
          </w:r>
          <w:r>
            <w:rPr>
              <w:color w:val="auto"/>
            </w:rPr>
            <w:instrText xml:space="preserve"> PAGEREF _Toc5380 \h </w:instrText>
          </w:r>
          <w:r>
            <w:rPr>
              <w:color w:val="auto"/>
            </w:rPr>
            <w:fldChar w:fldCharType="separate"/>
          </w:r>
          <w:r>
            <w:rPr>
              <w:color w:val="auto"/>
            </w:rPr>
            <w:t>137</w:t>
          </w:r>
          <w:r>
            <w:rPr>
              <w:color w:val="auto"/>
            </w:rPr>
            <w:fldChar w:fldCharType="end"/>
          </w:r>
          <w:r>
            <w:rPr>
              <w:color w:val="auto"/>
            </w:rPr>
            <w:fldChar w:fldCharType="end"/>
          </w:r>
        </w:p>
        <w:p w14:paraId="0F5A93F3">
          <w:pPr>
            <w:pStyle w:val="18"/>
            <w:tabs>
              <w:tab w:val="right" w:leader="dot" w:pos="8901"/>
            </w:tabs>
            <w:ind w:left="480" w:firstLine="480"/>
            <w:rPr>
              <w:color w:val="auto"/>
            </w:rPr>
          </w:pPr>
          <w:r>
            <w:rPr>
              <w:color w:val="auto"/>
            </w:rPr>
            <w:fldChar w:fldCharType="begin"/>
          </w:r>
          <w:r>
            <w:rPr>
              <w:color w:val="auto"/>
            </w:rPr>
            <w:instrText xml:space="preserve"> HYPERLINK \l "_Toc28569" </w:instrText>
          </w:r>
          <w:r>
            <w:rPr>
              <w:color w:val="auto"/>
            </w:rPr>
            <w:fldChar w:fldCharType="separate"/>
          </w:r>
          <w:r>
            <w:rPr>
              <w:color w:val="auto"/>
            </w:rPr>
            <w:t>8.2对水生态的影响</w:t>
          </w:r>
          <w:r>
            <w:rPr>
              <w:color w:val="auto"/>
            </w:rPr>
            <w:tab/>
          </w:r>
          <w:r>
            <w:rPr>
              <w:color w:val="auto"/>
            </w:rPr>
            <w:fldChar w:fldCharType="begin"/>
          </w:r>
          <w:r>
            <w:rPr>
              <w:color w:val="auto"/>
            </w:rPr>
            <w:instrText xml:space="preserve"> PAGEREF _Toc28569 \h </w:instrText>
          </w:r>
          <w:r>
            <w:rPr>
              <w:color w:val="auto"/>
            </w:rPr>
            <w:fldChar w:fldCharType="separate"/>
          </w:r>
          <w:r>
            <w:rPr>
              <w:color w:val="auto"/>
            </w:rPr>
            <w:t>143</w:t>
          </w:r>
          <w:r>
            <w:rPr>
              <w:color w:val="auto"/>
            </w:rPr>
            <w:fldChar w:fldCharType="end"/>
          </w:r>
          <w:r>
            <w:rPr>
              <w:color w:val="auto"/>
            </w:rPr>
            <w:fldChar w:fldCharType="end"/>
          </w:r>
        </w:p>
        <w:p w14:paraId="22025BFB">
          <w:pPr>
            <w:pStyle w:val="18"/>
            <w:tabs>
              <w:tab w:val="right" w:leader="dot" w:pos="8901"/>
            </w:tabs>
            <w:ind w:left="480" w:firstLine="480"/>
            <w:rPr>
              <w:color w:val="auto"/>
            </w:rPr>
          </w:pPr>
          <w:r>
            <w:rPr>
              <w:color w:val="auto"/>
            </w:rPr>
            <w:fldChar w:fldCharType="begin"/>
          </w:r>
          <w:r>
            <w:rPr>
              <w:color w:val="auto"/>
            </w:rPr>
            <w:instrText xml:space="preserve"> HYPERLINK \l "_Toc26190" </w:instrText>
          </w:r>
          <w:r>
            <w:rPr>
              <w:color w:val="auto"/>
            </w:rPr>
            <w:fldChar w:fldCharType="separate"/>
          </w:r>
          <w:r>
            <w:rPr>
              <w:color w:val="auto"/>
            </w:rPr>
            <w:t>8.3应急处置预案</w:t>
          </w:r>
          <w:r>
            <w:rPr>
              <w:color w:val="auto"/>
            </w:rPr>
            <w:tab/>
          </w:r>
          <w:r>
            <w:rPr>
              <w:color w:val="auto"/>
            </w:rPr>
            <w:fldChar w:fldCharType="begin"/>
          </w:r>
          <w:r>
            <w:rPr>
              <w:color w:val="auto"/>
            </w:rPr>
            <w:instrText xml:space="preserve"> PAGEREF _Toc26190 \h </w:instrText>
          </w:r>
          <w:r>
            <w:rPr>
              <w:color w:val="auto"/>
            </w:rPr>
            <w:fldChar w:fldCharType="separate"/>
          </w:r>
          <w:r>
            <w:rPr>
              <w:color w:val="auto"/>
            </w:rPr>
            <w:t>144</w:t>
          </w:r>
          <w:r>
            <w:rPr>
              <w:color w:val="auto"/>
            </w:rPr>
            <w:fldChar w:fldCharType="end"/>
          </w:r>
          <w:r>
            <w:rPr>
              <w:color w:val="auto"/>
            </w:rPr>
            <w:fldChar w:fldCharType="end"/>
          </w:r>
        </w:p>
        <w:p w14:paraId="73E17E7F">
          <w:pPr>
            <w:pStyle w:val="17"/>
            <w:tabs>
              <w:tab w:val="right" w:leader="dot" w:pos="8901"/>
            </w:tabs>
            <w:ind w:firstLine="482"/>
            <w:rPr>
              <w:color w:val="auto"/>
            </w:rPr>
          </w:pPr>
          <w:r>
            <w:rPr>
              <w:color w:val="auto"/>
            </w:rPr>
            <w:fldChar w:fldCharType="begin"/>
          </w:r>
          <w:r>
            <w:rPr>
              <w:color w:val="auto"/>
            </w:rPr>
            <w:instrText xml:space="preserve"> HYPERLINK \l "_Toc20742" </w:instrText>
          </w:r>
          <w:r>
            <w:rPr>
              <w:color w:val="auto"/>
            </w:rPr>
            <w:fldChar w:fldCharType="separate"/>
          </w:r>
          <w:r>
            <w:rPr>
              <w:color w:val="auto"/>
            </w:rPr>
            <w:t>9水资源节约保护管理对策措施</w:t>
          </w:r>
          <w:r>
            <w:rPr>
              <w:color w:val="auto"/>
            </w:rPr>
            <w:tab/>
          </w:r>
          <w:r>
            <w:rPr>
              <w:color w:val="auto"/>
            </w:rPr>
            <w:fldChar w:fldCharType="begin"/>
          </w:r>
          <w:r>
            <w:rPr>
              <w:color w:val="auto"/>
            </w:rPr>
            <w:instrText xml:space="preserve"> PAGEREF _Toc20742 \h </w:instrText>
          </w:r>
          <w:r>
            <w:rPr>
              <w:color w:val="auto"/>
            </w:rPr>
            <w:fldChar w:fldCharType="separate"/>
          </w:r>
          <w:r>
            <w:rPr>
              <w:color w:val="auto"/>
            </w:rPr>
            <w:t>150</w:t>
          </w:r>
          <w:r>
            <w:rPr>
              <w:color w:val="auto"/>
            </w:rPr>
            <w:fldChar w:fldCharType="end"/>
          </w:r>
          <w:r>
            <w:rPr>
              <w:color w:val="auto"/>
            </w:rPr>
            <w:fldChar w:fldCharType="end"/>
          </w:r>
        </w:p>
        <w:p w14:paraId="6CC00A7F">
          <w:pPr>
            <w:pStyle w:val="18"/>
            <w:tabs>
              <w:tab w:val="right" w:leader="dot" w:pos="8901"/>
            </w:tabs>
            <w:ind w:left="480" w:firstLine="480"/>
            <w:rPr>
              <w:color w:val="auto"/>
            </w:rPr>
          </w:pPr>
          <w:r>
            <w:rPr>
              <w:color w:val="auto"/>
            </w:rPr>
            <w:fldChar w:fldCharType="begin"/>
          </w:r>
          <w:r>
            <w:rPr>
              <w:color w:val="auto"/>
            </w:rPr>
            <w:instrText xml:space="preserve"> HYPERLINK \l "_Toc15815" </w:instrText>
          </w:r>
          <w:r>
            <w:rPr>
              <w:color w:val="auto"/>
            </w:rPr>
            <w:fldChar w:fldCharType="separate"/>
          </w:r>
          <w:r>
            <w:rPr>
              <w:color w:val="auto"/>
            </w:rPr>
            <w:t>9.1节约用水措施</w:t>
          </w:r>
          <w:r>
            <w:rPr>
              <w:color w:val="auto"/>
            </w:rPr>
            <w:tab/>
          </w:r>
          <w:r>
            <w:rPr>
              <w:color w:val="auto"/>
            </w:rPr>
            <w:fldChar w:fldCharType="begin"/>
          </w:r>
          <w:r>
            <w:rPr>
              <w:color w:val="auto"/>
            </w:rPr>
            <w:instrText xml:space="preserve"> PAGEREF _Toc15815 \h </w:instrText>
          </w:r>
          <w:r>
            <w:rPr>
              <w:color w:val="auto"/>
            </w:rPr>
            <w:fldChar w:fldCharType="separate"/>
          </w:r>
          <w:r>
            <w:rPr>
              <w:color w:val="auto"/>
            </w:rPr>
            <w:t>150</w:t>
          </w:r>
          <w:r>
            <w:rPr>
              <w:color w:val="auto"/>
            </w:rPr>
            <w:fldChar w:fldCharType="end"/>
          </w:r>
          <w:r>
            <w:rPr>
              <w:color w:val="auto"/>
            </w:rPr>
            <w:fldChar w:fldCharType="end"/>
          </w:r>
        </w:p>
        <w:p w14:paraId="6799853D">
          <w:pPr>
            <w:pStyle w:val="18"/>
            <w:tabs>
              <w:tab w:val="right" w:leader="dot" w:pos="8901"/>
            </w:tabs>
            <w:ind w:left="480" w:firstLine="480"/>
            <w:rPr>
              <w:color w:val="auto"/>
            </w:rPr>
          </w:pPr>
          <w:r>
            <w:rPr>
              <w:color w:val="auto"/>
            </w:rPr>
            <w:fldChar w:fldCharType="begin"/>
          </w:r>
          <w:r>
            <w:rPr>
              <w:color w:val="auto"/>
            </w:rPr>
            <w:instrText xml:space="preserve"> HYPERLINK \l "_Toc25720" </w:instrText>
          </w:r>
          <w:r>
            <w:rPr>
              <w:color w:val="auto"/>
            </w:rPr>
            <w:fldChar w:fldCharType="separate"/>
          </w:r>
          <w:r>
            <w:rPr>
              <w:color w:val="auto"/>
            </w:rPr>
            <w:t>9.2水资源保护措施</w:t>
          </w:r>
          <w:r>
            <w:rPr>
              <w:color w:val="auto"/>
            </w:rPr>
            <w:tab/>
          </w:r>
          <w:r>
            <w:rPr>
              <w:color w:val="auto"/>
            </w:rPr>
            <w:fldChar w:fldCharType="begin"/>
          </w:r>
          <w:r>
            <w:rPr>
              <w:color w:val="auto"/>
            </w:rPr>
            <w:instrText xml:space="preserve"> PAGEREF _Toc25720 \h </w:instrText>
          </w:r>
          <w:r>
            <w:rPr>
              <w:color w:val="auto"/>
            </w:rPr>
            <w:fldChar w:fldCharType="separate"/>
          </w:r>
          <w:r>
            <w:rPr>
              <w:color w:val="auto"/>
            </w:rPr>
            <w:t>153</w:t>
          </w:r>
          <w:r>
            <w:rPr>
              <w:color w:val="auto"/>
            </w:rPr>
            <w:fldChar w:fldCharType="end"/>
          </w:r>
          <w:r>
            <w:rPr>
              <w:color w:val="auto"/>
            </w:rPr>
            <w:fldChar w:fldCharType="end"/>
          </w:r>
        </w:p>
        <w:p w14:paraId="597853A9">
          <w:pPr>
            <w:pStyle w:val="18"/>
            <w:tabs>
              <w:tab w:val="right" w:leader="dot" w:pos="8901"/>
            </w:tabs>
            <w:ind w:left="480" w:firstLine="480"/>
            <w:rPr>
              <w:color w:val="auto"/>
            </w:rPr>
          </w:pPr>
          <w:r>
            <w:rPr>
              <w:color w:val="auto"/>
            </w:rPr>
            <w:fldChar w:fldCharType="begin"/>
          </w:r>
          <w:r>
            <w:rPr>
              <w:color w:val="auto"/>
            </w:rPr>
            <w:instrText xml:space="preserve"> HYPERLINK \l "_Toc3705" </w:instrText>
          </w:r>
          <w:r>
            <w:rPr>
              <w:color w:val="auto"/>
            </w:rPr>
            <w:fldChar w:fldCharType="separate"/>
          </w:r>
          <w:r>
            <w:rPr>
              <w:color w:val="auto"/>
            </w:rPr>
            <w:t>9.3水资源管理措施</w:t>
          </w:r>
          <w:r>
            <w:rPr>
              <w:color w:val="auto"/>
            </w:rPr>
            <w:tab/>
          </w:r>
          <w:r>
            <w:rPr>
              <w:color w:val="auto"/>
            </w:rPr>
            <w:fldChar w:fldCharType="begin"/>
          </w:r>
          <w:r>
            <w:rPr>
              <w:color w:val="auto"/>
            </w:rPr>
            <w:instrText xml:space="preserve"> PAGEREF _Toc3705 \h </w:instrText>
          </w:r>
          <w:r>
            <w:rPr>
              <w:color w:val="auto"/>
            </w:rPr>
            <w:fldChar w:fldCharType="separate"/>
          </w:r>
          <w:r>
            <w:rPr>
              <w:color w:val="auto"/>
            </w:rPr>
            <w:t>155</w:t>
          </w:r>
          <w:r>
            <w:rPr>
              <w:color w:val="auto"/>
            </w:rPr>
            <w:fldChar w:fldCharType="end"/>
          </w:r>
          <w:r>
            <w:rPr>
              <w:color w:val="auto"/>
            </w:rPr>
            <w:fldChar w:fldCharType="end"/>
          </w:r>
        </w:p>
        <w:p w14:paraId="41C11DAB">
          <w:pPr>
            <w:pStyle w:val="17"/>
            <w:tabs>
              <w:tab w:val="right" w:leader="dot" w:pos="8901"/>
            </w:tabs>
            <w:ind w:firstLine="482"/>
            <w:rPr>
              <w:color w:val="auto"/>
            </w:rPr>
          </w:pPr>
          <w:r>
            <w:rPr>
              <w:color w:val="auto"/>
            </w:rPr>
            <w:fldChar w:fldCharType="begin"/>
          </w:r>
          <w:r>
            <w:rPr>
              <w:color w:val="auto"/>
            </w:rPr>
            <w:instrText xml:space="preserve"> HYPERLINK \l "_Toc18285" </w:instrText>
          </w:r>
          <w:r>
            <w:rPr>
              <w:color w:val="auto"/>
            </w:rPr>
            <w:fldChar w:fldCharType="separate"/>
          </w:r>
          <w:r>
            <w:rPr>
              <w:color w:val="auto"/>
            </w:rPr>
            <w:t>10结论及建议</w:t>
          </w:r>
          <w:r>
            <w:rPr>
              <w:color w:val="auto"/>
            </w:rPr>
            <w:tab/>
          </w:r>
          <w:r>
            <w:rPr>
              <w:color w:val="auto"/>
            </w:rPr>
            <w:fldChar w:fldCharType="begin"/>
          </w:r>
          <w:r>
            <w:rPr>
              <w:color w:val="auto"/>
            </w:rPr>
            <w:instrText xml:space="preserve"> PAGEREF _Toc18285 \h </w:instrText>
          </w:r>
          <w:r>
            <w:rPr>
              <w:color w:val="auto"/>
            </w:rPr>
            <w:fldChar w:fldCharType="separate"/>
          </w:r>
          <w:r>
            <w:rPr>
              <w:color w:val="auto"/>
            </w:rPr>
            <w:t>156</w:t>
          </w:r>
          <w:r>
            <w:rPr>
              <w:color w:val="auto"/>
            </w:rPr>
            <w:fldChar w:fldCharType="end"/>
          </w:r>
          <w:r>
            <w:rPr>
              <w:color w:val="auto"/>
            </w:rPr>
            <w:fldChar w:fldCharType="end"/>
          </w:r>
        </w:p>
        <w:p w14:paraId="6B9BF8CB">
          <w:pPr>
            <w:pStyle w:val="18"/>
            <w:tabs>
              <w:tab w:val="right" w:leader="dot" w:pos="8901"/>
            </w:tabs>
            <w:ind w:left="480" w:firstLine="480"/>
            <w:rPr>
              <w:color w:val="auto"/>
            </w:rPr>
          </w:pPr>
          <w:r>
            <w:rPr>
              <w:color w:val="auto"/>
            </w:rPr>
            <w:fldChar w:fldCharType="begin"/>
          </w:r>
          <w:r>
            <w:rPr>
              <w:color w:val="auto"/>
            </w:rPr>
            <w:instrText xml:space="preserve"> HYPERLINK \l "_Toc1047" </w:instrText>
          </w:r>
          <w:r>
            <w:rPr>
              <w:color w:val="auto"/>
            </w:rPr>
            <w:fldChar w:fldCharType="separate"/>
          </w:r>
          <w:r>
            <w:rPr>
              <w:color w:val="auto"/>
            </w:rPr>
            <w:t>10.1结论</w:t>
          </w:r>
          <w:r>
            <w:rPr>
              <w:color w:val="auto"/>
            </w:rPr>
            <w:tab/>
          </w:r>
          <w:r>
            <w:rPr>
              <w:color w:val="auto"/>
            </w:rPr>
            <w:fldChar w:fldCharType="begin"/>
          </w:r>
          <w:r>
            <w:rPr>
              <w:color w:val="auto"/>
            </w:rPr>
            <w:instrText xml:space="preserve"> PAGEREF _Toc1047 \h </w:instrText>
          </w:r>
          <w:r>
            <w:rPr>
              <w:color w:val="auto"/>
            </w:rPr>
            <w:fldChar w:fldCharType="separate"/>
          </w:r>
          <w:r>
            <w:rPr>
              <w:color w:val="auto"/>
            </w:rPr>
            <w:t>156</w:t>
          </w:r>
          <w:r>
            <w:rPr>
              <w:color w:val="auto"/>
            </w:rPr>
            <w:fldChar w:fldCharType="end"/>
          </w:r>
          <w:r>
            <w:rPr>
              <w:color w:val="auto"/>
            </w:rPr>
            <w:fldChar w:fldCharType="end"/>
          </w:r>
        </w:p>
        <w:p w14:paraId="6A206330">
          <w:pPr>
            <w:pStyle w:val="18"/>
            <w:tabs>
              <w:tab w:val="right" w:leader="dot" w:pos="8901"/>
            </w:tabs>
            <w:ind w:left="480" w:firstLine="480"/>
            <w:rPr>
              <w:color w:val="auto"/>
            </w:rPr>
          </w:pPr>
          <w:r>
            <w:rPr>
              <w:color w:val="auto"/>
            </w:rPr>
            <w:fldChar w:fldCharType="begin"/>
          </w:r>
          <w:r>
            <w:rPr>
              <w:color w:val="auto"/>
            </w:rPr>
            <w:instrText xml:space="preserve"> HYPERLINK \l "_Toc12854" </w:instrText>
          </w:r>
          <w:r>
            <w:rPr>
              <w:color w:val="auto"/>
            </w:rPr>
            <w:fldChar w:fldCharType="separate"/>
          </w:r>
          <w:r>
            <w:rPr>
              <w:color w:val="auto"/>
            </w:rPr>
            <w:t>10.2建议</w:t>
          </w:r>
          <w:r>
            <w:rPr>
              <w:color w:val="auto"/>
            </w:rPr>
            <w:tab/>
          </w:r>
          <w:r>
            <w:rPr>
              <w:color w:val="auto"/>
            </w:rPr>
            <w:fldChar w:fldCharType="begin"/>
          </w:r>
          <w:r>
            <w:rPr>
              <w:color w:val="auto"/>
            </w:rPr>
            <w:instrText xml:space="preserve"> PAGEREF _Toc12854 \h </w:instrText>
          </w:r>
          <w:r>
            <w:rPr>
              <w:color w:val="auto"/>
            </w:rPr>
            <w:fldChar w:fldCharType="separate"/>
          </w:r>
          <w:r>
            <w:rPr>
              <w:color w:val="auto"/>
            </w:rPr>
            <w:t>161</w:t>
          </w:r>
          <w:r>
            <w:rPr>
              <w:color w:val="auto"/>
            </w:rPr>
            <w:fldChar w:fldCharType="end"/>
          </w:r>
          <w:r>
            <w:rPr>
              <w:color w:val="auto"/>
            </w:rPr>
            <w:fldChar w:fldCharType="end"/>
          </w:r>
        </w:p>
        <w:p w14:paraId="6041D22B">
          <w:pPr>
            <w:ind w:firstLine="480"/>
            <w:rPr>
              <w:color w:val="auto"/>
            </w:rPr>
          </w:pPr>
          <w:r>
            <w:rPr>
              <w:color w:val="auto"/>
              <w:szCs w:val="24"/>
            </w:rPr>
            <w:fldChar w:fldCharType="end"/>
          </w:r>
        </w:p>
      </w:sdtContent>
    </w:sdt>
    <w:p w14:paraId="7CB671C4">
      <w:pPr>
        <w:ind w:firstLine="482"/>
        <w:rPr>
          <w:b/>
          <w:bCs/>
          <w:color w:val="auto"/>
        </w:rPr>
      </w:pPr>
      <w:r>
        <w:rPr>
          <w:b/>
          <w:bCs/>
          <w:color w:val="auto"/>
        </w:rPr>
        <w:t>附件：</w:t>
      </w:r>
    </w:p>
    <w:p w14:paraId="510F5F52">
      <w:pPr>
        <w:ind w:firstLine="480"/>
        <w:rPr>
          <w:color w:val="auto"/>
        </w:rPr>
      </w:pPr>
      <w:r>
        <w:rPr>
          <w:color w:val="auto"/>
        </w:rPr>
        <w:t>附件1  委托书</w:t>
      </w:r>
    </w:p>
    <w:p w14:paraId="2EAD987A">
      <w:pPr>
        <w:ind w:firstLine="480"/>
        <w:rPr>
          <w:color w:val="auto"/>
        </w:rPr>
      </w:pPr>
      <w:r>
        <w:rPr>
          <w:color w:val="auto"/>
        </w:rPr>
        <w:t>附件2  中国开发区审核公共目录（2018版）</w:t>
      </w:r>
    </w:p>
    <w:p w14:paraId="5558E904">
      <w:pPr>
        <w:ind w:firstLine="480"/>
        <w:rPr>
          <w:color w:val="auto"/>
        </w:rPr>
      </w:pPr>
      <w:r>
        <w:rPr>
          <w:color w:val="auto"/>
        </w:rPr>
        <w:t>附件3  重庆市九龙工业园区批复（渝府[2006]98号）</w:t>
      </w:r>
    </w:p>
    <w:p w14:paraId="2FC70E52">
      <w:pPr>
        <w:ind w:firstLine="480"/>
        <w:rPr>
          <w:color w:val="auto"/>
        </w:rPr>
      </w:pPr>
      <w:r>
        <w:rPr>
          <w:color w:val="auto"/>
        </w:rPr>
        <w:t>附件4  重庆市人民政府关于《九龙园区控制性详细规划调整》的批复（渝府[2003] 173号）</w:t>
      </w:r>
    </w:p>
    <w:p w14:paraId="18E4FA41">
      <w:pPr>
        <w:ind w:firstLine="480"/>
        <w:rPr>
          <w:color w:val="auto"/>
        </w:rPr>
      </w:pPr>
      <w:r>
        <w:rPr>
          <w:color w:val="auto"/>
        </w:rPr>
        <w:t>附件5  重庆市人民政府关于《中梁山组团D标准分区控制性详细规划》（渝府[2003] 275号）</w:t>
      </w:r>
    </w:p>
    <w:p w14:paraId="45401D7E">
      <w:pPr>
        <w:ind w:firstLine="480"/>
        <w:rPr>
          <w:color w:val="auto"/>
        </w:rPr>
      </w:pPr>
      <w:r>
        <w:rPr>
          <w:color w:val="auto"/>
        </w:rPr>
        <w:t>附件6 重庆市人民政府关于《主城区中梁山组团E标准分区控制性详细规划》（渝府[2003] 142号）</w:t>
      </w:r>
    </w:p>
    <w:p w14:paraId="749710B2">
      <w:pPr>
        <w:ind w:firstLine="480"/>
        <w:rPr>
          <w:color w:val="auto"/>
        </w:rPr>
      </w:pPr>
      <w:r>
        <w:rPr>
          <w:color w:val="auto"/>
        </w:rPr>
        <w:t>附件7 重庆市人民政府关于《主城区中梁山组团F标准分区控制性详细规划》的批复（渝府[2003] 140号）</w:t>
      </w:r>
    </w:p>
    <w:p w14:paraId="2595141E">
      <w:pPr>
        <w:ind w:firstLine="480"/>
        <w:rPr>
          <w:color w:val="auto"/>
        </w:rPr>
      </w:pPr>
      <w:r>
        <w:rPr>
          <w:color w:val="auto"/>
        </w:rPr>
        <w:t>附件8 重庆市人民政府关于《主城区中梁山组团G标准分区控制性详细规划》的批复（渝府[2003] 40号）</w:t>
      </w:r>
    </w:p>
    <w:p w14:paraId="07A50EA1">
      <w:pPr>
        <w:ind w:firstLine="480"/>
        <w:rPr>
          <w:color w:val="auto"/>
        </w:rPr>
      </w:pPr>
      <w:r>
        <w:rPr>
          <w:color w:val="auto"/>
        </w:rPr>
        <w:t>附件9 重庆市人民政府关于《主城区中梁山组团H标准分区控制性详细规划》的批复（渝府[2003] 183号）</w:t>
      </w:r>
    </w:p>
    <w:p w14:paraId="50FA15CA">
      <w:pPr>
        <w:ind w:firstLine="480"/>
        <w:rPr>
          <w:color w:val="auto"/>
        </w:rPr>
      </w:pPr>
      <w:r>
        <w:rPr>
          <w:color w:val="auto"/>
        </w:rPr>
        <w:t>附件10 重庆市人民政府关于《主城区中梁山组团J标准分区控制性详细规划》的批复（渝府[2003]46号）</w:t>
      </w:r>
    </w:p>
    <w:p w14:paraId="6764925F">
      <w:pPr>
        <w:ind w:firstLine="480"/>
        <w:rPr>
          <w:color w:val="auto"/>
        </w:rPr>
      </w:pPr>
      <w:r>
        <w:rPr>
          <w:color w:val="auto"/>
        </w:rPr>
        <w:t>附件11 重庆市人民政府关于《大渡口D标准分区控制性详细规划》的批复（渝府[2004] 279号）</w:t>
      </w:r>
    </w:p>
    <w:p w14:paraId="67A155E2">
      <w:pPr>
        <w:ind w:firstLine="480"/>
        <w:rPr>
          <w:color w:val="auto"/>
        </w:rPr>
      </w:pPr>
      <w:r>
        <w:rPr>
          <w:color w:val="auto"/>
        </w:rPr>
        <w:t>附件12 重庆市人民政府关于《主城区大渡口组团I标准分区控制性详细规划》的批复（渝府[2006]17号）</w:t>
      </w:r>
    </w:p>
    <w:p w14:paraId="5600974B">
      <w:pPr>
        <w:ind w:firstLine="480"/>
        <w:rPr>
          <w:color w:val="auto"/>
        </w:rPr>
      </w:pPr>
      <w:r>
        <w:rPr>
          <w:color w:val="auto"/>
        </w:rPr>
        <w:t>附件13 重庆市人民政府关于《中梁山组团IKL标准分区及大渡口组团KO标准分区部分地段控制性详细规划》的批复（渝府[2005]46号）</w:t>
      </w:r>
    </w:p>
    <w:p w14:paraId="1D75CA40">
      <w:pPr>
        <w:ind w:firstLine="480"/>
        <w:rPr>
          <w:color w:val="auto"/>
        </w:rPr>
      </w:pPr>
      <w:r>
        <w:rPr>
          <w:color w:val="auto"/>
        </w:rPr>
        <w:t>附件14  西彭组团O分区抄告单（2012.7.26）</w:t>
      </w:r>
    </w:p>
    <w:p w14:paraId="1F9584A1">
      <w:pPr>
        <w:ind w:firstLine="480"/>
        <w:rPr>
          <w:color w:val="auto"/>
        </w:rPr>
      </w:pPr>
      <w:r>
        <w:rPr>
          <w:color w:val="auto"/>
        </w:rPr>
        <w:t>附件15  西彭组团L分区抄告单（2012.1.13）</w:t>
      </w:r>
    </w:p>
    <w:p w14:paraId="31D53FF0">
      <w:pPr>
        <w:ind w:firstLine="480"/>
        <w:rPr>
          <w:color w:val="auto"/>
        </w:rPr>
      </w:pPr>
      <w:r>
        <w:rPr>
          <w:color w:val="auto"/>
        </w:rPr>
        <w:t>附件16  重庆九龙工业园区（西彭组团O、L标准分区部分）面积调整说明</w:t>
      </w:r>
    </w:p>
    <w:p w14:paraId="6A1B2979">
      <w:pPr>
        <w:ind w:firstLine="480"/>
        <w:rPr>
          <w:color w:val="auto"/>
        </w:rPr>
      </w:pPr>
      <w:r>
        <w:rPr>
          <w:color w:val="auto"/>
        </w:rPr>
        <w:t>附件17 中共重庆市九龙坡区委、重庆市九龙坡区人民政府关于《加快高新技术产业开发区九龙园区建设与发展的意见》（九龙坡委[2002] 13号）</w:t>
      </w:r>
    </w:p>
    <w:p w14:paraId="20471DF8">
      <w:pPr>
        <w:ind w:firstLine="480"/>
        <w:rPr>
          <w:color w:val="auto"/>
        </w:rPr>
      </w:pPr>
      <w:r>
        <w:rPr>
          <w:color w:val="auto"/>
        </w:rPr>
        <w:t>附件18 重庆市九龙坡区人民政府关于《重庆九龙工业园区申请扩区有关事宜的函》（九龙坡函 [2018]133号）</w:t>
      </w:r>
    </w:p>
    <w:p w14:paraId="3F2CDE85">
      <w:pPr>
        <w:ind w:firstLine="480"/>
        <w:rPr>
          <w:color w:val="auto"/>
        </w:rPr>
      </w:pPr>
      <w:r>
        <w:rPr>
          <w:color w:val="auto"/>
        </w:rPr>
        <w:t>附件19 九龙坡与大渡口土地置换文件（2009.11.30）</w:t>
      </w:r>
    </w:p>
    <w:p w14:paraId="31C3851E">
      <w:pPr>
        <w:ind w:firstLine="480"/>
        <w:rPr>
          <w:color w:val="auto"/>
        </w:rPr>
      </w:pPr>
      <w:r>
        <w:rPr>
          <w:color w:val="auto"/>
        </w:rPr>
        <w:t>附件20  重庆市人民代表大会常务委员会公告</w:t>
      </w:r>
    </w:p>
    <w:p w14:paraId="257567AD">
      <w:pPr>
        <w:ind w:firstLine="480"/>
        <w:rPr>
          <w:color w:val="auto"/>
        </w:rPr>
      </w:pPr>
      <w:r>
        <w:rPr>
          <w:color w:val="auto"/>
        </w:rPr>
        <w:t>附件21  重庆市九龙坡区人民政府关于同意重庆九龙工业园区管辖控制范围的批复（九龙坡府[2016]54号）</w:t>
      </w:r>
    </w:p>
    <w:p w14:paraId="45135772">
      <w:pPr>
        <w:ind w:firstLine="480"/>
        <w:rPr>
          <w:color w:val="auto"/>
        </w:rPr>
      </w:pPr>
      <w:r>
        <w:rPr>
          <w:color w:val="auto"/>
        </w:rPr>
        <w:t>附件22  重庆市环保局关于重庆市九龙工业园区B区规划环境影响报告书的审查函（渝环函〔2017〕995号）</w:t>
      </w:r>
    </w:p>
    <w:p w14:paraId="1FDE9E3B">
      <w:pPr>
        <w:ind w:firstLine="480"/>
        <w:rPr>
          <w:color w:val="auto"/>
        </w:rPr>
      </w:pPr>
      <w:r>
        <w:rPr>
          <w:color w:val="auto"/>
        </w:rPr>
        <w:t>附件23  重庆市环保局关于重庆市九龙工业园区C区规划环境影响报告书的审查函（渝环函〔2017〕1130号）</w:t>
      </w:r>
    </w:p>
    <w:p w14:paraId="6122B84E">
      <w:pPr>
        <w:ind w:firstLine="480"/>
        <w:rPr>
          <w:color w:val="auto"/>
        </w:rPr>
      </w:pPr>
      <w:r>
        <w:rPr>
          <w:color w:val="auto"/>
        </w:rPr>
        <w:t>附件24  重庆市环保局关于重庆市九龙工业园区B3区规划（修编）环境影响报告书的审查函（渝环函〔2019〕765号）</w:t>
      </w:r>
    </w:p>
    <w:p w14:paraId="4C4161FA">
      <w:pPr>
        <w:ind w:firstLine="480"/>
        <w:rPr>
          <w:color w:val="auto"/>
        </w:rPr>
      </w:pPr>
      <w:r>
        <w:rPr>
          <w:color w:val="auto"/>
        </w:rPr>
        <w:t>附件25  重庆市环保局关于重庆市九龙工业园区C区规划补充环境影响报告书的审查函（渝环函〔2020〕464号）</w:t>
      </w:r>
    </w:p>
    <w:p w14:paraId="3FBD8942">
      <w:pPr>
        <w:ind w:firstLine="480"/>
        <w:rPr>
          <w:color w:val="auto"/>
        </w:rPr>
      </w:pPr>
      <w:r>
        <w:rPr>
          <w:color w:val="auto"/>
        </w:rPr>
        <w:t>附件26  和尚山水厂原水水质监测报告</w:t>
      </w:r>
    </w:p>
    <w:p w14:paraId="6B4FC08F">
      <w:pPr>
        <w:ind w:firstLine="480"/>
        <w:rPr>
          <w:color w:val="auto"/>
        </w:rPr>
      </w:pPr>
      <w:r>
        <w:rPr>
          <w:color w:val="auto"/>
        </w:rPr>
        <w:t>附件27  和尚山水厂出厂水水质监测报告</w:t>
      </w:r>
    </w:p>
    <w:p w14:paraId="3E183D34">
      <w:pPr>
        <w:ind w:firstLine="480"/>
        <w:rPr>
          <w:color w:val="auto"/>
        </w:rPr>
      </w:pPr>
      <w:r>
        <w:rPr>
          <w:color w:val="auto"/>
        </w:rPr>
        <w:t>附件28  重庆市九龙坡区农业农村委员会关于确认和尚山水厂用水指标的报告</w:t>
      </w:r>
    </w:p>
    <w:p w14:paraId="50602B97">
      <w:pPr>
        <w:tabs>
          <w:tab w:val="left" w:pos="5580"/>
        </w:tabs>
        <w:ind w:firstLine="480"/>
        <w:jc w:val="left"/>
        <w:rPr>
          <w:color w:val="auto"/>
        </w:rPr>
      </w:pPr>
      <w:r>
        <w:rPr>
          <w:color w:val="auto"/>
        </w:rPr>
        <w:t>附件29  和尚山水厂取水的行政许可</w:t>
      </w:r>
    </w:p>
    <w:p w14:paraId="03A3A43F">
      <w:pPr>
        <w:tabs>
          <w:tab w:val="left" w:pos="5580"/>
        </w:tabs>
        <w:ind w:firstLine="480"/>
        <w:jc w:val="left"/>
        <w:rPr>
          <w:color w:val="auto"/>
        </w:rPr>
      </w:pPr>
      <w:r>
        <w:rPr>
          <w:color w:val="auto"/>
        </w:rPr>
        <w:t>附件30  丰收坝水厂原水水质监测报告</w:t>
      </w:r>
    </w:p>
    <w:p w14:paraId="2D25780A">
      <w:pPr>
        <w:ind w:firstLine="480"/>
        <w:rPr>
          <w:color w:val="auto"/>
        </w:rPr>
      </w:pPr>
      <w:r>
        <w:rPr>
          <w:color w:val="auto"/>
        </w:rPr>
        <w:t>附件31  丰收坝水厂一期二期工程取水申请的行政许可决定</w:t>
      </w:r>
    </w:p>
    <w:p w14:paraId="56AD87A5">
      <w:pPr>
        <w:ind w:firstLine="480"/>
        <w:rPr>
          <w:color w:val="auto"/>
        </w:rPr>
      </w:pPr>
      <w:r>
        <w:rPr>
          <w:color w:val="auto"/>
        </w:rPr>
        <w:t>附件32  关于西彭水厂扩建一期工程项目核准的批复</w:t>
      </w:r>
    </w:p>
    <w:p w14:paraId="6C6B104C">
      <w:pPr>
        <w:ind w:firstLine="480"/>
        <w:rPr>
          <w:color w:val="auto"/>
        </w:rPr>
      </w:pPr>
      <w:r>
        <w:rPr>
          <w:color w:val="auto"/>
        </w:rPr>
        <w:t>附件33  重庆市渝西水资源配置工程取水申请的行政许可</w:t>
      </w:r>
    </w:p>
    <w:p w14:paraId="06160A1F">
      <w:pPr>
        <w:ind w:firstLine="480"/>
        <w:rPr>
          <w:color w:val="auto"/>
        </w:rPr>
      </w:pPr>
    </w:p>
    <w:p w14:paraId="0D2CAC2D">
      <w:pPr>
        <w:ind w:firstLine="482"/>
        <w:rPr>
          <w:b/>
          <w:bCs/>
          <w:color w:val="auto"/>
        </w:rPr>
      </w:pPr>
      <w:r>
        <w:rPr>
          <w:b/>
          <w:bCs/>
          <w:color w:val="auto"/>
        </w:rPr>
        <w:t>附图：</w:t>
      </w:r>
    </w:p>
    <w:p w14:paraId="30CEAC15">
      <w:pPr>
        <w:ind w:firstLine="480"/>
        <w:rPr>
          <w:color w:val="auto"/>
        </w:rPr>
      </w:pPr>
      <w:r>
        <w:rPr>
          <w:color w:val="auto"/>
        </w:rPr>
        <w:t>附图1  九龙工业园区地理位置示意图；</w:t>
      </w:r>
    </w:p>
    <w:p w14:paraId="51D56E95">
      <w:pPr>
        <w:ind w:firstLine="480"/>
        <w:rPr>
          <w:color w:val="auto"/>
        </w:rPr>
      </w:pPr>
      <w:r>
        <w:rPr>
          <w:color w:val="auto"/>
        </w:rPr>
        <w:t>附图2  分析范围图</w:t>
      </w:r>
    </w:p>
    <w:p w14:paraId="64B39C1D">
      <w:pPr>
        <w:ind w:firstLine="480"/>
        <w:rPr>
          <w:color w:val="auto"/>
        </w:rPr>
      </w:pPr>
      <w:r>
        <w:rPr>
          <w:color w:val="auto"/>
        </w:rPr>
        <w:t>附图3</w:t>
      </w:r>
      <w:r>
        <w:rPr>
          <w:color w:val="auto"/>
        </w:rPr>
        <w:tab/>
      </w:r>
      <w:r>
        <w:rPr>
          <w:color w:val="auto"/>
        </w:rPr>
        <w:t xml:space="preserve"> 取水水源论证范围图</w:t>
      </w:r>
    </w:p>
    <w:p w14:paraId="5D10B416">
      <w:pPr>
        <w:ind w:firstLine="480"/>
        <w:rPr>
          <w:color w:val="auto"/>
        </w:rPr>
      </w:pPr>
      <w:r>
        <w:rPr>
          <w:color w:val="auto"/>
        </w:rPr>
        <w:t>附图4</w:t>
      </w:r>
      <w:r>
        <w:rPr>
          <w:color w:val="auto"/>
        </w:rPr>
        <w:tab/>
      </w:r>
      <w:r>
        <w:rPr>
          <w:color w:val="auto"/>
        </w:rPr>
        <w:t xml:space="preserve"> 取水影响范围图</w:t>
      </w:r>
    </w:p>
    <w:p w14:paraId="5ED7BE18">
      <w:pPr>
        <w:ind w:firstLine="480"/>
        <w:rPr>
          <w:color w:val="auto"/>
        </w:rPr>
      </w:pPr>
      <w:r>
        <w:rPr>
          <w:color w:val="auto"/>
        </w:rPr>
        <w:t>附图5</w:t>
      </w:r>
      <w:r>
        <w:rPr>
          <w:color w:val="auto"/>
        </w:rPr>
        <w:tab/>
      </w:r>
      <w:r>
        <w:rPr>
          <w:color w:val="auto"/>
        </w:rPr>
        <w:t xml:space="preserve"> </w:t>
      </w:r>
      <w:r>
        <w:rPr>
          <w:rFonts w:hint="eastAsia"/>
          <w:color w:val="auto"/>
        </w:rPr>
        <w:t>退水</w:t>
      </w:r>
      <w:r>
        <w:rPr>
          <w:color w:val="auto"/>
        </w:rPr>
        <w:t>影响范围图</w:t>
      </w:r>
    </w:p>
    <w:p w14:paraId="2C1628B7">
      <w:pPr>
        <w:ind w:firstLine="480"/>
        <w:rPr>
          <w:color w:val="auto"/>
        </w:rPr>
      </w:pPr>
      <w:r>
        <w:rPr>
          <w:color w:val="auto"/>
        </w:rPr>
        <w:t>附图6-1  朱沱水文站历年年平均流量频率曲线</w:t>
      </w:r>
    </w:p>
    <w:p w14:paraId="33080ECD">
      <w:pPr>
        <w:ind w:firstLine="480"/>
        <w:rPr>
          <w:color w:val="auto"/>
        </w:rPr>
      </w:pPr>
      <w:r>
        <w:rPr>
          <w:color w:val="auto"/>
        </w:rPr>
        <w:t>附图6-2  朱沱水文站历年最枯月平均流量频率曲线</w:t>
      </w:r>
    </w:p>
    <w:p w14:paraId="41273D59">
      <w:pPr>
        <w:ind w:firstLine="480"/>
        <w:rPr>
          <w:color w:val="auto"/>
        </w:rPr>
      </w:pPr>
      <w:r>
        <w:rPr>
          <w:color w:val="auto"/>
        </w:rPr>
        <w:t>附图6-3  朱沱水文站历年最小流量频率曲线</w:t>
      </w:r>
    </w:p>
    <w:p w14:paraId="047B4B2C">
      <w:pPr>
        <w:ind w:firstLine="480"/>
        <w:rPr>
          <w:color w:val="auto"/>
        </w:rPr>
      </w:pPr>
      <w:r>
        <w:rPr>
          <w:color w:val="auto"/>
        </w:rPr>
        <w:t>附图7  九龙坡区一级水功能区划图</w:t>
      </w:r>
    </w:p>
    <w:p w14:paraId="4A951444">
      <w:pPr>
        <w:ind w:firstLine="480"/>
        <w:rPr>
          <w:color w:val="auto"/>
        </w:rPr>
      </w:pPr>
      <w:r>
        <w:rPr>
          <w:color w:val="auto"/>
        </w:rPr>
        <w:t>附图8  九龙坡区一级水功能区划图</w:t>
      </w:r>
    </w:p>
    <w:p w14:paraId="7D263FD7">
      <w:pPr>
        <w:ind w:firstLine="480"/>
        <w:rPr>
          <w:color w:val="auto"/>
        </w:rPr>
      </w:pPr>
      <w:r>
        <w:rPr>
          <w:color w:val="auto"/>
        </w:rPr>
        <w:t>附图9  长江一级水功能区划图</w:t>
      </w:r>
    </w:p>
    <w:p w14:paraId="424E83B7">
      <w:pPr>
        <w:ind w:firstLine="480"/>
        <w:rPr>
          <w:color w:val="auto"/>
        </w:rPr>
      </w:pPr>
      <w:r>
        <w:rPr>
          <w:color w:val="auto"/>
        </w:rPr>
        <w:t>附图10  长江一级水功能区划图</w:t>
      </w:r>
    </w:p>
    <w:p w14:paraId="25D441CA">
      <w:pPr>
        <w:pStyle w:val="5"/>
        <w:spacing w:before="166" w:after="166"/>
        <w:rPr>
          <w:color w:val="auto"/>
        </w:rPr>
        <w:sectPr>
          <w:headerReference r:id="rId5" w:type="default"/>
          <w:footerReference r:id="rId6" w:type="default"/>
          <w:pgSz w:w="11905" w:h="16838"/>
          <w:pgMar w:top="1417" w:right="1417" w:bottom="1417" w:left="1587" w:header="850" w:footer="992" w:gutter="0"/>
          <w:pgNumType w:start="1"/>
          <w:cols w:space="0" w:num="1"/>
          <w:docGrid w:type="lines" w:linePitch="333" w:charSpace="0"/>
        </w:sectPr>
      </w:pPr>
    </w:p>
    <w:p w14:paraId="27E426DD">
      <w:pPr>
        <w:pStyle w:val="3"/>
        <w:numPr>
          <w:ilvl w:val="0"/>
          <w:numId w:val="0"/>
        </w:numPr>
        <w:spacing w:before="333" w:after="333"/>
        <w:rPr>
          <w:rFonts w:eastAsiaTheme="minorEastAsia"/>
          <w:color w:val="auto"/>
        </w:rPr>
      </w:pPr>
      <w:bookmarkStart w:id="1" w:name="_Toc8900"/>
      <w:r>
        <w:rPr>
          <w:rFonts w:eastAsiaTheme="minorEastAsia"/>
          <w:color w:val="auto"/>
        </w:rPr>
        <w:t>1</w:t>
      </w:r>
      <w:bookmarkEnd w:id="0"/>
      <w:r>
        <w:rPr>
          <w:rFonts w:eastAsiaTheme="minorEastAsia"/>
          <w:color w:val="auto"/>
        </w:rPr>
        <w:t>总 则</w:t>
      </w:r>
      <w:bookmarkEnd w:id="1"/>
    </w:p>
    <w:p w14:paraId="30D69E37">
      <w:pPr>
        <w:pStyle w:val="4"/>
        <w:numPr>
          <w:ilvl w:val="1"/>
          <w:numId w:val="0"/>
        </w:numPr>
        <w:spacing w:before="166" w:after="166"/>
        <w:rPr>
          <w:color w:val="auto"/>
        </w:rPr>
      </w:pPr>
      <w:bookmarkStart w:id="2" w:name="_Toc17288"/>
      <w:bookmarkStart w:id="3" w:name="_Toc22939"/>
      <w:r>
        <w:rPr>
          <w:color w:val="auto"/>
        </w:rPr>
        <w:t>1.1项目来源</w:t>
      </w:r>
      <w:bookmarkEnd w:id="2"/>
      <w:bookmarkEnd w:id="3"/>
    </w:p>
    <w:p w14:paraId="20B28E79">
      <w:pPr>
        <w:ind w:firstLine="480"/>
        <w:rPr>
          <w:color w:val="auto"/>
        </w:rPr>
      </w:pPr>
      <w:r>
        <w:rPr>
          <w:color w:val="auto"/>
        </w:rPr>
        <w:t>九龙园区位于重庆主城核心区——九龙坡区，是重庆唯一位于主城内环高速之内的工业园区，距重庆“三基地四港区”的各个重要交通节点均在半小时车程内，距重庆江北国际机场约30分钟，距成渝高速、内环高速公路入口2km，距九龙坡港、黄磏港仅10km，距重庆火车西站仅10km。</w:t>
      </w:r>
    </w:p>
    <w:p w14:paraId="1291854F">
      <w:pPr>
        <w:ind w:firstLine="480"/>
        <w:rPr>
          <w:color w:val="auto"/>
          <w:szCs w:val="28"/>
        </w:rPr>
      </w:pPr>
      <w:r>
        <w:rPr>
          <w:color w:val="auto"/>
          <w:szCs w:val="28"/>
        </w:rPr>
        <w:t>重庆九龙工业园区是国家发改委核准的省（市）级特色工业园区，是国家首批新型工业化示范基地、再制造基地。2018年，根据中华人民共和国国家发展和改革委员会等6部委《公告》（2018年第4号）中，中国开发区审核公告目录（2018年版）核定了重庆九龙工业园区范围，核准面积 2142.59hm</w:t>
      </w:r>
      <w:r>
        <w:rPr>
          <w:color w:val="auto"/>
          <w:szCs w:val="28"/>
          <w:vertAlign w:val="superscript"/>
        </w:rPr>
        <w:t>2</w:t>
      </w:r>
      <w:r>
        <w:rPr>
          <w:color w:val="auto"/>
          <w:szCs w:val="28"/>
        </w:rPr>
        <w:t>，包括A、B、C三个区，其中A区面积317.39hm</w:t>
      </w:r>
      <w:r>
        <w:rPr>
          <w:color w:val="auto"/>
          <w:szCs w:val="28"/>
          <w:vertAlign w:val="superscript"/>
        </w:rPr>
        <w:t>2</w:t>
      </w:r>
      <w:r>
        <w:rPr>
          <w:color w:val="auto"/>
          <w:szCs w:val="28"/>
        </w:rPr>
        <w:t>，B区面积475.94hm</w:t>
      </w:r>
      <w:r>
        <w:rPr>
          <w:color w:val="auto"/>
          <w:szCs w:val="28"/>
          <w:vertAlign w:val="superscript"/>
        </w:rPr>
        <w:t>2</w:t>
      </w:r>
      <w:r>
        <w:rPr>
          <w:color w:val="auto"/>
          <w:szCs w:val="28"/>
        </w:rPr>
        <w:t>，C区面积1349.26hm</w:t>
      </w:r>
      <w:r>
        <w:rPr>
          <w:color w:val="auto"/>
          <w:szCs w:val="28"/>
          <w:vertAlign w:val="superscript"/>
        </w:rPr>
        <w:t>2</w:t>
      </w:r>
      <w:r>
        <w:rPr>
          <w:color w:val="auto"/>
          <w:szCs w:val="28"/>
        </w:rPr>
        <w:t>。</w:t>
      </w:r>
    </w:p>
    <w:p w14:paraId="128A1003">
      <w:pPr>
        <w:ind w:firstLine="480"/>
        <w:rPr>
          <w:color w:val="auto"/>
        </w:rPr>
      </w:pPr>
      <w:r>
        <w:rPr>
          <w:color w:val="auto"/>
        </w:rPr>
        <w:t>2018年11月30日，重庆市工程建设项目审批制度改革试点工作领导小组办公室印发了《重庆市工程建设项目审批制度改革试点工作领导小组办公室关于转发市规划自然资源局重庆市建设项目区域整体评价工作实施细则（试行）的通知》（渝工程改办[2018]6 号），文中指出，推行由政府组织的区域整体评价。</w:t>
      </w:r>
    </w:p>
    <w:p w14:paraId="091CF546">
      <w:pPr>
        <w:ind w:firstLine="480"/>
        <w:rPr>
          <w:color w:val="auto"/>
        </w:rPr>
      </w:pPr>
      <w:r>
        <w:rPr>
          <w:color w:val="auto"/>
        </w:rPr>
        <w:t>2020年11月23日，为贯彻党中央、国务院关于深化“放管服”改革和优化营商环境的相关部署，落实《国务院办公厅关于开展工程建设项目审批制度改革试点的通知》（国发办[2018]33 号）、《国务院办公厅关于全面开展工程建设项目审批制度改革的实施意见》（国发办[2019] 11 号）等相关精神，按照市委市政府关于工程建设项目审批制度改革的要求</w:t>
      </w:r>
      <w:r>
        <w:rPr>
          <w:rFonts w:hint="eastAsia"/>
          <w:color w:val="auto"/>
        </w:rPr>
        <w:t>，</w:t>
      </w:r>
      <w:r>
        <w:rPr>
          <w:color w:val="auto"/>
        </w:rPr>
        <w:t>重庆市工程建设项目审批制度改革工作领导小组办公室印发了《关于印发加快推进区域整体评价工作实施方案的通知》（渝工改办[2020]4 号），文中明确按附件1确定的区域范围编制水资源论证区域整体评价。鼓励有条件的区县在完成确定的区域范围内所有整体评价事项工作后，拓展区域整体评价工作的范围。</w:t>
      </w:r>
    </w:p>
    <w:p w14:paraId="3868F12D">
      <w:pPr>
        <w:ind w:firstLine="480"/>
        <w:rPr>
          <w:color w:val="auto"/>
        </w:rPr>
      </w:pPr>
      <w:r>
        <w:rPr>
          <w:color w:val="auto"/>
        </w:rPr>
        <w:t>2020年3月1日，重庆市水利局印发了《重庆市水利局关于加快水资源论证区域</w:t>
      </w:r>
    </w:p>
    <w:p w14:paraId="6178B4EB">
      <w:pPr>
        <w:ind w:firstLine="0" w:firstLineChars="0"/>
        <w:rPr>
          <w:color w:val="auto"/>
        </w:rPr>
      </w:pPr>
      <w:r>
        <w:rPr>
          <w:color w:val="auto"/>
        </w:rPr>
        <w:t>整体评价工作的通知》（渝水资[2021] 5 号），要求按照《关于印发加快推进区域整体评价工作实施方案〉的通知》（渝工改办【2020 】4 号）有关要求，加快评价工作进度， 按时、保质、保量完成工作任务。</w:t>
      </w:r>
    </w:p>
    <w:p w14:paraId="6E5EE61F">
      <w:pPr>
        <w:ind w:firstLine="480"/>
        <w:rPr>
          <w:color w:val="auto"/>
        </w:rPr>
      </w:pPr>
      <w:r>
        <w:rPr>
          <w:color w:val="auto"/>
        </w:rPr>
        <w:t>水资源论证区域评价是加强水资源宏观调控的重要手段，是资源环境和社会经济可持续发展的重要保障，也是支持城市和规划区发展规划科学性和可行性的重要依据。规划水资源论证应以建设资源节约型、环境友好型社会为目标，以协调规划经济社会发展与水资源可持续利用的关系为重点，把实行最严格水资源管理制度作为加快经济发展转变的重要抓手，从水资源承载能力和水环境容量出发，评估论证城市和工业规划区发展规划布局与水资源承载能力的适应性、用水效率的合理性以及对水功能区限制纳污能力和水生态环境的影响，统筹处理好流域上下游，左右岸和水资源开发利用的协调关系，</w:t>
      </w:r>
    </w:p>
    <w:p w14:paraId="65DB9EFF">
      <w:pPr>
        <w:ind w:firstLine="480"/>
        <w:rPr>
          <w:color w:val="auto"/>
        </w:rPr>
      </w:pPr>
      <w:r>
        <w:rPr>
          <w:color w:val="auto"/>
        </w:rPr>
        <w:t>确保经济社会发展模式与水资源条件相匹配、产业布局与水资源条件相适应，提高城市和规划区规划编制的科学性和规划实施的可行性。根据《中华人民共和国水法》、《国务院关于实行最严格水资源管理制度的意见》（国发【2012】3 号）、水利部《关于开展规划水资源论证试点工作的通知》（水资源【2010】 483 号）、《关于印发加快推进区域整体评价工作实施方案〉的通知》（渝工改办【2020】4 号）等相关规定和要求，为推进九龙坡区最严格水资源管理制度的重点工作任务，合理配置水资源，提高水资源利用效率， 促进经济社会发展与水资源承载能力相适应，受重庆高新区技术产业开发区九龙园区管理委员会委托，精佳建设工程集团有限公司开展了《重庆九龙工业园区水资源论证区域整体评价报告》的编制工作。</w:t>
      </w:r>
    </w:p>
    <w:p w14:paraId="3F084822">
      <w:pPr>
        <w:ind w:firstLine="480"/>
        <w:rPr>
          <w:color w:val="auto"/>
        </w:rPr>
      </w:pPr>
      <w:r>
        <w:rPr>
          <w:color w:val="auto"/>
        </w:rPr>
        <w:t>结合业主单位意见，本次主要评价《中国开发区审核公告目录》中核准的重庆九龙工业园区区域，评价区域面积为：</w:t>
      </w:r>
      <w:r>
        <w:rPr>
          <w:color w:val="auto"/>
          <w:szCs w:val="28"/>
        </w:rPr>
        <w:t>根据九龙工业园区的规划发展状况及重庆高新区成立，园区调整后的区域，调整后面积为</w:t>
      </w:r>
      <w:r>
        <w:rPr>
          <w:color w:val="auto"/>
        </w:rPr>
        <w:t>2116.088hm</w:t>
      </w:r>
      <w:r>
        <w:rPr>
          <w:color w:val="auto"/>
          <w:vertAlign w:val="superscript"/>
        </w:rPr>
        <w:t>2</w:t>
      </w:r>
      <w:r>
        <w:rPr>
          <w:color w:val="auto"/>
        </w:rPr>
        <w:t>，</w:t>
      </w:r>
      <w:r>
        <w:rPr>
          <w:color w:val="auto"/>
          <w:szCs w:val="28"/>
        </w:rPr>
        <w:t>分别为A区421.06hm</w:t>
      </w:r>
      <w:r>
        <w:rPr>
          <w:color w:val="auto"/>
          <w:szCs w:val="28"/>
          <w:vertAlign w:val="superscript"/>
        </w:rPr>
        <w:t>2</w:t>
      </w:r>
      <w:r>
        <w:rPr>
          <w:color w:val="auto"/>
          <w:szCs w:val="28"/>
        </w:rPr>
        <w:t>、B区</w:t>
      </w:r>
      <w:r>
        <w:rPr>
          <w:color w:val="auto"/>
        </w:rPr>
        <w:t>897.92hm</w:t>
      </w:r>
      <w:r>
        <w:rPr>
          <w:color w:val="auto"/>
          <w:vertAlign w:val="superscript"/>
        </w:rPr>
        <w:t>2</w:t>
      </w:r>
      <w:r>
        <w:rPr>
          <w:color w:val="auto"/>
        </w:rPr>
        <w:t>、C区797.1hm</w:t>
      </w:r>
      <w:r>
        <w:rPr>
          <w:color w:val="auto"/>
          <w:vertAlign w:val="superscript"/>
        </w:rPr>
        <w:t>2</w:t>
      </w:r>
      <w:r>
        <w:rPr>
          <w:color w:val="auto"/>
        </w:rPr>
        <w:t>。</w:t>
      </w:r>
    </w:p>
    <w:p w14:paraId="7E61F922">
      <w:pPr>
        <w:ind w:firstLine="480"/>
        <w:rPr>
          <w:color w:val="auto"/>
        </w:rPr>
      </w:pPr>
      <w:r>
        <w:rPr>
          <w:color w:val="auto"/>
        </w:rPr>
        <w:t>在报告的编制过程中，得到了重庆市水利局、九龙坡区农业农村委员会、重庆高新区技术产业开发区九龙园区管理委员会的大力支持与协助，在此一并表示衷心的感谢！</w:t>
      </w:r>
    </w:p>
    <w:p w14:paraId="557ABA13">
      <w:pPr>
        <w:pStyle w:val="4"/>
        <w:numPr>
          <w:ilvl w:val="1"/>
          <w:numId w:val="0"/>
        </w:numPr>
        <w:spacing w:before="166" w:after="166"/>
        <w:rPr>
          <w:color w:val="auto"/>
        </w:rPr>
      </w:pPr>
      <w:bookmarkStart w:id="4" w:name="_Toc16499"/>
      <w:bookmarkStart w:id="5" w:name="_Toc12289"/>
      <w:r>
        <w:rPr>
          <w:color w:val="auto"/>
        </w:rPr>
        <w:t>1.2评估目的、原则和任务</w:t>
      </w:r>
      <w:bookmarkEnd w:id="4"/>
      <w:bookmarkEnd w:id="5"/>
    </w:p>
    <w:p w14:paraId="6B3346DE">
      <w:pPr>
        <w:ind w:firstLine="480"/>
        <w:rPr>
          <w:color w:val="auto"/>
        </w:rPr>
      </w:pPr>
      <w:r>
        <w:rPr>
          <w:color w:val="auto"/>
        </w:rPr>
        <w:t>以节水优先、空间均衡、系统治理、两手发力为指导思想，以建设资源节约型、环境友好型社会为出发点，以生态文明建设为目标，从水资源承载能力出发，按照实行最严格水资源管理制度的水资源总量、用水效率和重要江河湖泊水功能区水质达标“三条红线”控制指标为基本依据，分析水资源条件对规划的保障能力和约束因素，论证规划布局与水资源条件的适应性，预测规划实施对区域水资源可持续利用的影响，提出规划方案调整和优化的意见，明确水资源管理和保护的措施。根据《国务院关于实行最严格水资源管理制度的意见》（国发〔2012〕3号）、《重庆市人民政府关于实行最严格水资源管理制度的实施意见》（渝府发〔2012〕63号）、《重庆市水资源管理条例》（2015年修订）的有关要求及</w:t>
      </w:r>
      <w:r>
        <w:rPr>
          <w:b/>
          <w:bCs/>
          <w:color w:val="auto"/>
        </w:rPr>
        <w:t>《加快推进区域整体评价工作实施方案》的通知（渝工改办〔2020〕4号）</w:t>
      </w:r>
      <w:r>
        <w:rPr>
          <w:color w:val="auto"/>
        </w:rPr>
        <w:t>，开展重庆九龙工业园区水资源论证区域整体评价工作。</w:t>
      </w:r>
    </w:p>
    <w:p w14:paraId="0881822E">
      <w:pPr>
        <w:ind w:firstLine="480"/>
        <w:rPr>
          <w:color w:val="auto"/>
        </w:rPr>
      </w:pPr>
      <w:r>
        <w:rPr>
          <w:color w:val="auto"/>
        </w:rPr>
        <w:t>论证目的：论证的主要目的是为贯彻落实最严格的水资源管理制度，从宏观层面严格水资源管理“三条红线”控制，促进城市布局、规模与水资源条件相适应，推动建设资源节约型和环境友好型社会，以建设生态文明及节水型社会为目标，以协调九龙坡区经济社会发展与水资源可持续利用的关系为重点，论证重庆九龙工业园区实施的水资源条件及其保障能力，从而实现以水资源可持续利用支撑重庆九龙工业园区可持续发展。</w:t>
      </w:r>
    </w:p>
    <w:p w14:paraId="60F0C63B">
      <w:pPr>
        <w:ind w:firstLine="480"/>
        <w:rPr>
          <w:color w:val="auto"/>
        </w:rPr>
      </w:pPr>
      <w:r>
        <w:rPr>
          <w:color w:val="auto"/>
        </w:rPr>
        <w:t>论证任务：论证规划有关内容与水资源管理政策法规及相关水资源规划的协调性；分析规划区域水资源对规划的保障程度和水资源条件对规划的约束因素，论证规划对水资源需求的合理性；系统论证规划实施中可能出现的水资源开发利用问题，对规划中整体经济、社会发展与水资源、水环境、水生态等的协调性进行论证；论证规划与实施最严格水资源管理制度的一致性；确保经济社会发展模式与水资源条件相匹配、产业布局与水资源条件相适应。论证规划布局与水资源条件的适应性，预测规划实施对区域水资源可持续利用的影响；提出规划方案调整和优化的意见，明确水资源管理和保护的措施。</w:t>
      </w:r>
    </w:p>
    <w:p w14:paraId="0E5D52DC">
      <w:pPr>
        <w:pStyle w:val="4"/>
        <w:numPr>
          <w:ilvl w:val="1"/>
          <w:numId w:val="0"/>
        </w:numPr>
        <w:spacing w:before="166" w:after="166"/>
        <w:rPr>
          <w:color w:val="auto"/>
        </w:rPr>
      </w:pPr>
      <w:bookmarkStart w:id="6" w:name="_Toc20356"/>
      <w:bookmarkStart w:id="7" w:name="_Toc6209"/>
      <w:r>
        <w:rPr>
          <w:color w:val="auto"/>
        </w:rPr>
        <w:t>1.3编制</w:t>
      </w:r>
      <w:bookmarkEnd w:id="6"/>
      <w:r>
        <w:rPr>
          <w:color w:val="auto"/>
        </w:rPr>
        <w:t>依据</w:t>
      </w:r>
      <w:bookmarkEnd w:id="7"/>
    </w:p>
    <w:p w14:paraId="63E97EC0">
      <w:pPr>
        <w:pStyle w:val="5"/>
        <w:numPr>
          <w:ilvl w:val="0"/>
          <w:numId w:val="0"/>
        </w:numPr>
        <w:spacing w:before="166" w:after="166"/>
        <w:rPr>
          <w:color w:val="auto"/>
        </w:rPr>
      </w:pPr>
      <w:r>
        <w:rPr>
          <w:color w:val="auto"/>
        </w:rPr>
        <w:t>1.3.1法律、法规和有关文件</w:t>
      </w:r>
    </w:p>
    <w:p w14:paraId="2444DBA5">
      <w:pPr>
        <w:pStyle w:val="11"/>
        <w:ind w:firstLine="480"/>
        <w:rPr>
          <w:color w:val="auto"/>
        </w:rPr>
      </w:pPr>
      <w:r>
        <w:rPr>
          <w:color w:val="auto"/>
        </w:rPr>
        <w:t>（1）《中华人民共和国水法》（2016年修订）；</w:t>
      </w:r>
    </w:p>
    <w:p w14:paraId="705DE987">
      <w:pPr>
        <w:pStyle w:val="11"/>
        <w:ind w:firstLine="480"/>
        <w:rPr>
          <w:color w:val="auto"/>
        </w:rPr>
      </w:pPr>
      <w:r>
        <w:rPr>
          <w:color w:val="auto"/>
        </w:rPr>
        <w:t>（2）《国务院关于实行最严格水资源管理制度的意见》（国发〔2012〕3号）；</w:t>
      </w:r>
    </w:p>
    <w:p w14:paraId="72C59905">
      <w:pPr>
        <w:pStyle w:val="11"/>
        <w:ind w:firstLine="480"/>
        <w:rPr>
          <w:color w:val="auto"/>
        </w:rPr>
      </w:pPr>
      <w:r>
        <w:rPr>
          <w:color w:val="auto"/>
        </w:rPr>
        <w:t>（3）《中华人民共和国环境影响评价法》（2018年）；</w:t>
      </w:r>
    </w:p>
    <w:p w14:paraId="2AC73CD9">
      <w:pPr>
        <w:pStyle w:val="11"/>
        <w:ind w:firstLine="480"/>
        <w:rPr>
          <w:color w:val="auto"/>
        </w:rPr>
      </w:pPr>
      <w:r>
        <w:rPr>
          <w:color w:val="auto"/>
        </w:rPr>
        <w:t>（4）《中华人民共和国水污染防治法》（2017年）；</w:t>
      </w:r>
    </w:p>
    <w:p w14:paraId="6721D776">
      <w:pPr>
        <w:pStyle w:val="11"/>
        <w:ind w:firstLine="480"/>
        <w:rPr>
          <w:color w:val="auto"/>
        </w:rPr>
      </w:pPr>
      <w:r>
        <w:rPr>
          <w:color w:val="auto"/>
        </w:rPr>
        <w:t>（5）《中华人民共和国防洪法》（2016年）；</w:t>
      </w:r>
    </w:p>
    <w:p w14:paraId="5DEEF236">
      <w:pPr>
        <w:pStyle w:val="11"/>
        <w:ind w:firstLine="480"/>
        <w:rPr>
          <w:color w:val="auto"/>
        </w:rPr>
      </w:pPr>
      <w:r>
        <w:rPr>
          <w:color w:val="auto"/>
        </w:rPr>
        <w:t>（6）《中华人民共和国长江保护法》（2021年）</w:t>
      </w:r>
    </w:p>
    <w:p w14:paraId="3F5C1A7A">
      <w:pPr>
        <w:pStyle w:val="11"/>
        <w:ind w:firstLine="480"/>
        <w:rPr>
          <w:color w:val="auto"/>
        </w:rPr>
      </w:pPr>
      <w:r>
        <w:rPr>
          <w:color w:val="auto"/>
        </w:rPr>
        <w:t>（7）《中华人民共和国河道管理条例》（2018年）；</w:t>
      </w:r>
    </w:p>
    <w:p w14:paraId="70EB186C">
      <w:pPr>
        <w:pStyle w:val="11"/>
        <w:ind w:firstLine="480"/>
        <w:rPr>
          <w:color w:val="auto"/>
        </w:rPr>
      </w:pPr>
      <w:r>
        <w:rPr>
          <w:color w:val="auto"/>
        </w:rPr>
        <w:t>（8）《中华人民共和国环境保护法》（2015年）；</w:t>
      </w:r>
    </w:p>
    <w:p w14:paraId="4BBC20E1">
      <w:pPr>
        <w:pStyle w:val="11"/>
        <w:ind w:firstLine="480"/>
        <w:rPr>
          <w:color w:val="auto"/>
        </w:rPr>
      </w:pPr>
      <w:r>
        <w:rPr>
          <w:color w:val="auto"/>
        </w:rPr>
        <w:t>（9）《关于开展规划水资源论证试点工作的通知》水利部水资源[2010]483号文；</w:t>
      </w:r>
    </w:p>
    <w:p w14:paraId="6822F9FC">
      <w:pPr>
        <w:pStyle w:val="11"/>
        <w:ind w:firstLine="480"/>
        <w:rPr>
          <w:color w:val="auto"/>
        </w:rPr>
      </w:pPr>
      <w:r>
        <w:rPr>
          <w:color w:val="auto"/>
        </w:rPr>
        <w:t>（10）《建设项目水资源论证管理办法》（水利部、国家计委2002年第15号令）及附件《建设项目水资源论证报告书编制基本要求》；</w:t>
      </w:r>
    </w:p>
    <w:p w14:paraId="0407EEB3">
      <w:pPr>
        <w:pStyle w:val="11"/>
        <w:ind w:firstLine="480"/>
        <w:rPr>
          <w:color w:val="auto"/>
        </w:rPr>
      </w:pPr>
      <w:r>
        <w:rPr>
          <w:color w:val="auto"/>
        </w:rPr>
        <w:t>（11）《入河排污口监督管理办法》（2015年修改）；</w:t>
      </w:r>
    </w:p>
    <w:p w14:paraId="09D502F9">
      <w:pPr>
        <w:pStyle w:val="11"/>
        <w:ind w:firstLine="480"/>
        <w:rPr>
          <w:color w:val="auto"/>
        </w:rPr>
      </w:pPr>
      <w:r>
        <w:rPr>
          <w:color w:val="auto"/>
        </w:rPr>
        <w:t>（12）《重庆市水资源管理条例》（2018年修正）；</w:t>
      </w:r>
    </w:p>
    <w:p w14:paraId="420A017A">
      <w:pPr>
        <w:pStyle w:val="11"/>
        <w:ind w:firstLine="480"/>
        <w:rPr>
          <w:color w:val="auto"/>
        </w:rPr>
      </w:pPr>
      <w:r>
        <w:rPr>
          <w:color w:val="auto"/>
        </w:rPr>
        <w:t>（13）《重庆市饮用水源污染防治办法》（2004年）；</w:t>
      </w:r>
    </w:p>
    <w:p w14:paraId="130EE231">
      <w:pPr>
        <w:ind w:firstLine="480"/>
        <w:rPr>
          <w:color w:val="auto"/>
        </w:rPr>
      </w:pPr>
      <w:r>
        <w:rPr>
          <w:color w:val="auto"/>
        </w:rPr>
        <w:t>（14）《取水许可和水资源费征收管理条例》（</w:t>
      </w:r>
      <w:r>
        <w:rPr>
          <w:rFonts w:hint="eastAsia"/>
          <w:color w:val="auto"/>
          <w:lang w:eastAsia="zh-CN"/>
        </w:rPr>
        <w:t>国务院令第</w:t>
      </w:r>
      <w:r>
        <w:rPr>
          <w:color w:val="auto"/>
        </w:rPr>
        <w:t>676号令，2017年修订）</w:t>
      </w:r>
    </w:p>
    <w:p w14:paraId="2AC45720">
      <w:pPr>
        <w:pStyle w:val="11"/>
        <w:ind w:firstLine="480"/>
        <w:rPr>
          <w:color w:val="auto"/>
        </w:rPr>
      </w:pPr>
      <w:r>
        <w:rPr>
          <w:color w:val="auto"/>
        </w:rPr>
        <w:t>（15）</w:t>
      </w:r>
      <w:r>
        <w:rPr>
          <w:color w:val="auto"/>
          <w:szCs w:val="24"/>
        </w:rPr>
        <w:t>《重庆市水利工程管理条例》（2019年9月修订</w:t>
      </w:r>
      <w:r>
        <w:rPr>
          <w:color w:val="auto"/>
        </w:rPr>
        <w:t>）；</w:t>
      </w:r>
    </w:p>
    <w:p w14:paraId="1323E1C9">
      <w:pPr>
        <w:pStyle w:val="11"/>
        <w:ind w:firstLine="480"/>
        <w:rPr>
          <w:color w:val="auto"/>
        </w:rPr>
      </w:pPr>
      <w:r>
        <w:rPr>
          <w:color w:val="auto"/>
        </w:rPr>
        <w:t>（16）《重庆市排污口设置管理办法》（2005年）；</w:t>
      </w:r>
    </w:p>
    <w:p w14:paraId="62FD2093">
      <w:pPr>
        <w:pStyle w:val="11"/>
        <w:ind w:firstLine="480"/>
        <w:rPr>
          <w:color w:val="auto"/>
        </w:rPr>
      </w:pPr>
      <w:r>
        <w:rPr>
          <w:color w:val="auto"/>
        </w:rPr>
        <w:t>（17）《重庆市城市供水节水管理条例》（2012年修订）；</w:t>
      </w:r>
    </w:p>
    <w:p w14:paraId="27D9EA46">
      <w:pPr>
        <w:pStyle w:val="56"/>
        <w:rPr>
          <w:color w:val="auto"/>
        </w:rPr>
      </w:pPr>
      <w:r>
        <w:rPr>
          <w:color w:val="auto"/>
        </w:rPr>
        <w:t>（18）《重庆市水利局、重庆市城市管理委员会关于印发重庆市城市生活用水定额（2017 年修订版）的通知》（渝水〔2018〕66 号）；</w:t>
      </w:r>
    </w:p>
    <w:p w14:paraId="2CC0FF2E">
      <w:pPr>
        <w:ind w:firstLine="480"/>
        <w:rPr>
          <w:color w:val="auto"/>
        </w:rPr>
      </w:pPr>
      <w:r>
        <w:rPr>
          <w:color w:val="auto"/>
        </w:rPr>
        <w:t>（19）《水利部办公厅关于印发规划和建设项目节水评价技术要求的通知》（办节约[2019]206号）</w:t>
      </w:r>
    </w:p>
    <w:p w14:paraId="225CA7D8">
      <w:pPr>
        <w:pStyle w:val="5"/>
        <w:numPr>
          <w:ilvl w:val="0"/>
          <w:numId w:val="0"/>
        </w:numPr>
        <w:spacing w:before="166" w:after="166"/>
        <w:rPr>
          <w:color w:val="auto"/>
        </w:rPr>
      </w:pPr>
      <w:r>
        <w:rPr>
          <w:color w:val="auto"/>
        </w:rPr>
        <w:t>1.3.2采用的技术规范和标准</w:t>
      </w:r>
    </w:p>
    <w:p w14:paraId="6E5455F2">
      <w:pPr>
        <w:pStyle w:val="11"/>
        <w:ind w:firstLine="480"/>
        <w:rPr>
          <w:color w:val="auto"/>
        </w:rPr>
      </w:pPr>
      <w:r>
        <w:rPr>
          <w:color w:val="auto"/>
        </w:rPr>
        <w:t>（1）《规划水资源论证技术要求》（试行）中华人民共和国水利部 2010.11；</w:t>
      </w:r>
    </w:p>
    <w:p w14:paraId="38355424">
      <w:pPr>
        <w:pStyle w:val="56"/>
        <w:adjustRightInd/>
        <w:rPr>
          <w:color w:val="auto"/>
        </w:rPr>
      </w:pPr>
      <w:r>
        <w:rPr>
          <w:color w:val="auto"/>
        </w:rPr>
        <w:t>（2）《水资源评价导则》(SL/T238-1999)；</w:t>
      </w:r>
    </w:p>
    <w:p w14:paraId="4C1765F5">
      <w:pPr>
        <w:pStyle w:val="56"/>
        <w:adjustRightInd/>
        <w:rPr>
          <w:color w:val="auto"/>
        </w:rPr>
      </w:pPr>
      <w:r>
        <w:rPr>
          <w:color w:val="auto"/>
        </w:rPr>
        <w:t>（3）《建设项目水资源论证导则》（GB/T 35580-2017）；</w:t>
      </w:r>
    </w:p>
    <w:p w14:paraId="2C6A83FA">
      <w:pPr>
        <w:pStyle w:val="11"/>
        <w:ind w:firstLine="480"/>
        <w:rPr>
          <w:color w:val="auto"/>
        </w:rPr>
      </w:pPr>
      <w:r>
        <w:rPr>
          <w:color w:val="auto"/>
        </w:rPr>
        <w:t>（4）《水文调查规范》(SL196-2015)；</w:t>
      </w:r>
    </w:p>
    <w:p w14:paraId="24FAF080">
      <w:pPr>
        <w:pStyle w:val="11"/>
        <w:ind w:firstLine="480"/>
        <w:rPr>
          <w:color w:val="auto"/>
        </w:rPr>
      </w:pPr>
      <w:r>
        <w:rPr>
          <w:color w:val="auto"/>
        </w:rPr>
        <w:t>（5）《水利水电工程水文计算规范》（SL278-2020）；</w:t>
      </w:r>
    </w:p>
    <w:p w14:paraId="339E0388">
      <w:pPr>
        <w:pStyle w:val="11"/>
        <w:ind w:firstLine="480"/>
        <w:rPr>
          <w:color w:val="auto"/>
        </w:rPr>
      </w:pPr>
      <w:r>
        <w:rPr>
          <w:color w:val="auto"/>
        </w:rPr>
        <w:t>（6）《取水许可技术考核与管理通则》（GB/T17367-1998）；</w:t>
      </w:r>
    </w:p>
    <w:p w14:paraId="2C8B0498">
      <w:pPr>
        <w:pStyle w:val="11"/>
        <w:ind w:firstLine="480"/>
        <w:rPr>
          <w:color w:val="auto"/>
        </w:rPr>
      </w:pPr>
      <w:r>
        <w:rPr>
          <w:color w:val="auto"/>
        </w:rPr>
        <w:t>（7）《环境影响评价技术导则水利水电工程》（HJ/T88-2018）；</w:t>
      </w:r>
    </w:p>
    <w:p w14:paraId="48542C42">
      <w:pPr>
        <w:pStyle w:val="11"/>
        <w:ind w:firstLine="480"/>
        <w:rPr>
          <w:color w:val="auto"/>
        </w:rPr>
      </w:pPr>
      <w:r>
        <w:rPr>
          <w:color w:val="auto"/>
        </w:rPr>
        <w:t>（8）《水利水电工程等级划分及洪水标准》（SL252-2017）；</w:t>
      </w:r>
    </w:p>
    <w:p w14:paraId="2D41F201">
      <w:pPr>
        <w:pStyle w:val="11"/>
        <w:ind w:firstLine="480"/>
        <w:rPr>
          <w:color w:val="auto"/>
        </w:rPr>
      </w:pPr>
      <w:r>
        <w:rPr>
          <w:color w:val="auto"/>
        </w:rPr>
        <w:t>（9）《城市给水工程规划规范》（GB50282-2016）；</w:t>
      </w:r>
    </w:p>
    <w:p w14:paraId="5F39797E">
      <w:pPr>
        <w:pStyle w:val="11"/>
        <w:ind w:firstLine="480"/>
        <w:rPr>
          <w:color w:val="auto"/>
        </w:rPr>
      </w:pPr>
      <w:r>
        <w:rPr>
          <w:color w:val="auto"/>
        </w:rPr>
        <w:t>（10）《室外给水设计规范》（GB50013-2018）；</w:t>
      </w:r>
    </w:p>
    <w:p w14:paraId="7EB56F16">
      <w:pPr>
        <w:pStyle w:val="11"/>
        <w:ind w:firstLine="480"/>
        <w:rPr>
          <w:color w:val="auto"/>
        </w:rPr>
      </w:pPr>
      <w:r>
        <w:rPr>
          <w:color w:val="auto"/>
        </w:rPr>
        <w:t>（11）《城市综合用水量标准》（SL367-2006）；</w:t>
      </w:r>
    </w:p>
    <w:p w14:paraId="6AF1B50D">
      <w:pPr>
        <w:pStyle w:val="11"/>
        <w:ind w:firstLine="480"/>
        <w:rPr>
          <w:color w:val="auto"/>
        </w:rPr>
      </w:pPr>
      <w:r>
        <w:rPr>
          <w:color w:val="auto"/>
        </w:rPr>
        <w:t>（12）《生活饮用水水源水质标准》（CJ3020-1993）；</w:t>
      </w:r>
    </w:p>
    <w:p w14:paraId="30C1CEAC">
      <w:pPr>
        <w:pStyle w:val="11"/>
        <w:ind w:firstLine="480"/>
        <w:rPr>
          <w:color w:val="auto"/>
        </w:rPr>
      </w:pPr>
      <w:r>
        <w:rPr>
          <w:color w:val="auto"/>
        </w:rPr>
        <w:t>（13）《地表水环境质量标准》（GB3838-2002）；</w:t>
      </w:r>
    </w:p>
    <w:p w14:paraId="29FAD833">
      <w:pPr>
        <w:pStyle w:val="11"/>
        <w:ind w:firstLine="480"/>
        <w:rPr>
          <w:color w:val="auto"/>
        </w:rPr>
      </w:pPr>
      <w:r>
        <w:rPr>
          <w:color w:val="auto"/>
        </w:rPr>
        <w:t xml:space="preserve">（14）《生活饮用水卫生标准》（GB5749-2006）； </w:t>
      </w:r>
    </w:p>
    <w:p w14:paraId="55D86831">
      <w:pPr>
        <w:pStyle w:val="11"/>
        <w:ind w:firstLine="480"/>
        <w:rPr>
          <w:color w:val="auto"/>
        </w:rPr>
      </w:pPr>
      <w:r>
        <w:rPr>
          <w:color w:val="auto"/>
        </w:rPr>
        <w:t>（15）《工业用水考核指标及计算方法》（CJ42-1999）；</w:t>
      </w:r>
    </w:p>
    <w:p w14:paraId="0DBDC8F5">
      <w:pPr>
        <w:pStyle w:val="11"/>
        <w:ind w:firstLine="480"/>
        <w:rPr>
          <w:color w:val="auto"/>
        </w:rPr>
      </w:pPr>
      <w:r>
        <w:rPr>
          <w:color w:val="auto"/>
        </w:rPr>
        <w:t>（16）《水域纳污能力计算规范》（GB25173-2010）；</w:t>
      </w:r>
    </w:p>
    <w:p w14:paraId="2C01782E">
      <w:pPr>
        <w:pStyle w:val="11"/>
        <w:ind w:firstLine="480"/>
        <w:rPr>
          <w:color w:val="auto"/>
        </w:rPr>
      </w:pPr>
      <w:r>
        <w:rPr>
          <w:color w:val="auto"/>
        </w:rPr>
        <w:t xml:space="preserve">（17）《污水综合排放标准》（GB8798-1996）； </w:t>
      </w:r>
    </w:p>
    <w:p w14:paraId="1C7DE453">
      <w:pPr>
        <w:pStyle w:val="11"/>
        <w:ind w:firstLine="480"/>
        <w:rPr>
          <w:color w:val="auto"/>
        </w:rPr>
      </w:pPr>
      <w:r>
        <w:rPr>
          <w:color w:val="auto"/>
        </w:rPr>
        <w:t>（18）《水资源供需平衡预测分析技术规范》（SL429-2008）；</w:t>
      </w:r>
    </w:p>
    <w:p w14:paraId="54B25532">
      <w:pPr>
        <w:pStyle w:val="11"/>
        <w:ind w:firstLine="480"/>
        <w:rPr>
          <w:color w:val="auto"/>
        </w:rPr>
      </w:pPr>
      <w:r>
        <w:rPr>
          <w:color w:val="auto"/>
        </w:rPr>
        <w:t>（19）《评价企业合理用水技术通则》（GB7119-1996）；</w:t>
      </w:r>
    </w:p>
    <w:p w14:paraId="44BC790D">
      <w:pPr>
        <w:pStyle w:val="56"/>
        <w:rPr>
          <w:color w:val="auto"/>
        </w:rPr>
      </w:pPr>
      <w:r>
        <w:rPr>
          <w:color w:val="auto"/>
        </w:rPr>
        <w:t>（20）《城镇污水处理厂污染物排放标准》（GB18918－2002）。</w:t>
      </w:r>
    </w:p>
    <w:p w14:paraId="16E92BF6">
      <w:pPr>
        <w:pStyle w:val="5"/>
        <w:numPr>
          <w:ilvl w:val="0"/>
          <w:numId w:val="0"/>
        </w:numPr>
        <w:spacing w:before="166" w:after="166"/>
        <w:rPr>
          <w:color w:val="auto"/>
        </w:rPr>
      </w:pPr>
      <w:r>
        <w:rPr>
          <w:color w:val="auto"/>
        </w:rPr>
        <w:t>1.3.3编制依据、参考文献和资料</w:t>
      </w:r>
    </w:p>
    <w:p w14:paraId="719808C9">
      <w:pPr>
        <w:pStyle w:val="11"/>
        <w:ind w:firstLine="480"/>
        <w:rPr>
          <w:color w:val="auto"/>
        </w:rPr>
      </w:pPr>
      <w:r>
        <w:rPr>
          <w:color w:val="auto"/>
        </w:rPr>
        <w:t xml:space="preserve">（1）《长江流域水功能区纳污能力核定和分阶段限制排污总量控制方案报告》； </w:t>
      </w:r>
    </w:p>
    <w:p w14:paraId="1B8B372D">
      <w:pPr>
        <w:pStyle w:val="11"/>
        <w:ind w:firstLine="480"/>
        <w:rPr>
          <w:color w:val="auto"/>
        </w:rPr>
      </w:pPr>
      <w:r>
        <w:rPr>
          <w:color w:val="auto"/>
        </w:rPr>
        <w:t>（2）《嘉陵江流域水资源综合规划》（长江水利委员会，2010年）；</w:t>
      </w:r>
    </w:p>
    <w:p w14:paraId="557DCDF6">
      <w:pPr>
        <w:pStyle w:val="11"/>
        <w:ind w:firstLine="480"/>
        <w:rPr>
          <w:color w:val="auto"/>
        </w:rPr>
      </w:pPr>
      <w:r>
        <w:rPr>
          <w:color w:val="auto"/>
        </w:rPr>
        <w:t xml:space="preserve">（3）《重庆市水资源开发利用现状分析报告》； </w:t>
      </w:r>
    </w:p>
    <w:p w14:paraId="1ED0B560">
      <w:pPr>
        <w:pStyle w:val="11"/>
        <w:ind w:firstLine="480"/>
        <w:rPr>
          <w:color w:val="auto"/>
        </w:rPr>
      </w:pPr>
      <w:r>
        <w:rPr>
          <w:color w:val="auto"/>
        </w:rPr>
        <w:t>（4）《重庆市统计年鉴》（2019年）；</w:t>
      </w:r>
    </w:p>
    <w:p w14:paraId="400C3CD4">
      <w:pPr>
        <w:pStyle w:val="11"/>
        <w:ind w:firstLine="480"/>
        <w:rPr>
          <w:color w:val="auto"/>
        </w:rPr>
      </w:pPr>
      <w:r>
        <w:rPr>
          <w:color w:val="auto"/>
        </w:rPr>
        <w:t>（5）《重庆市水资源保护规划报告》（2015年）；</w:t>
      </w:r>
    </w:p>
    <w:p w14:paraId="2C227C05">
      <w:pPr>
        <w:pStyle w:val="11"/>
        <w:ind w:firstLine="480"/>
        <w:rPr>
          <w:color w:val="auto"/>
        </w:rPr>
      </w:pPr>
      <w:r>
        <w:rPr>
          <w:color w:val="auto"/>
        </w:rPr>
        <w:t>（6）《重庆市水功能区划报告》（重庆市水利局，2010年12月）；</w:t>
      </w:r>
    </w:p>
    <w:p w14:paraId="5FCC3795">
      <w:pPr>
        <w:ind w:firstLine="480"/>
        <w:rPr>
          <w:color w:val="auto"/>
        </w:rPr>
      </w:pPr>
      <w:r>
        <w:rPr>
          <w:color w:val="auto"/>
        </w:rPr>
        <w:t>（7）《重庆市九龙坡区“十四五”节约用水规划》（2020年）；</w:t>
      </w:r>
    </w:p>
    <w:p w14:paraId="372E0C0C">
      <w:pPr>
        <w:ind w:firstLine="480"/>
        <w:rPr>
          <w:color w:val="auto"/>
        </w:rPr>
      </w:pPr>
      <w:r>
        <w:rPr>
          <w:color w:val="auto"/>
        </w:rPr>
        <w:t>（8）《重庆市</w:t>
      </w:r>
      <w:r>
        <w:rPr>
          <w:rFonts w:hint="eastAsia"/>
          <w:color w:val="auto"/>
        </w:rPr>
        <w:t>九龙坡区</w:t>
      </w:r>
      <w:r>
        <w:rPr>
          <w:color w:val="auto"/>
        </w:rPr>
        <w:t>主要江河流域水量分配方案》（2020年）；</w:t>
      </w:r>
    </w:p>
    <w:p w14:paraId="15B51A6B">
      <w:pPr>
        <w:ind w:firstLine="480"/>
        <w:rPr>
          <w:color w:val="auto"/>
        </w:rPr>
      </w:pPr>
      <w:r>
        <w:rPr>
          <w:color w:val="auto"/>
        </w:rPr>
        <w:t>（9）《重庆市九龙坡区水功能区划修编报告》（2017年）；</w:t>
      </w:r>
    </w:p>
    <w:p w14:paraId="44E99565">
      <w:pPr>
        <w:ind w:firstLine="480"/>
        <w:rPr>
          <w:color w:val="auto"/>
        </w:rPr>
      </w:pPr>
      <w:r>
        <w:rPr>
          <w:color w:val="auto"/>
        </w:rPr>
        <w:t>（10）《重庆市九龙坡区水功能区纳污能力核定及分阶段限制排污总量控制方案报告》（2017年）</w:t>
      </w:r>
    </w:p>
    <w:p w14:paraId="514D277E">
      <w:pPr>
        <w:ind w:firstLine="480"/>
        <w:rPr>
          <w:color w:val="auto"/>
        </w:rPr>
      </w:pPr>
      <w:r>
        <w:rPr>
          <w:color w:val="auto"/>
        </w:rPr>
        <w:t>（11）重庆市大渡口区水功能区纳污能力核定及分阶段限制排污总量控制方案报告（2012年）</w:t>
      </w:r>
    </w:p>
    <w:p w14:paraId="7744CD65">
      <w:pPr>
        <w:pStyle w:val="11"/>
        <w:ind w:firstLine="480"/>
        <w:rPr>
          <w:color w:val="auto"/>
        </w:rPr>
      </w:pPr>
      <w:r>
        <w:rPr>
          <w:color w:val="auto"/>
        </w:rPr>
        <w:t>（12）《重庆市九龙园区控制性详细规划（调整）》（重庆市规划设计研究院，2002.2）；</w:t>
      </w:r>
    </w:p>
    <w:p w14:paraId="4C3C86A5">
      <w:pPr>
        <w:pStyle w:val="11"/>
        <w:ind w:firstLine="480"/>
        <w:rPr>
          <w:color w:val="auto"/>
        </w:rPr>
      </w:pPr>
      <w:r>
        <w:rPr>
          <w:color w:val="auto"/>
        </w:rPr>
        <w:t>（13）《重庆市主城区西彭组团O标准分区（部分）控制性详细规划》（深圳市城市规划设计研究院有限公司，2012.06）；</w:t>
      </w:r>
    </w:p>
    <w:p w14:paraId="0397304E">
      <w:pPr>
        <w:pStyle w:val="11"/>
        <w:ind w:firstLine="480"/>
        <w:rPr>
          <w:color w:val="auto"/>
        </w:rPr>
      </w:pPr>
      <w:r>
        <w:rPr>
          <w:color w:val="auto"/>
        </w:rPr>
        <w:t>（14）《重庆市主城区西彭组团L标准分区控制性详细规划》（深圳市城市规划设计研究院有限公司，2011.12）；</w:t>
      </w:r>
    </w:p>
    <w:p w14:paraId="4F79CC60">
      <w:pPr>
        <w:pStyle w:val="11"/>
        <w:ind w:firstLine="480"/>
        <w:rPr>
          <w:color w:val="auto"/>
        </w:rPr>
      </w:pPr>
      <w:r>
        <w:rPr>
          <w:color w:val="auto"/>
        </w:rPr>
        <w:t>（15）《重庆市主城区中梁山组团D标准分区控制性详细规划》（重庆市规划设计研究院，2003.10）；</w:t>
      </w:r>
    </w:p>
    <w:p w14:paraId="549B45D3">
      <w:pPr>
        <w:pStyle w:val="11"/>
        <w:ind w:firstLine="480"/>
        <w:rPr>
          <w:color w:val="auto"/>
        </w:rPr>
      </w:pPr>
      <w:r>
        <w:rPr>
          <w:color w:val="auto"/>
        </w:rPr>
        <w:t>（16）《重庆市主城区中梁山组团E标准分区控制性详细规划》（重庆市规划设计研究院，2002.12）；</w:t>
      </w:r>
    </w:p>
    <w:p w14:paraId="4A4C4929">
      <w:pPr>
        <w:pStyle w:val="11"/>
        <w:ind w:firstLine="480"/>
        <w:rPr>
          <w:color w:val="auto"/>
        </w:rPr>
      </w:pPr>
      <w:r>
        <w:rPr>
          <w:color w:val="auto"/>
        </w:rPr>
        <w:t>（17）《重庆市主城区中梁山组团F标准分区控制性详细规划》（重庆市规划设计研究院，2002.12）；</w:t>
      </w:r>
    </w:p>
    <w:p w14:paraId="36B3FAC0">
      <w:pPr>
        <w:pStyle w:val="11"/>
        <w:ind w:firstLine="480"/>
        <w:rPr>
          <w:color w:val="auto"/>
        </w:rPr>
      </w:pPr>
      <w:r>
        <w:rPr>
          <w:color w:val="auto"/>
        </w:rPr>
        <w:t>（18）《重庆市主城区中梁山组团G标准分区控制性详细规划》（重庆市规划设计研究院，2001.12）；</w:t>
      </w:r>
    </w:p>
    <w:p w14:paraId="22CD8CBD">
      <w:pPr>
        <w:pStyle w:val="11"/>
        <w:ind w:firstLine="480"/>
        <w:rPr>
          <w:color w:val="auto"/>
        </w:rPr>
      </w:pPr>
      <w:r>
        <w:rPr>
          <w:color w:val="auto"/>
        </w:rPr>
        <w:t>（19）《重庆市主城区中梁山组团H标准分区控制性详细规划》（重庆市规划设计研究院，2002.12）；</w:t>
      </w:r>
    </w:p>
    <w:p w14:paraId="503C40B2">
      <w:pPr>
        <w:pStyle w:val="11"/>
        <w:ind w:firstLine="480"/>
        <w:rPr>
          <w:color w:val="auto"/>
        </w:rPr>
      </w:pPr>
      <w:r>
        <w:rPr>
          <w:color w:val="auto"/>
        </w:rPr>
        <w:t>（20）《重庆市主城区中梁山组团J标准分区控制性详细规划》（重庆市规划设计研究院，2002.12）；</w:t>
      </w:r>
    </w:p>
    <w:p w14:paraId="06DF6899">
      <w:pPr>
        <w:pStyle w:val="11"/>
        <w:ind w:firstLine="480"/>
        <w:rPr>
          <w:color w:val="auto"/>
        </w:rPr>
      </w:pPr>
      <w:r>
        <w:rPr>
          <w:color w:val="auto"/>
        </w:rPr>
        <w:t>（21）《重庆市大渡口组团D标准分区冬瓜山地块控制性详细规划》（重庆大学城市规划与设计研究院，2004.07）；</w:t>
      </w:r>
    </w:p>
    <w:p w14:paraId="72800F97">
      <w:pPr>
        <w:pStyle w:val="11"/>
        <w:ind w:firstLine="480"/>
        <w:rPr>
          <w:color w:val="auto"/>
        </w:rPr>
      </w:pPr>
      <w:r>
        <w:rPr>
          <w:color w:val="auto"/>
        </w:rPr>
        <w:t>（22）《重庆市主城区大渡口组团I标准分区控制性详细规划》（重庆市规划设计研究院）；</w:t>
      </w:r>
    </w:p>
    <w:p w14:paraId="1D523A7A">
      <w:pPr>
        <w:pStyle w:val="11"/>
        <w:ind w:firstLine="480"/>
        <w:rPr>
          <w:color w:val="auto"/>
        </w:rPr>
      </w:pPr>
      <w:r>
        <w:rPr>
          <w:color w:val="auto"/>
        </w:rPr>
        <w:t>（23）《重庆市主城区中梁山组团IKL标准分区及大渡口组团KO标准分区部分地段控制性详细规划》（重庆大学城市规划与设计研究院，2004.07）；</w:t>
      </w:r>
    </w:p>
    <w:p w14:paraId="41FC4ECA">
      <w:pPr>
        <w:pStyle w:val="11"/>
        <w:ind w:firstLine="480"/>
        <w:rPr>
          <w:color w:val="auto"/>
        </w:rPr>
      </w:pPr>
      <w:r>
        <w:rPr>
          <w:color w:val="auto"/>
        </w:rPr>
        <w:t>（24）《重庆市人民政府〈关于同意设立重庆九龙工业园区的批复》 （渝府[2006]98号）；</w:t>
      </w:r>
    </w:p>
    <w:p w14:paraId="6A71CE3D">
      <w:pPr>
        <w:pStyle w:val="11"/>
        <w:ind w:firstLine="480"/>
        <w:rPr>
          <w:color w:val="auto"/>
        </w:rPr>
      </w:pPr>
      <w:r>
        <w:rPr>
          <w:color w:val="auto"/>
        </w:rPr>
        <w:t>（25）《重庆市九龙园区B区规划环境影响报告书》（重庆宁灵环保技术开发有限公司、重庆渝佳环境影响评价有限公司，2017年12月）</w:t>
      </w:r>
    </w:p>
    <w:p w14:paraId="0D03512F">
      <w:pPr>
        <w:pStyle w:val="11"/>
        <w:ind w:firstLine="480"/>
        <w:rPr>
          <w:color w:val="auto"/>
        </w:rPr>
      </w:pPr>
      <w:r>
        <w:rPr>
          <w:color w:val="auto"/>
        </w:rPr>
        <w:t>（26）《重庆市九龙园区C区规划环境影响报告书》（重庆宁灵环保技术开发有限公司、中煤科工集团重庆设计研究院有限公司，2017年12月）</w:t>
      </w:r>
    </w:p>
    <w:p w14:paraId="14A86EE0">
      <w:pPr>
        <w:pStyle w:val="11"/>
        <w:ind w:firstLine="480"/>
        <w:rPr>
          <w:color w:val="auto"/>
        </w:rPr>
      </w:pPr>
      <w:r>
        <w:rPr>
          <w:color w:val="auto"/>
        </w:rPr>
        <w:t>（27）《重庆市自来水有限公司和尚山水厂工程水资源论证报告书》（重庆市水利电力建筑勘测设计研究院，2020年9月）</w:t>
      </w:r>
    </w:p>
    <w:p w14:paraId="405858EF">
      <w:pPr>
        <w:pStyle w:val="11"/>
        <w:ind w:firstLine="480"/>
        <w:rPr>
          <w:color w:val="auto"/>
        </w:rPr>
      </w:pPr>
      <w:r>
        <w:rPr>
          <w:color w:val="auto"/>
        </w:rPr>
        <w:t>（28）《重庆九龙工业园区（西彭组团OL标准分区部分）区域水土保持方案报告书》（精佳建设工程集团有限公司，2020年12月）</w:t>
      </w:r>
    </w:p>
    <w:p w14:paraId="6B75D136">
      <w:pPr>
        <w:pStyle w:val="11"/>
        <w:ind w:firstLine="480"/>
        <w:rPr>
          <w:color w:val="auto"/>
        </w:rPr>
      </w:pPr>
      <w:r>
        <w:rPr>
          <w:color w:val="auto"/>
        </w:rPr>
        <w:t>（29）《重庆九龙工业园区（A、B区）区域水土保持方案报告书》（精佳建设工程集团有限公司，2021年5月）</w:t>
      </w:r>
    </w:p>
    <w:p w14:paraId="267554CD">
      <w:pPr>
        <w:ind w:firstLine="460" w:firstLineChars="192"/>
        <w:rPr>
          <w:color w:val="auto"/>
        </w:rPr>
      </w:pPr>
      <w:r>
        <w:rPr>
          <w:color w:val="auto"/>
        </w:rPr>
        <w:t xml:space="preserve">（30）《重庆市自来水有限公司和尚山水厂工程水资源论证报告书》（重庆市水利电力建筑勘测设计研究院，2020年9月） </w:t>
      </w:r>
    </w:p>
    <w:p w14:paraId="4EECE268">
      <w:pPr>
        <w:ind w:firstLine="460" w:firstLineChars="192"/>
        <w:rPr>
          <w:color w:val="auto"/>
        </w:rPr>
      </w:pPr>
      <w:r>
        <w:rPr>
          <w:color w:val="auto"/>
        </w:rPr>
        <w:t>（3</w:t>
      </w:r>
      <w:r>
        <w:rPr>
          <w:rFonts w:hint="eastAsia"/>
          <w:color w:val="auto"/>
        </w:rPr>
        <w:t>1</w:t>
      </w:r>
      <w:r>
        <w:rPr>
          <w:color w:val="auto"/>
        </w:rPr>
        <w:t xml:space="preserve">）《重庆市自来水有限公司丰收坝水厂一期二期工程水资源论证报告书》（重庆市水利电力建筑勘测设计研究院，2020年9月） </w:t>
      </w:r>
    </w:p>
    <w:p w14:paraId="56786373">
      <w:pPr>
        <w:ind w:firstLine="460" w:firstLineChars="192"/>
        <w:rPr>
          <w:color w:val="auto"/>
        </w:rPr>
      </w:pPr>
      <w:r>
        <w:rPr>
          <w:rFonts w:hint="eastAsia"/>
          <w:color w:val="auto"/>
        </w:rPr>
        <w:t>（32）《重庆市西部水资源开发有限公司德感临时取水工程水资源论证报告书</w:t>
      </w:r>
      <w:r>
        <w:rPr>
          <w:color w:val="auto"/>
        </w:rPr>
        <w:t>》（2020年</w:t>
      </w:r>
      <w:r>
        <w:rPr>
          <w:rFonts w:hint="eastAsia"/>
          <w:color w:val="auto"/>
        </w:rPr>
        <w:t>7</w:t>
      </w:r>
      <w:r>
        <w:rPr>
          <w:color w:val="auto"/>
        </w:rPr>
        <w:t xml:space="preserve">月） </w:t>
      </w:r>
    </w:p>
    <w:p w14:paraId="3697770D">
      <w:pPr>
        <w:pStyle w:val="11"/>
        <w:ind w:firstLine="480"/>
        <w:rPr>
          <w:color w:val="auto"/>
        </w:rPr>
      </w:pPr>
      <w:r>
        <w:rPr>
          <w:rFonts w:hint="eastAsia"/>
          <w:color w:val="auto"/>
        </w:rPr>
        <w:t>（33）</w:t>
      </w:r>
      <w:r>
        <w:rPr>
          <w:color w:val="auto"/>
        </w:rPr>
        <w:t>《重庆市主城区水厂布局规划调整方案》</w:t>
      </w:r>
    </w:p>
    <w:p w14:paraId="0D6B23EF">
      <w:pPr>
        <w:pStyle w:val="11"/>
        <w:ind w:firstLine="480"/>
        <w:rPr>
          <w:color w:val="auto"/>
        </w:rPr>
      </w:pPr>
      <w:r>
        <w:rPr>
          <w:rFonts w:hint="eastAsia"/>
          <w:color w:val="auto"/>
        </w:rPr>
        <w:t>（34）《重庆市渝西水资源配置工程总体方案》（长江勘测规划设计研究有限责任公司，2017年6月）</w:t>
      </w:r>
    </w:p>
    <w:p w14:paraId="43906967">
      <w:pPr>
        <w:ind w:firstLine="460" w:firstLineChars="192"/>
        <w:rPr>
          <w:color w:val="auto"/>
        </w:rPr>
      </w:pPr>
      <w:r>
        <w:rPr>
          <w:color w:val="auto"/>
        </w:rPr>
        <w:t>（3</w:t>
      </w:r>
      <w:r>
        <w:rPr>
          <w:rFonts w:hint="eastAsia"/>
          <w:color w:val="auto"/>
        </w:rPr>
        <w:t>5</w:t>
      </w:r>
      <w:r>
        <w:rPr>
          <w:color w:val="auto"/>
        </w:rPr>
        <w:t>）重庆市工程建设项目审批制度改革工作领导小组《关于印发加快推进区域整体评价工作实施方案的通知》（渝工改办</w:t>
      </w:r>
      <w:r>
        <w:rPr>
          <w:rFonts w:hint="eastAsia"/>
          <w:color w:val="auto"/>
        </w:rPr>
        <w:t>〔</w:t>
      </w:r>
      <w:r>
        <w:rPr>
          <w:color w:val="auto"/>
        </w:rPr>
        <w:t>2020</w:t>
      </w:r>
      <w:r>
        <w:rPr>
          <w:rFonts w:hint="eastAsia"/>
          <w:color w:val="auto"/>
        </w:rPr>
        <w:t>〕</w:t>
      </w:r>
      <w:r>
        <w:rPr>
          <w:color w:val="auto"/>
        </w:rPr>
        <w:t>4号）</w:t>
      </w:r>
    </w:p>
    <w:p w14:paraId="0E420E4F">
      <w:pPr>
        <w:pStyle w:val="4"/>
        <w:numPr>
          <w:ilvl w:val="1"/>
          <w:numId w:val="0"/>
        </w:numPr>
        <w:spacing w:before="166" w:after="166"/>
        <w:rPr>
          <w:color w:val="auto"/>
        </w:rPr>
      </w:pPr>
      <w:bookmarkStart w:id="8" w:name="_Toc18581"/>
      <w:bookmarkStart w:id="9" w:name="_Toc28710"/>
      <w:r>
        <w:rPr>
          <w:color w:val="auto"/>
        </w:rPr>
        <w:t>1.4评估范围</w:t>
      </w:r>
      <w:bookmarkEnd w:id="8"/>
      <w:bookmarkEnd w:id="9"/>
    </w:p>
    <w:p w14:paraId="0A272380">
      <w:pPr>
        <w:pStyle w:val="5"/>
        <w:numPr>
          <w:ilvl w:val="0"/>
          <w:numId w:val="0"/>
        </w:numPr>
        <w:spacing w:before="166" w:after="166"/>
        <w:rPr>
          <w:color w:val="auto"/>
        </w:rPr>
      </w:pPr>
      <w:r>
        <w:rPr>
          <w:color w:val="auto"/>
        </w:rPr>
        <w:t>1.4.1规划分析范围</w:t>
      </w:r>
    </w:p>
    <w:p w14:paraId="1E67B9DC">
      <w:pPr>
        <w:ind w:firstLine="480"/>
        <w:rPr>
          <w:color w:val="auto"/>
        </w:rPr>
      </w:pPr>
      <w:r>
        <w:rPr>
          <w:color w:val="auto"/>
        </w:rPr>
        <w:t>重庆九龙工业园区本次评价区域位于九龙坡区九龙街道、中梁山街道、华岩镇、陶家镇。根据《规划水资源论证技术要求》（试行），分析范围应以与规划区取水有直接关系的区域为基准，兼顾间接受到重大影响的区域，统筹考虑流域统筹考虑流域与行政区域、现有工程和供用水情况，水文站网及资料等条件确定。</w:t>
      </w:r>
    </w:p>
    <w:p w14:paraId="06F019C0">
      <w:pPr>
        <w:ind w:firstLine="480"/>
        <w:rPr>
          <w:color w:val="auto"/>
        </w:rPr>
      </w:pPr>
      <w:r>
        <w:rPr>
          <w:color w:val="auto"/>
        </w:rPr>
        <w:t>和尚山水厂、丰收坝水厂和西彭水厂的水源均为长江，本次论证工作综合考虑来水量分析的集水范围和资料条件，现有工程和供用水情况，水文站网及资料等条件，以及项目取水和退水可能影响等因素，拟定本项目水资源论证分析范围为</w:t>
      </w:r>
      <w:r>
        <w:rPr>
          <w:rFonts w:hint="eastAsia"/>
          <w:color w:val="auto"/>
        </w:rPr>
        <w:t>九龙坡区行政范围</w:t>
      </w:r>
      <w:r>
        <w:rPr>
          <w:color w:val="auto"/>
        </w:rPr>
        <w:t>，本次重点分析九龙</w:t>
      </w:r>
      <w:r>
        <w:rPr>
          <w:rFonts w:hint="eastAsia"/>
          <w:color w:val="auto"/>
        </w:rPr>
        <w:t>工业园区涉及的九龙坡区水资源</w:t>
      </w:r>
      <w:r>
        <w:rPr>
          <w:rFonts w:hint="eastAsia"/>
          <w:color w:val="auto"/>
          <w:lang w:val="en-GB"/>
        </w:rPr>
        <w:t>五级区（大溪河流域片区、跳蹬河流域片区）</w:t>
      </w:r>
      <w:r>
        <w:rPr>
          <w:color w:val="auto"/>
        </w:rPr>
        <w:t>。详见附图2。</w:t>
      </w:r>
    </w:p>
    <w:p w14:paraId="5BCE2DBB">
      <w:pPr>
        <w:pStyle w:val="5"/>
        <w:numPr>
          <w:ilvl w:val="0"/>
          <w:numId w:val="0"/>
        </w:numPr>
        <w:spacing w:before="166" w:after="166"/>
        <w:rPr>
          <w:color w:val="auto"/>
        </w:rPr>
      </w:pPr>
      <w:r>
        <w:rPr>
          <w:color w:val="auto"/>
        </w:rPr>
        <w:t>1.4.2取水水源论证范围</w:t>
      </w:r>
    </w:p>
    <w:p w14:paraId="088DA02F">
      <w:pPr>
        <w:ind w:firstLine="480"/>
        <w:rPr>
          <w:color w:val="auto"/>
        </w:rPr>
      </w:pPr>
      <w:r>
        <w:rPr>
          <w:color w:val="auto"/>
        </w:rPr>
        <w:t>九龙工业园区共涉及三座供水水厂，分别为和尚山水厂、丰收坝水厂和西彭水厂。三座水厂的水源均为长江，其中和尚山水厂取水口位于最下游。</w:t>
      </w:r>
    </w:p>
    <w:p w14:paraId="4159D80A">
      <w:pPr>
        <w:ind w:firstLine="480"/>
        <w:rPr>
          <w:color w:val="auto"/>
        </w:rPr>
      </w:pPr>
      <w:r>
        <w:rPr>
          <w:color w:val="auto"/>
        </w:rPr>
        <w:t>因此本次取水水源论证范围确定为和尚山水厂取水口至上游朱沱水文站（长约130km）</w:t>
      </w:r>
      <w:r>
        <w:rPr>
          <w:rFonts w:hint="eastAsia"/>
          <w:color w:val="auto"/>
        </w:rPr>
        <w:t>，流域面积为11298km</w:t>
      </w:r>
      <w:r>
        <w:rPr>
          <w:rFonts w:hint="eastAsia"/>
          <w:color w:val="auto"/>
          <w:vertAlign w:val="superscript"/>
        </w:rPr>
        <w:t>2</w:t>
      </w:r>
      <w:r>
        <w:rPr>
          <w:color w:val="auto"/>
        </w:rPr>
        <w:t>。详见附图3。</w:t>
      </w:r>
    </w:p>
    <w:p w14:paraId="2DE7EC9D">
      <w:pPr>
        <w:pStyle w:val="5"/>
        <w:numPr>
          <w:ilvl w:val="0"/>
          <w:numId w:val="0"/>
        </w:numPr>
        <w:spacing w:before="166" w:after="166"/>
        <w:rPr>
          <w:color w:val="auto"/>
        </w:rPr>
      </w:pPr>
      <w:r>
        <w:rPr>
          <w:color w:val="auto"/>
        </w:rPr>
        <w:t>1.4.3取水影响范围</w:t>
      </w:r>
    </w:p>
    <w:p w14:paraId="02872A53">
      <w:pPr>
        <w:snapToGrid w:val="0"/>
        <w:spacing w:line="560" w:lineRule="exact"/>
        <w:ind w:firstLine="480"/>
        <w:rPr>
          <w:color w:val="auto"/>
        </w:rPr>
      </w:pPr>
      <w:r>
        <w:rPr>
          <w:color w:val="auto"/>
        </w:rPr>
        <w:t>取水影响范围：是指分析“规划”取水方案实施可能产生影响所涉及的范围。应依据“规划”主要取水水源所在的位置、取水影响的程度，结合流域等自然地理单元、行政管理区界和人为地理边界等予以确定。因此根据以上原则确定取水影响论证范围。</w:t>
      </w:r>
    </w:p>
    <w:p w14:paraId="160AB49A">
      <w:pPr>
        <w:ind w:firstLine="480"/>
        <w:rPr>
          <w:color w:val="auto"/>
        </w:rPr>
      </w:pPr>
      <w:r>
        <w:rPr>
          <w:color w:val="auto"/>
        </w:rPr>
        <w:t>九龙工业园区分为ABC三个区，共涉及三座供水水厂，分别为和尚山水厂（供A区）、丰收坝水厂（供B区）和西彭水厂（供C区），取水口均位于长江，并且在嘉陵江汇入的上游河段。嘉陵江流域面积16万km</w:t>
      </w:r>
      <w:r>
        <w:rPr>
          <w:color w:val="auto"/>
          <w:position w:val="3"/>
          <w:vertAlign w:val="superscript"/>
        </w:rPr>
        <w:t>2</w:t>
      </w:r>
      <w:r>
        <w:rPr>
          <w:color w:val="auto"/>
        </w:rPr>
        <w:t>是长江支流中流域面积最大的河流，多年平均流量50.60亿m</w:t>
      </w:r>
      <w:r>
        <w:rPr>
          <w:color w:val="auto"/>
          <w:position w:val="3"/>
          <w:vertAlign w:val="superscript"/>
        </w:rPr>
        <w:t>3</w:t>
      </w:r>
      <w:r>
        <w:rPr>
          <w:color w:val="auto"/>
        </w:rPr>
        <w:t>，取水对长江干流朝天门以下河段水资源水生态以及其他取用水户等造成影响甚微。因此本次的取水影响范围分别论述：</w:t>
      </w:r>
    </w:p>
    <w:p w14:paraId="78CE29C6">
      <w:pPr>
        <w:pStyle w:val="56"/>
        <w:rPr>
          <w:color w:val="auto"/>
        </w:rPr>
      </w:pPr>
      <w:r>
        <w:rPr>
          <w:color w:val="auto"/>
        </w:rPr>
        <w:t>和尚山水厂取水口的取水影响论证范围：该工程取水口位于</w:t>
      </w:r>
      <w:r>
        <w:rPr>
          <w:color w:val="auto"/>
          <w:kern w:val="0"/>
        </w:rPr>
        <w:t>九龙坡区长江干流左岸</w:t>
      </w:r>
      <w:r>
        <w:rPr>
          <w:color w:val="auto"/>
        </w:rPr>
        <w:t>九龙滩，朝天门上游约14.4km处</w:t>
      </w:r>
      <w:r>
        <w:rPr>
          <w:color w:val="auto"/>
          <w:kern w:val="0"/>
        </w:rPr>
        <w:t>，</w:t>
      </w:r>
      <w:r>
        <w:rPr>
          <w:color w:val="auto"/>
        </w:rPr>
        <w:t>故取水影响范围为和尚山水厂取水口至朝天门长江干流河段，全长14.4km。</w:t>
      </w:r>
    </w:p>
    <w:p w14:paraId="1CD80CFD">
      <w:pPr>
        <w:pStyle w:val="56"/>
        <w:rPr>
          <w:color w:val="auto"/>
        </w:rPr>
      </w:pPr>
      <w:r>
        <w:rPr>
          <w:color w:val="auto"/>
        </w:rPr>
        <w:t>丰收坝水厂取水口的取水影响论证范围：该工程取水口位于</w:t>
      </w:r>
      <w:r>
        <w:rPr>
          <w:color w:val="auto"/>
          <w:kern w:val="0"/>
        </w:rPr>
        <w:t>大渡口区</w:t>
      </w:r>
      <w:r>
        <w:rPr>
          <w:color w:val="auto"/>
        </w:rPr>
        <w:t>石盘村上游150m处，朝天门上游约37.4km处</w:t>
      </w:r>
      <w:r>
        <w:rPr>
          <w:color w:val="auto"/>
          <w:kern w:val="0"/>
        </w:rPr>
        <w:t>，</w:t>
      </w:r>
      <w:r>
        <w:rPr>
          <w:color w:val="auto"/>
        </w:rPr>
        <w:t>故取水影响范围为丰收坝</w:t>
      </w:r>
      <w:r>
        <w:rPr>
          <w:rFonts w:hint="eastAsia"/>
          <w:color w:val="auto"/>
        </w:rPr>
        <w:t>水</w:t>
      </w:r>
      <w:r>
        <w:rPr>
          <w:color w:val="auto"/>
        </w:rPr>
        <w:t>厂取水口至朝天门长江干流河段，全长37.4km。</w:t>
      </w:r>
    </w:p>
    <w:p w14:paraId="42FDCF49">
      <w:pPr>
        <w:ind w:firstLine="480"/>
        <w:rPr>
          <w:color w:val="auto"/>
        </w:rPr>
      </w:pPr>
      <w:r>
        <w:rPr>
          <w:color w:val="auto"/>
        </w:rPr>
        <w:t>西彭水厂取水口的取水影响论证范围：根据规划，西彭水厂2025年由德感泵船取水口供水，因此西彭水厂取水影响论证范围为德感泵船取水口至朝天门长江干流河段，全长84km。</w:t>
      </w:r>
    </w:p>
    <w:p w14:paraId="380B27DE">
      <w:pPr>
        <w:ind w:firstLine="480"/>
        <w:rPr>
          <w:color w:val="auto"/>
        </w:rPr>
      </w:pPr>
      <w:r>
        <w:rPr>
          <w:color w:val="auto"/>
        </w:rPr>
        <w:t>详见附图4。</w:t>
      </w:r>
    </w:p>
    <w:p w14:paraId="405C9F25">
      <w:pPr>
        <w:pStyle w:val="5"/>
        <w:numPr>
          <w:ilvl w:val="0"/>
          <w:numId w:val="0"/>
        </w:numPr>
        <w:spacing w:before="166" w:after="166"/>
        <w:rPr>
          <w:color w:val="auto"/>
        </w:rPr>
      </w:pPr>
      <w:r>
        <w:rPr>
          <w:color w:val="auto"/>
        </w:rPr>
        <w:t>1.4.4</w:t>
      </w:r>
      <w:r>
        <w:rPr>
          <w:rFonts w:hint="eastAsia"/>
          <w:color w:val="auto"/>
        </w:rPr>
        <w:t>退水</w:t>
      </w:r>
      <w:r>
        <w:rPr>
          <w:color w:val="auto"/>
        </w:rPr>
        <w:t>影响范围</w:t>
      </w:r>
    </w:p>
    <w:p w14:paraId="0406350E">
      <w:pPr>
        <w:ind w:firstLine="480"/>
        <w:rPr>
          <w:color w:val="auto"/>
        </w:rPr>
      </w:pPr>
      <w:r>
        <w:rPr>
          <w:rFonts w:hint="eastAsia"/>
          <w:color w:val="auto"/>
        </w:rPr>
        <w:t>退水影响范围是指分析“规划”污染排放总量对水功能区可能产生影响所涉及的范围。规划有主要排污口的，应依据“规划”主要退水口所在位置、退水影响程度，结合水功能区划予以确定，除主要退水口所在的水功能区外，还应包括规划区下游邻近区域的重点水功能区。</w:t>
      </w:r>
      <w:r>
        <w:rPr>
          <w:color w:val="auto"/>
        </w:rPr>
        <w:t>九龙工业园区分为A、B、C三个区，其中A区退水主要依托彩云湖污水处理厂和鸡冠石污水处理厂；B区退水主要依托大九污水处理厂和九龙园区B3区污水处理厂；C区退水主要依托陶家生活污水处理厂和拟建的九龙园区L分区污水处理厂。</w:t>
      </w:r>
      <w:r>
        <w:rPr>
          <w:rFonts w:hint="eastAsia"/>
          <w:color w:val="auto"/>
        </w:rPr>
        <w:t>各污水处理厂的退水影响范围主要依据各污水处理厂排污口设置论证报告书及园区规划环评有关结论确定。</w:t>
      </w:r>
      <w:r>
        <w:rPr>
          <w:color w:val="auto"/>
        </w:rPr>
        <w:t>各污水处理厂</w:t>
      </w:r>
      <w:r>
        <w:rPr>
          <w:rFonts w:hint="eastAsia"/>
          <w:color w:val="auto"/>
        </w:rPr>
        <w:t>退水</w:t>
      </w:r>
      <w:r>
        <w:rPr>
          <w:color w:val="auto"/>
        </w:rPr>
        <w:t>影响范围如下：</w:t>
      </w:r>
    </w:p>
    <w:p w14:paraId="6F6416C2">
      <w:pPr>
        <w:ind w:firstLine="480"/>
        <w:rPr>
          <w:color w:val="auto"/>
        </w:rPr>
      </w:pPr>
      <w:r>
        <w:rPr>
          <w:color w:val="auto"/>
        </w:rPr>
        <w:t>（1）彩云湖污水处理厂</w:t>
      </w:r>
    </w:p>
    <w:p w14:paraId="41D95C7F">
      <w:pPr>
        <w:ind w:firstLine="480"/>
        <w:rPr>
          <w:color w:val="auto"/>
        </w:rPr>
      </w:pPr>
      <w:r>
        <w:rPr>
          <w:color w:val="auto"/>
        </w:rPr>
        <w:t>彩云湖污水处理厂排污口位于彩云湖西南侧，</w:t>
      </w:r>
      <w:r>
        <w:rPr>
          <w:color w:val="auto"/>
          <w:szCs w:val="24"/>
        </w:rPr>
        <w:t>彩云湖污水处理厂排污后水质影响范围主要为彩云湖污水处理厂入河排污口至桃花溪入河口河段。</w:t>
      </w:r>
      <w:r>
        <w:rPr>
          <w:color w:val="auto"/>
        </w:rPr>
        <w:t>本次论证将</w:t>
      </w:r>
      <w:r>
        <w:rPr>
          <w:color w:val="auto"/>
          <w:szCs w:val="24"/>
        </w:rPr>
        <w:t>彩云湖污水处理厂</w:t>
      </w:r>
      <w:r>
        <w:rPr>
          <w:color w:val="auto"/>
        </w:rPr>
        <w:t>退水影响范围确定为</w:t>
      </w:r>
      <w:r>
        <w:rPr>
          <w:color w:val="auto"/>
          <w:szCs w:val="24"/>
        </w:rPr>
        <w:t>彩云湖污水处理厂入河排污口至桃花溪长江入河口河</w:t>
      </w:r>
      <w:r>
        <w:rPr>
          <w:color w:val="auto"/>
        </w:rPr>
        <w:t>段，全长7.61km。</w:t>
      </w:r>
    </w:p>
    <w:p w14:paraId="57BA53F8">
      <w:pPr>
        <w:ind w:firstLine="480"/>
        <w:rPr>
          <w:color w:val="auto"/>
        </w:rPr>
      </w:pPr>
      <w:r>
        <w:rPr>
          <w:color w:val="auto"/>
        </w:rPr>
        <w:t>（2）鸡冠石污水处理厂</w:t>
      </w:r>
    </w:p>
    <w:p w14:paraId="5C941714">
      <w:pPr>
        <w:ind w:firstLine="480"/>
        <w:rPr>
          <w:color w:val="auto"/>
        </w:rPr>
      </w:pPr>
      <w:r>
        <w:rPr>
          <w:color w:val="auto"/>
          <w:kern w:val="0"/>
        </w:rPr>
        <w:t>鸡冠石污水处理厂排污口位于长江右岸寸滩长江大桥下游约3.5km处，</w:t>
      </w:r>
      <w:r>
        <w:rPr>
          <w:color w:val="auto"/>
        </w:rPr>
        <w:t>排污口位于长江三峡水库南岸排污控制区，根据污水处理厂排污口所在位置及影响范围，本项目退水影响范围为鸡冠石污水处理厂</w:t>
      </w:r>
      <w:r>
        <w:rPr>
          <w:rFonts w:hint="eastAsia"/>
          <w:color w:val="auto"/>
        </w:rPr>
        <w:t>排污口</w:t>
      </w:r>
      <w:r>
        <w:rPr>
          <w:color w:val="auto"/>
        </w:rPr>
        <w:t>～巴南区木洞，全长24km。</w:t>
      </w:r>
    </w:p>
    <w:p w14:paraId="1CB4B70E">
      <w:pPr>
        <w:ind w:firstLine="480"/>
        <w:rPr>
          <w:color w:val="auto"/>
        </w:rPr>
      </w:pPr>
      <w:r>
        <w:rPr>
          <w:color w:val="auto"/>
        </w:rPr>
        <w:t>（3）大九污水处理厂</w:t>
      </w:r>
    </w:p>
    <w:p w14:paraId="020B9D87">
      <w:pPr>
        <w:ind w:firstLine="480"/>
        <w:rPr>
          <w:color w:val="auto"/>
        </w:rPr>
      </w:pPr>
      <w:r>
        <w:rPr>
          <w:color w:val="auto"/>
        </w:rPr>
        <w:t>大九污水处理厂排污口位于跳蹬河南海大桥上游，</w:t>
      </w:r>
      <w:r>
        <w:rPr>
          <w:color w:val="auto"/>
          <w:szCs w:val="24"/>
        </w:rPr>
        <w:t>大九污水处理厂排污后水质影响范围主要为大九污水处理厂入河排污口至跳蹬河入河口河段。</w:t>
      </w:r>
      <w:r>
        <w:rPr>
          <w:color w:val="auto"/>
        </w:rPr>
        <w:t>本次论证将</w:t>
      </w:r>
      <w:r>
        <w:rPr>
          <w:color w:val="auto"/>
          <w:szCs w:val="24"/>
        </w:rPr>
        <w:t>大九污水处理厂</w:t>
      </w:r>
      <w:r>
        <w:rPr>
          <w:color w:val="auto"/>
        </w:rPr>
        <w:t>退水影响范围确定为</w:t>
      </w:r>
      <w:r>
        <w:rPr>
          <w:color w:val="auto"/>
          <w:szCs w:val="24"/>
        </w:rPr>
        <w:t>大九污水处理厂入河排污口至跳蹬河长江入河口河</w:t>
      </w:r>
      <w:r>
        <w:rPr>
          <w:color w:val="auto"/>
        </w:rPr>
        <w:t>段，全长6.1km。</w:t>
      </w:r>
    </w:p>
    <w:p w14:paraId="6F6107EF">
      <w:pPr>
        <w:ind w:firstLine="480"/>
        <w:rPr>
          <w:color w:val="auto"/>
        </w:rPr>
      </w:pPr>
      <w:r>
        <w:rPr>
          <w:color w:val="auto"/>
        </w:rPr>
        <w:t>（4）九龙园区B3区污水处理厂</w:t>
      </w:r>
    </w:p>
    <w:p w14:paraId="45535101">
      <w:pPr>
        <w:ind w:firstLine="480"/>
        <w:rPr>
          <w:color w:val="auto"/>
          <w:kern w:val="0"/>
        </w:rPr>
      </w:pPr>
      <w:r>
        <w:rPr>
          <w:color w:val="auto"/>
        </w:rPr>
        <w:t>九龙园区B3区污水处理厂排污口位于九龙坡区华岩镇西站村岩头湾响水沟河口上游350m处，其退水影响范围为排污口下游350m的响水沟和石林支流响水沟箱涵汇入口下游2.57km范围。</w:t>
      </w:r>
    </w:p>
    <w:p w14:paraId="740EE241">
      <w:pPr>
        <w:ind w:firstLine="480"/>
        <w:rPr>
          <w:color w:val="auto"/>
        </w:rPr>
      </w:pPr>
      <w:r>
        <w:rPr>
          <w:color w:val="auto"/>
        </w:rPr>
        <w:t>（5）陶家生活污水处理厂</w:t>
      </w:r>
    </w:p>
    <w:p w14:paraId="603B27FA">
      <w:pPr>
        <w:ind w:firstLine="480"/>
        <w:rPr>
          <w:color w:val="auto"/>
          <w:kern w:val="0"/>
        </w:rPr>
      </w:pPr>
      <w:r>
        <w:rPr>
          <w:color w:val="auto"/>
          <w:kern w:val="0"/>
        </w:rPr>
        <w:t>陶家生活污水处理厂排污口位于大溪河陶家生活污水处理厂东侧边界，在正常情况下，污水处理厂出水稳定达标排放</w:t>
      </w:r>
      <w:r>
        <w:rPr>
          <w:rFonts w:eastAsiaTheme="minorEastAsia"/>
          <w:color w:val="auto"/>
        </w:rPr>
        <w:t>，其水质影响范围排污口下游6.2km河道范围。因此本次将陶家生活污水处理厂退水影响范围定为陶家生活污水处理厂排污口下游6.2km河道范围。</w:t>
      </w:r>
    </w:p>
    <w:p w14:paraId="0DAD1A1F">
      <w:pPr>
        <w:ind w:firstLine="480"/>
        <w:rPr>
          <w:color w:val="auto"/>
          <w:kern w:val="0"/>
        </w:rPr>
      </w:pPr>
      <w:r>
        <w:rPr>
          <w:color w:val="auto"/>
          <w:kern w:val="0"/>
        </w:rPr>
        <w:t>（6）九龙园区L分区污水处理厂</w:t>
      </w:r>
    </w:p>
    <w:p w14:paraId="744B9C94">
      <w:pPr>
        <w:ind w:firstLine="480"/>
        <w:rPr>
          <w:color w:val="auto"/>
          <w:kern w:val="0"/>
        </w:rPr>
      </w:pPr>
      <w:r>
        <w:rPr>
          <w:color w:val="auto"/>
          <w:kern w:val="0"/>
        </w:rPr>
        <w:t>规划建设的九龙园区L分区污水处理厂（陶家工业污水处理厂）排污口位于大溪河支流杨柳曲河汇合口上游100m处，其水质影响范围主要为九龙园区L分区污水处理厂杨柳曲排污口至大溪河长江汇入口4.6km河道范围。因此，本次将九龙园区L分区污水处理厂退水影响范围定为该污水处理厂入河排污口至大溪河长江入河口河段，全长4.6km。</w:t>
      </w:r>
    </w:p>
    <w:p w14:paraId="6015D08B">
      <w:pPr>
        <w:ind w:firstLine="480"/>
        <w:rPr>
          <w:color w:val="auto"/>
        </w:rPr>
      </w:pPr>
      <w:r>
        <w:rPr>
          <w:rFonts w:hint="eastAsia"/>
          <w:color w:val="auto"/>
        </w:rPr>
        <w:t>退水影响</w:t>
      </w:r>
      <w:r>
        <w:rPr>
          <w:color w:val="auto"/>
        </w:rPr>
        <w:t>范围图见附图5。</w:t>
      </w:r>
    </w:p>
    <w:p w14:paraId="60B7FB1B">
      <w:pPr>
        <w:pStyle w:val="4"/>
        <w:numPr>
          <w:ilvl w:val="1"/>
          <w:numId w:val="0"/>
        </w:numPr>
        <w:spacing w:before="166" w:after="166"/>
        <w:rPr>
          <w:color w:val="auto"/>
        </w:rPr>
      </w:pPr>
      <w:bookmarkStart w:id="10" w:name="_Toc17901"/>
      <w:bookmarkStart w:id="11" w:name="_Toc14863"/>
      <w:r>
        <w:rPr>
          <w:color w:val="auto"/>
        </w:rPr>
        <w:t>1.5水平年</w:t>
      </w:r>
      <w:bookmarkEnd w:id="10"/>
      <w:bookmarkEnd w:id="11"/>
    </w:p>
    <w:p w14:paraId="52D05250">
      <w:pPr>
        <w:ind w:firstLine="480"/>
        <w:rPr>
          <w:color w:val="auto"/>
        </w:rPr>
      </w:pPr>
      <w:r>
        <w:rPr>
          <w:color w:val="auto"/>
        </w:rPr>
        <w:t>现状水平年：依据现有资料条件结合，现状水平年取2020年。</w:t>
      </w:r>
    </w:p>
    <w:p w14:paraId="69A0F9B3">
      <w:pPr>
        <w:pStyle w:val="11"/>
        <w:ind w:firstLine="480"/>
        <w:rPr>
          <w:color w:val="auto"/>
        </w:rPr>
      </w:pPr>
      <w:r>
        <w:rPr>
          <w:color w:val="auto"/>
        </w:rPr>
        <w:t>规划水平年：根据《关于印发加快推进区域整体评价工作实施方案的通知》（渝工改办</w:t>
      </w:r>
      <w:r>
        <w:rPr>
          <w:rFonts w:hint="eastAsia"/>
          <w:color w:val="auto"/>
        </w:rPr>
        <w:t>〔</w:t>
      </w:r>
      <w:r>
        <w:rPr>
          <w:color w:val="auto"/>
        </w:rPr>
        <w:t>2020</w:t>
      </w:r>
      <w:r>
        <w:rPr>
          <w:rFonts w:hint="eastAsia"/>
          <w:color w:val="auto"/>
        </w:rPr>
        <w:t>〕</w:t>
      </w:r>
      <w:r>
        <w:rPr>
          <w:color w:val="auto"/>
        </w:rPr>
        <w:t>4号）的相关要求，区域整体评价成果有效期为5年，同时结合规划水资源论证的自身特点，确定规划水平年为2025年。</w:t>
      </w:r>
    </w:p>
    <w:p w14:paraId="7DC1F602">
      <w:pPr>
        <w:pStyle w:val="4"/>
        <w:numPr>
          <w:ilvl w:val="1"/>
          <w:numId w:val="0"/>
        </w:numPr>
        <w:spacing w:before="166" w:after="166"/>
        <w:rPr>
          <w:color w:val="auto"/>
        </w:rPr>
      </w:pPr>
      <w:bookmarkStart w:id="12" w:name="_Toc25907"/>
      <w:r>
        <w:rPr>
          <w:color w:val="auto"/>
        </w:rPr>
        <w:t>1.6论证委托书、委托单位与承担单位</w:t>
      </w:r>
      <w:bookmarkEnd w:id="12"/>
    </w:p>
    <w:p w14:paraId="34D34FB8">
      <w:pPr>
        <w:spacing w:line="500" w:lineRule="exact"/>
        <w:ind w:firstLine="480"/>
        <w:rPr>
          <w:color w:val="auto"/>
        </w:rPr>
      </w:pPr>
      <w:r>
        <w:rPr>
          <w:color w:val="auto"/>
        </w:rPr>
        <w:t>委托方式：委托书（见附件1）；</w:t>
      </w:r>
    </w:p>
    <w:p w14:paraId="09719B29">
      <w:pPr>
        <w:ind w:firstLine="480"/>
        <w:rPr>
          <w:color w:val="auto"/>
        </w:rPr>
      </w:pPr>
      <w:r>
        <w:rPr>
          <w:color w:val="auto"/>
        </w:rPr>
        <w:t>委托单位：</w:t>
      </w:r>
      <w:bookmarkStart w:id="13" w:name="OLE_LINK9"/>
      <w:r>
        <w:rPr>
          <w:color w:val="auto"/>
        </w:rPr>
        <w:t>重庆高新技术产业开发区九龙园区管理委员</w:t>
      </w:r>
      <w:bookmarkEnd w:id="13"/>
      <w:r>
        <w:rPr>
          <w:color w:val="auto"/>
        </w:rPr>
        <w:t>；</w:t>
      </w:r>
    </w:p>
    <w:p w14:paraId="0E37F2BE">
      <w:pPr>
        <w:ind w:firstLine="480"/>
        <w:rPr>
          <w:color w:val="auto"/>
        </w:rPr>
      </w:pPr>
      <w:r>
        <w:rPr>
          <w:color w:val="auto"/>
        </w:rPr>
        <w:t>承担单位：精佳建设工程集团有限公司；</w:t>
      </w:r>
    </w:p>
    <w:p w14:paraId="15A6EAEF">
      <w:pPr>
        <w:ind w:firstLine="480"/>
        <w:rPr>
          <w:color w:val="auto"/>
        </w:rPr>
      </w:pPr>
      <w:r>
        <w:rPr>
          <w:color w:val="auto"/>
        </w:rPr>
        <w:t>委托项目：《重庆九龙工业园区水资源论证区域整体评价报告书》。</w:t>
      </w:r>
    </w:p>
    <w:p w14:paraId="22643023">
      <w:pPr>
        <w:pStyle w:val="11"/>
        <w:ind w:firstLine="480"/>
        <w:rPr>
          <w:color w:val="auto"/>
        </w:rPr>
        <w:sectPr>
          <w:footerReference r:id="rId7" w:type="default"/>
          <w:pgSz w:w="11905" w:h="16838"/>
          <w:pgMar w:top="1417" w:right="1417" w:bottom="1417" w:left="1587" w:header="850" w:footer="992" w:gutter="0"/>
          <w:pgNumType w:start="1"/>
          <w:cols w:space="0" w:num="1"/>
          <w:docGrid w:type="lines" w:linePitch="333" w:charSpace="0"/>
        </w:sectPr>
      </w:pPr>
    </w:p>
    <w:p w14:paraId="3815655D">
      <w:pPr>
        <w:pStyle w:val="3"/>
        <w:numPr>
          <w:ilvl w:val="0"/>
          <w:numId w:val="0"/>
        </w:numPr>
        <w:spacing w:before="333" w:after="333"/>
        <w:rPr>
          <w:color w:val="auto"/>
        </w:rPr>
      </w:pPr>
      <w:bookmarkStart w:id="14" w:name="_Toc4164"/>
      <w:bookmarkStart w:id="15" w:name="_Toc31236"/>
      <w:r>
        <w:rPr>
          <w:color w:val="auto"/>
        </w:rPr>
        <w:t>2区域概况</w:t>
      </w:r>
      <w:bookmarkEnd w:id="14"/>
      <w:bookmarkEnd w:id="15"/>
    </w:p>
    <w:p w14:paraId="0864DA2D">
      <w:pPr>
        <w:pStyle w:val="4"/>
        <w:numPr>
          <w:ilvl w:val="1"/>
          <w:numId w:val="0"/>
        </w:numPr>
        <w:spacing w:before="166" w:after="166"/>
        <w:rPr>
          <w:color w:val="auto"/>
        </w:rPr>
      </w:pPr>
      <w:bookmarkStart w:id="16" w:name="_Toc26670"/>
      <w:bookmarkStart w:id="17" w:name="_Toc18442"/>
      <w:r>
        <w:rPr>
          <w:color w:val="auto"/>
        </w:rPr>
        <w:t>2.1区域规划背景</w:t>
      </w:r>
      <w:bookmarkEnd w:id="16"/>
      <w:bookmarkEnd w:id="17"/>
    </w:p>
    <w:p w14:paraId="3387A139">
      <w:pPr>
        <w:pStyle w:val="5"/>
        <w:numPr>
          <w:ilvl w:val="0"/>
          <w:numId w:val="0"/>
        </w:numPr>
        <w:spacing w:before="166" w:after="166"/>
        <w:rPr>
          <w:color w:val="auto"/>
        </w:rPr>
      </w:pPr>
      <w:r>
        <w:rPr>
          <w:color w:val="auto"/>
        </w:rPr>
        <w:t>2.1.1区域规划背景</w:t>
      </w:r>
    </w:p>
    <w:p w14:paraId="1BED9F96">
      <w:pPr>
        <w:ind w:firstLine="480"/>
        <w:rPr>
          <w:color w:val="auto"/>
        </w:rPr>
      </w:pPr>
      <w:r>
        <w:rPr>
          <w:color w:val="auto"/>
        </w:rPr>
        <w:t>为充分发挥重庆市各区县资源优势，促进特色工业园区建设，1998年重庆市人民政府以渝府〔1998〕121号批准设立九龙园区，初设批准面积为4.21km</w:t>
      </w:r>
      <w:r>
        <w:rPr>
          <w:color w:val="auto"/>
          <w:vertAlign w:val="superscript"/>
        </w:rPr>
        <w:t>2</w:t>
      </w:r>
      <w:r>
        <w:rPr>
          <w:color w:val="auto"/>
        </w:rPr>
        <w:t>；经市政府《关于同意渝北区等16个区县（市）设立特色工业园区的批复》（渝府〔2002〕210号）、《关于同意黔江地区等10个区县设立特色工业园区和拓展区的批复》（渝府〔2003〕169号）和《关于核准九龙工业园区配套服务区规划控制范围的批复》（渝园区办〔2010〕19号）等文件批准扩区，并经国家发展改革委员会等六部门联合公告《中国开发区审核公告目录（2018年版）》公示核准，九龙园区核准面积为2142.59hm</w:t>
      </w:r>
      <w:r>
        <w:rPr>
          <w:color w:val="auto"/>
          <w:vertAlign w:val="superscript"/>
        </w:rPr>
        <w:t>2</w:t>
      </w:r>
      <w:r>
        <w:rPr>
          <w:color w:val="auto"/>
        </w:rPr>
        <w:t>，</w:t>
      </w:r>
      <w:r>
        <w:rPr>
          <w:color w:val="auto"/>
          <w:szCs w:val="28"/>
        </w:rPr>
        <w:t>包括A、B、C三个区，其中A区面积317.39hm</w:t>
      </w:r>
      <w:r>
        <w:rPr>
          <w:color w:val="auto"/>
          <w:szCs w:val="28"/>
          <w:vertAlign w:val="superscript"/>
        </w:rPr>
        <w:t>2</w:t>
      </w:r>
      <w:r>
        <w:rPr>
          <w:color w:val="auto"/>
          <w:szCs w:val="28"/>
        </w:rPr>
        <w:t>，B区面积475.94hm</w:t>
      </w:r>
      <w:r>
        <w:rPr>
          <w:color w:val="auto"/>
          <w:szCs w:val="28"/>
          <w:vertAlign w:val="superscript"/>
        </w:rPr>
        <w:t>2</w:t>
      </w:r>
      <w:r>
        <w:rPr>
          <w:color w:val="auto"/>
          <w:szCs w:val="28"/>
        </w:rPr>
        <w:t>，C区面积1349.26hm</w:t>
      </w:r>
      <w:r>
        <w:rPr>
          <w:color w:val="auto"/>
          <w:szCs w:val="28"/>
          <w:vertAlign w:val="superscript"/>
        </w:rPr>
        <w:t>2</w:t>
      </w:r>
      <w:r>
        <w:rPr>
          <w:color w:val="auto"/>
          <w:szCs w:val="28"/>
        </w:rPr>
        <w:t>。</w:t>
      </w:r>
    </w:p>
    <w:p w14:paraId="366B5C3D">
      <w:pPr>
        <w:ind w:firstLine="0" w:firstLineChars="0"/>
        <w:rPr>
          <w:b/>
          <w:bCs/>
          <w:color w:val="auto"/>
        </w:rPr>
      </w:pPr>
      <w:r>
        <w:rPr>
          <w:b/>
          <w:bCs/>
          <w:color w:val="auto"/>
        </w:rPr>
        <w:t>表2.1-1              九龙工业园区A 、B区评价范围</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7"/>
        <w:gridCol w:w="1548"/>
        <w:gridCol w:w="1132"/>
        <w:gridCol w:w="1132"/>
        <w:gridCol w:w="1275"/>
        <w:gridCol w:w="2773"/>
      </w:tblGrid>
      <w:tr w14:paraId="150ED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noWrap/>
            <w:vAlign w:val="center"/>
          </w:tcPr>
          <w:p w14:paraId="3D292811">
            <w:pPr>
              <w:pStyle w:val="44"/>
              <w:rPr>
                <w:color w:val="auto"/>
              </w:rPr>
            </w:pPr>
            <w:r>
              <w:rPr>
                <w:color w:val="auto"/>
              </w:rPr>
              <w:t>项目名称</w:t>
            </w:r>
          </w:p>
        </w:tc>
        <w:tc>
          <w:tcPr>
            <w:tcW w:w="848" w:type="pct"/>
            <w:noWrap/>
            <w:vAlign w:val="center"/>
          </w:tcPr>
          <w:p w14:paraId="4BDE8AD1">
            <w:pPr>
              <w:pStyle w:val="44"/>
              <w:rPr>
                <w:color w:val="auto"/>
              </w:rPr>
            </w:pPr>
            <w:r>
              <w:rPr>
                <w:color w:val="auto"/>
              </w:rPr>
              <w:t>区域名称</w:t>
            </w:r>
          </w:p>
        </w:tc>
        <w:tc>
          <w:tcPr>
            <w:tcW w:w="621" w:type="pct"/>
            <w:noWrap/>
            <w:vAlign w:val="center"/>
          </w:tcPr>
          <w:p w14:paraId="550A9FD4">
            <w:pPr>
              <w:pStyle w:val="44"/>
              <w:rPr>
                <w:color w:val="auto"/>
              </w:rPr>
            </w:pPr>
            <w:r>
              <w:rPr>
                <w:color w:val="auto"/>
              </w:rPr>
              <w:t>国家核准面积</w:t>
            </w:r>
          </w:p>
        </w:tc>
        <w:tc>
          <w:tcPr>
            <w:tcW w:w="621" w:type="pct"/>
            <w:noWrap/>
            <w:vAlign w:val="center"/>
          </w:tcPr>
          <w:p w14:paraId="42D7DA18">
            <w:pPr>
              <w:pStyle w:val="44"/>
              <w:rPr>
                <w:color w:val="auto"/>
              </w:rPr>
            </w:pPr>
            <w:r>
              <w:rPr>
                <w:color w:val="auto"/>
              </w:rPr>
              <w:t>拓展面积</w:t>
            </w:r>
          </w:p>
        </w:tc>
        <w:tc>
          <w:tcPr>
            <w:tcW w:w="698" w:type="pct"/>
            <w:noWrap/>
            <w:vAlign w:val="center"/>
          </w:tcPr>
          <w:p w14:paraId="2E284517">
            <w:pPr>
              <w:pStyle w:val="44"/>
              <w:rPr>
                <w:color w:val="auto"/>
              </w:rPr>
            </w:pPr>
            <w:r>
              <w:rPr>
                <w:color w:val="auto"/>
              </w:rPr>
              <w:t>本次区域评价面积</w:t>
            </w:r>
          </w:p>
        </w:tc>
        <w:tc>
          <w:tcPr>
            <w:tcW w:w="1520" w:type="pct"/>
            <w:noWrap/>
            <w:vAlign w:val="center"/>
          </w:tcPr>
          <w:p w14:paraId="7A8F2EE3">
            <w:pPr>
              <w:pStyle w:val="44"/>
              <w:rPr>
                <w:color w:val="auto"/>
              </w:rPr>
            </w:pPr>
            <w:r>
              <w:rPr>
                <w:color w:val="auto"/>
              </w:rPr>
              <w:t>备注</w:t>
            </w:r>
          </w:p>
        </w:tc>
      </w:tr>
      <w:tr w14:paraId="3EC29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restart"/>
            <w:vAlign w:val="center"/>
          </w:tcPr>
          <w:p w14:paraId="310C18A4">
            <w:pPr>
              <w:pStyle w:val="44"/>
              <w:rPr>
                <w:color w:val="auto"/>
              </w:rPr>
            </w:pPr>
            <w:r>
              <w:rPr>
                <w:color w:val="auto"/>
              </w:rPr>
              <w:t>重庆九龙工业园区（A、B区）</w:t>
            </w:r>
          </w:p>
        </w:tc>
        <w:tc>
          <w:tcPr>
            <w:tcW w:w="848" w:type="pct"/>
            <w:noWrap/>
            <w:vAlign w:val="center"/>
          </w:tcPr>
          <w:p w14:paraId="3896C41C">
            <w:pPr>
              <w:pStyle w:val="44"/>
              <w:rPr>
                <w:color w:val="auto"/>
              </w:rPr>
            </w:pPr>
            <w:r>
              <w:rPr>
                <w:color w:val="auto"/>
              </w:rPr>
              <w:t>九龙工业园区</w:t>
            </w:r>
          </w:p>
          <w:p w14:paraId="33927DC5">
            <w:pPr>
              <w:pStyle w:val="44"/>
              <w:rPr>
                <w:color w:val="auto"/>
              </w:rPr>
            </w:pPr>
            <w:r>
              <w:rPr>
                <w:color w:val="auto"/>
              </w:rPr>
              <w:t>（A区）</w:t>
            </w:r>
          </w:p>
        </w:tc>
        <w:tc>
          <w:tcPr>
            <w:tcW w:w="621" w:type="pct"/>
            <w:noWrap/>
            <w:vAlign w:val="center"/>
          </w:tcPr>
          <w:p w14:paraId="0ADD593F">
            <w:pPr>
              <w:pStyle w:val="44"/>
              <w:rPr>
                <w:color w:val="auto"/>
              </w:rPr>
            </w:pPr>
            <w:r>
              <w:rPr>
                <w:color w:val="auto"/>
              </w:rPr>
              <w:t>317.39</w:t>
            </w:r>
          </w:p>
        </w:tc>
        <w:tc>
          <w:tcPr>
            <w:tcW w:w="621" w:type="pct"/>
            <w:noWrap/>
            <w:vAlign w:val="center"/>
          </w:tcPr>
          <w:p w14:paraId="47144A86">
            <w:pPr>
              <w:pStyle w:val="44"/>
              <w:rPr>
                <w:color w:val="auto"/>
              </w:rPr>
            </w:pPr>
            <w:r>
              <w:rPr>
                <w:color w:val="auto"/>
              </w:rPr>
              <w:t>103.67</w:t>
            </w:r>
          </w:p>
        </w:tc>
        <w:tc>
          <w:tcPr>
            <w:tcW w:w="698" w:type="pct"/>
            <w:noWrap/>
            <w:vAlign w:val="center"/>
          </w:tcPr>
          <w:p w14:paraId="0CD4E277">
            <w:pPr>
              <w:pStyle w:val="44"/>
              <w:rPr>
                <w:color w:val="auto"/>
              </w:rPr>
            </w:pPr>
            <w:r>
              <w:rPr>
                <w:color w:val="auto"/>
              </w:rPr>
              <w:t>421.06</w:t>
            </w:r>
          </w:p>
        </w:tc>
        <w:tc>
          <w:tcPr>
            <w:tcW w:w="1520" w:type="pct"/>
            <w:noWrap/>
            <w:vAlign w:val="center"/>
          </w:tcPr>
          <w:p w14:paraId="05CAC0B3">
            <w:pPr>
              <w:pStyle w:val="44"/>
              <w:rPr>
                <w:color w:val="auto"/>
              </w:rPr>
            </w:pPr>
            <w:r>
              <w:rPr>
                <w:color w:val="auto"/>
              </w:rPr>
              <w:t>涉及重庆市九龙园区控制性详细规划（调整）的面积。</w:t>
            </w:r>
          </w:p>
        </w:tc>
      </w:tr>
      <w:tr w14:paraId="3AB04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vAlign w:val="center"/>
          </w:tcPr>
          <w:p w14:paraId="6A36ABF4">
            <w:pPr>
              <w:pStyle w:val="44"/>
              <w:rPr>
                <w:color w:val="auto"/>
              </w:rPr>
            </w:pPr>
          </w:p>
        </w:tc>
        <w:tc>
          <w:tcPr>
            <w:tcW w:w="848" w:type="pct"/>
            <w:noWrap/>
            <w:vAlign w:val="center"/>
          </w:tcPr>
          <w:p w14:paraId="55CA60A0">
            <w:pPr>
              <w:pStyle w:val="44"/>
              <w:rPr>
                <w:color w:val="auto"/>
              </w:rPr>
            </w:pPr>
            <w:r>
              <w:rPr>
                <w:color w:val="auto"/>
              </w:rPr>
              <w:t>九龙工业园区</w:t>
            </w:r>
          </w:p>
          <w:p w14:paraId="6ACAD311">
            <w:pPr>
              <w:pStyle w:val="44"/>
              <w:rPr>
                <w:color w:val="auto"/>
              </w:rPr>
            </w:pPr>
            <w:r>
              <w:rPr>
                <w:color w:val="auto"/>
              </w:rPr>
              <w:t>（B区）</w:t>
            </w:r>
          </w:p>
        </w:tc>
        <w:tc>
          <w:tcPr>
            <w:tcW w:w="621" w:type="pct"/>
            <w:noWrap/>
            <w:vAlign w:val="center"/>
          </w:tcPr>
          <w:p w14:paraId="324D350F">
            <w:pPr>
              <w:pStyle w:val="44"/>
              <w:rPr>
                <w:color w:val="auto"/>
              </w:rPr>
            </w:pPr>
            <w:r>
              <w:rPr>
                <w:color w:val="auto"/>
              </w:rPr>
              <w:t>475.94</w:t>
            </w:r>
          </w:p>
        </w:tc>
        <w:tc>
          <w:tcPr>
            <w:tcW w:w="621" w:type="pct"/>
            <w:noWrap/>
            <w:vAlign w:val="center"/>
          </w:tcPr>
          <w:p w14:paraId="25FA7B97">
            <w:pPr>
              <w:pStyle w:val="44"/>
              <w:rPr>
                <w:color w:val="auto"/>
              </w:rPr>
            </w:pPr>
            <w:r>
              <w:rPr>
                <w:color w:val="auto"/>
              </w:rPr>
              <w:t>421.98</w:t>
            </w:r>
          </w:p>
        </w:tc>
        <w:tc>
          <w:tcPr>
            <w:tcW w:w="698" w:type="pct"/>
            <w:noWrap/>
            <w:vAlign w:val="center"/>
          </w:tcPr>
          <w:p w14:paraId="2D057B1C">
            <w:pPr>
              <w:pStyle w:val="44"/>
              <w:rPr>
                <w:color w:val="auto"/>
              </w:rPr>
            </w:pPr>
            <w:r>
              <w:rPr>
                <w:color w:val="auto"/>
              </w:rPr>
              <w:t>897.92</w:t>
            </w:r>
          </w:p>
        </w:tc>
        <w:tc>
          <w:tcPr>
            <w:tcW w:w="1520" w:type="pct"/>
            <w:noWrap/>
            <w:vAlign w:val="center"/>
          </w:tcPr>
          <w:p w14:paraId="16DE34E2">
            <w:pPr>
              <w:pStyle w:val="44"/>
              <w:rPr>
                <w:color w:val="auto"/>
              </w:rPr>
            </w:pPr>
            <w:r>
              <w:rPr>
                <w:color w:val="auto"/>
              </w:rPr>
              <w:t>涉及中梁山组团和大渡口组团9个规划的部分面积。</w:t>
            </w:r>
          </w:p>
        </w:tc>
      </w:tr>
      <w:tr w14:paraId="0E435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vAlign w:val="center"/>
          </w:tcPr>
          <w:p w14:paraId="689AE76C">
            <w:pPr>
              <w:pStyle w:val="44"/>
              <w:rPr>
                <w:color w:val="auto"/>
              </w:rPr>
            </w:pPr>
          </w:p>
        </w:tc>
        <w:tc>
          <w:tcPr>
            <w:tcW w:w="848" w:type="pct"/>
            <w:noWrap/>
            <w:vAlign w:val="center"/>
          </w:tcPr>
          <w:p w14:paraId="6C4DDE5A">
            <w:pPr>
              <w:pStyle w:val="44"/>
              <w:rPr>
                <w:color w:val="auto"/>
              </w:rPr>
            </w:pPr>
            <w:r>
              <w:rPr>
                <w:color w:val="auto"/>
              </w:rPr>
              <w:t>合计</w:t>
            </w:r>
          </w:p>
        </w:tc>
        <w:tc>
          <w:tcPr>
            <w:tcW w:w="621" w:type="pct"/>
            <w:noWrap/>
            <w:vAlign w:val="center"/>
          </w:tcPr>
          <w:p w14:paraId="3995FA33">
            <w:pPr>
              <w:pStyle w:val="44"/>
              <w:rPr>
                <w:color w:val="auto"/>
              </w:rPr>
            </w:pPr>
            <w:r>
              <w:rPr>
                <w:color w:val="auto"/>
              </w:rPr>
              <w:t>793.33</w:t>
            </w:r>
          </w:p>
        </w:tc>
        <w:tc>
          <w:tcPr>
            <w:tcW w:w="621" w:type="pct"/>
            <w:noWrap/>
            <w:vAlign w:val="center"/>
          </w:tcPr>
          <w:p w14:paraId="0FEB4DD5">
            <w:pPr>
              <w:pStyle w:val="44"/>
              <w:rPr>
                <w:color w:val="auto"/>
              </w:rPr>
            </w:pPr>
            <w:r>
              <w:rPr>
                <w:color w:val="auto"/>
              </w:rPr>
              <w:t>525.65</w:t>
            </w:r>
          </w:p>
        </w:tc>
        <w:tc>
          <w:tcPr>
            <w:tcW w:w="698" w:type="pct"/>
            <w:noWrap/>
            <w:vAlign w:val="center"/>
          </w:tcPr>
          <w:p w14:paraId="0BA9831F">
            <w:pPr>
              <w:pStyle w:val="44"/>
              <w:rPr>
                <w:color w:val="auto"/>
              </w:rPr>
            </w:pPr>
            <w:r>
              <w:rPr>
                <w:color w:val="auto"/>
              </w:rPr>
              <w:t>1318.98</w:t>
            </w:r>
          </w:p>
        </w:tc>
        <w:tc>
          <w:tcPr>
            <w:tcW w:w="1520" w:type="pct"/>
            <w:noWrap/>
            <w:vAlign w:val="center"/>
          </w:tcPr>
          <w:p w14:paraId="2A183BD9">
            <w:pPr>
              <w:pStyle w:val="44"/>
              <w:rPr>
                <w:color w:val="auto"/>
              </w:rPr>
            </w:pPr>
            <w:r>
              <w:rPr>
                <w:color w:val="auto"/>
              </w:rPr>
              <w:t>　</w:t>
            </w:r>
          </w:p>
        </w:tc>
      </w:tr>
    </w:tbl>
    <w:p w14:paraId="6B1EEC53">
      <w:pPr>
        <w:ind w:firstLine="0" w:firstLineChars="0"/>
        <w:rPr>
          <w:color w:val="auto"/>
        </w:rPr>
      </w:pPr>
      <w:r>
        <w:rPr>
          <w:b/>
          <w:bCs/>
          <w:color w:val="auto"/>
        </w:rPr>
        <w:t>表2.1-2                  九龙工业园区C区评价范围</w:t>
      </w:r>
    </w:p>
    <w:tbl>
      <w:tblPr>
        <w:tblStyle w:val="21"/>
        <w:tblW w:w="5000" w:type="pct"/>
        <w:tblInd w:w="0" w:type="dxa"/>
        <w:tblLayout w:type="fixed"/>
        <w:tblCellMar>
          <w:top w:w="0" w:type="dxa"/>
          <w:left w:w="108" w:type="dxa"/>
          <w:bottom w:w="0" w:type="dxa"/>
          <w:right w:w="108" w:type="dxa"/>
        </w:tblCellMar>
      </w:tblPr>
      <w:tblGrid>
        <w:gridCol w:w="2287"/>
        <w:gridCol w:w="1791"/>
        <w:gridCol w:w="1067"/>
        <w:gridCol w:w="917"/>
        <w:gridCol w:w="1109"/>
        <w:gridCol w:w="1946"/>
      </w:tblGrid>
      <w:tr w14:paraId="59E1E933">
        <w:tblPrEx>
          <w:tblCellMar>
            <w:top w:w="0" w:type="dxa"/>
            <w:left w:w="108" w:type="dxa"/>
            <w:bottom w:w="0" w:type="dxa"/>
            <w:right w:w="108" w:type="dxa"/>
          </w:tblCellMar>
        </w:tblPrEx>
        <w:trPr>
          <w:trHeight w:val="270" w:hRule="atLeast"/>
        </w:trPr>
        <w:tc>
          <w:tcPr>
            <w:tcW w:w="1254" w:type="pct"/>
            <w:tcBorders>
              <w:top w:val="single" w:color="auto" w:sz="12" w:space="0"/>
              <w:left w:val="single" w:color="auto" w:sz="12" w:space="0"/>
              <w:bottom w:val="single" w:color="auto" w:sz="4" w:space="0"/>
              <w:right w:val="single" w:color="auto" w:sz="4" w:space="0"/>
            </w:tcBorders>
            <w:noWrap/>
            <w:vAlign w:val="center"/>
          </w:tcPr>
          <w:p w14:paraId="49A89E04">
            <w:pPr>
              <w:pStyle w:val="44"/>
              <w:rPr>
                <w:color w:val="auto"/>
              </w:rPr>
            </w:pPr>
            <w:r>
              <w:rPr>
                <w:color w:val="auto"/>
              </w:rPr>
              <w:t>项目名称</w:t>
            </w:r>
          </w:p>
        </w:tc>
        <w:tc>
          <w:tcPr>
            <w:tcW w:w="981" w:type="pct"/>
            <w:tcBorders>
              <w:top w:val="single" w:color="auto" w:sz="12" w:space="0"/>
              <w:left w:val="nil"/>
              <w:bottom w:val="single" w:color="auto" w:sz="4" w:space="0"/>
              <w:right w:val="single" w:color="auto" w:sz="4" w:space="0"/>
            </w:tcBorders>
            <w:noWrap/>
            <w:vAlign w:val="center"/>
          </w:tcPr>
          <w:p w14:paraId="0DD7E525">
            <w:pPr>
              <w:pStyle w:val="44"/>
              <w:rPr>
                <w:color w:val="auto"/>
              </w:rPr>
            </w:pPr>
            <w:r>
              <w:rPr>
                <w:color w:val="auto"/>
              </w:rPr>
              <w:t>区域名称</w:t>
            </w:r>
          </w:p>
        </w:tc>
        <w:tc>
          <w:tcPr>
            <w:tcW w:w="585" w:type="pct"/>
            <w:tcBorders>
              <w:top w:val="single" w:color="auto" w:sz="12" w:space="0"/>
              <w:left w:val="nil"/>
              <w:bottom w:val="single" w:color="auto" w:sz="4" w:space="0"/>
              <w:right w:val="single" w:color="auto" w:sz="4" w:space="0"/>
            </w:tcBorders>
            <w:noWrap/>
            <w:vAlign w:val="center"/>
          </w:tcPr>
          <w:p w14:paraId="265282F9">
            <w:pPr>
              <w:pStyle w:val="44"/>
              <w:rPr>
                <w:color w:val="auto"/>
              </w:rPr>
            </w:pPr>
            <w:r>
              <w:rPr>
                <w:color w:val="auto"/>
              </w:rPr>
              <w:t>规划</w:t>
            </w:r>
          </w:p>
          <w:p w14:paraId="0C11D40F">
            <w:pPr>
              <w:pStyle w:val="44"/>
              <w:rPr>
                <w:color w:val="auto"/>
              </w:rPr>
            </w:pPr>
            <w:r>
              <w:rPr>
                <w:color w:val="auto"/>
              </w:rPr>
              <w:t>总面积</w:t>
            </w:r>
          </w:p>
        </w:tc>
        <w:tc>
          <w:tcPr>
            <w:tcW w:w="503" w:type="pct"/>
            <w:tcBorders>
              <w:top w:val="single" w:color="auto" w:sz="12" w:space="0"/>
              <w:left w:val="nil"/>
              <w:bottom w:val="single" w:color="auto" w:sz="4" w:space="0"/>
              <w:right w:val="single" w:color="auto" w:sz="4" w:space="0"/>
            </w:tcBorders>
            <w:noWrap/>
            <w:vAlign w:val="center"/>
          </w:tcPr>
          <w:p w14:paraId="6C018C67">
            <w:pPr>
              <w:pStyle w:val="44"/>
              <w:rPr>
                <w:color w:val="auto"/>
              </w:rPr>
            </w:pPr>
            <w:r>
              <w:rPr>
                <w:color w:val="auto"/>
              </w:rPr>
              <w:t>扣除</w:t>
            </w:r>
          </w:p>
          <w:p w14:paraId="204FBEC6">
            <w:pPr>
              <w:pStyle w:val="44"/>
              <w:rPr>
                <w:color w:val="auto"/>
              </w:rPr>
            </w:pPr>
            <w:r>
              <w:rPr>
                <w:color w:val="auto"/>
              </w:rPr>
              <w:t>面积</w:t>
            </w:r>
          </w:p>
        </w:tc>
        <w:tc>
          <w:tcPr>
            <w:tcW w:w="608" w:type="pct"/>
            <w:tcBorders>
              <w:top w:val="single" w:color="auto" w:sz="12" w:space="0"/>
              <w:left w:val="nil"/>
              <w:bottom w:val="single" w:color="auto" w:sz="4" w:space="0"/>
              <w:right w:val="single" w:color="auto" w:sz="4" w:space="0"/>
            </w:tcBorders>
            <w:noWrap/>
            <w:vAlign w:val="center"/>
          </w:tcPr>
          <w:p w14:paraId="08C56BD5">
            <w:pPr>
              <w:pStyle w:val="44"/>
              <w:rPr>
                <w:color w:val="auto"/>
              </w:rPr>
            </w:pPr>
            <w:r>
              <w:rPr>
                <w:color w:val="auto"/>
              </w:rPr>
              <w:t>本次区域评价面积</w:t>
            </w:r>
          </w:p>
        </w:tc>
        <w:tc>
          <w:tcPr>
            <w:tcW w:w="1066" w:type="pct"/>
            <w:tcBorders>
              <w:top w:val="single" w:color="auto" w:sz="12" w:space="0"/>
              <w:left w:val="nil"/>
              <w:bottom w:val="single" w:color="auto" w:sz="4" w:space="0"/>
              <w:right w:val="single" w:color="auto" w:sz="12" w:space="0"/>
            </w:tcBorders>
            <w:noWrap/>
            <w:vAlign w:val="center"/>
          </w:tcPr>
          <w:p w14:paraId="0FCAEF01">
            <w:pPr>
              <w:pStyle w:val="44"/>
              <w:rPr>
                <w:color w:val="auto"/>
              </w:rPr>
            </w:pPr>
            <w:r>
              <w:rPr>
                <w:color w:val="auto"/>
              </w:rPr>
              <w:t>备注</w:t>
            </w:r>
          </w:p>
        </w:tc>
      </w:tr>
      <w:tr w14:paraId="4C1FB5D9">
        <w:tblPrEx>
          <w:tblCellMar>
            <w:top w:w="0" w:type="dxa"/>
            <w:left w:w="108" w:type="dxa"/>
            <w:bottom w:w="0" w:type="dxa"/>
            <w:right w:w="108" w:type="dxa"/>
          </w:tblCellMar>
        </w:tblPrEx>
        <w:trPr>
          <w:trHeight w:val="270" w:hRule="atLeast"/>
        </w:trPr>
        <w:tc>
          <w:tcPr>
            <w:tcW w:w="1254" w:type="pct"/>
            <w:vMerge w:val="restart"/>
            <w:tcBorders>
              <w:top w:val="nil"/>
              <w:left w:val="single" w:color="auto" w:sz="12" w:space="0"/>
              <w:bottom w:val="single" w:color="000000" w:sz="4" w:space="0"/>
              <w:right w:val="single" w:color="auto" w:sz="4" w:space="0"/>
            </w:tcBorders>
            <w:noWrap/>
            <w:vAlign w:val="center"/>
          </w:tcPr>
          <w:p w14:paraId="1E01D61E">
            <w:pPr>
              <w:pStyle w:val="44"/>
              <w:rPr>
                <w:color w:val="auto"/>
              </w:rPr>
            </w:pPr>
            <w:r>
              <w:rPr>
                <w:color w:val="auto"/>
              </w:rPr>
              <w:t>重庆九龙工业园（C区）</w:t>
            </w:r>
          </w:p>
        </w:tc>
        <w:tc>
          <w:tcPr>
            <w:tcW w:w="981" w:type="pct"/>
            <w:tcBorders>
              <w:top w:val="nil"/>
              <w:left w:val="nil"/>
              <w:bottom w:val="single" w:color="auto" w:sz="4" w:space="0"/>
              <w:right w:val="single" w:color="auto" w:sz="4" w:space="0"/>
            </w:tcBorders>
            <w:noWrap/>
            <w:vAlign w:val="center"/>
          </w:tcPr>
          <w:p w14:paraId="5C684D68">
            <w:pPr>
              <w:pStyle w:val="44"/>
              <w:rPr>
                <w:color w:val="auto"/>
              </w:rPr>
            </w:pPr>
            <w:r>
              <w:rPr>
                <w:color w:val="auto"/>
              </w:rPr>
              <w:t>西彭组团</w:t>
            </w:r>
          </w:p>
          <w:p w14:paraId="39FF1A23">
            <w:pPr>
              <w:pStyle w:val="44"/>
              <w:rPr>
                <w:color w:val="auto"/>
              </w:rPr>
            </w:pPr>
            <w:r>
              <w:rPr>
                <w:color w:val="auto"/>
              </w:rPr>
              <w:t>O标准分区</w:t>
            </w:r>
          </w:p>
        </w:tc>
        <w:tc>
          <w:tcPr>
            <w:tcW w:w="585" w:type="pct"/>
            <w:tcBorders>
              <w:top w:val="nil"/>
              <w:left w:val="nil"/>
              <w:bottom w:val="single" w:color="auto" w:sz="4" w:space="0"/>
              <w:right w:val="single" w:color="auto" w:sz="4" w:space="0"/>
            </w:tcBorders>
            <w:noWrap/>
            <w:vAlign w:val="center"/>
          </w:tcPr>
          <w:p w14:paraId="3B028C90">
            <w:pPr>
              <w:pStyle w:val="44"/>
              <w:rPr>
                <w:color w:val="auto"/>
              </w:rPr>
            </w:pPr>
            <w:r>
              <w:rPr>
                <w:color w:val="auto"/>
              </w:rPr>
              <w:t>506.68</w:t>
            </w:r>
          </w:p>
        </w:tc>
        <w:tc>
          <w:tcPr>
            <w:tcW w:w="503" w:type="pct"/>
            <w:tcBorders>
              <w:top w:val="nil"/>
              <w:left w:val="nil"/>
              <w:bottom w:val="single" w:color="auto" w:sz="4" w:space="0"/>
              <w:right w:val="single" w:color="auto" w:sz="4" w:space="0"/>
            </w:tcBorders>
            <w:noWrap/>
            <w:vAlign w:val="center"/>
          </w:tcPr>
          <w:p w14:paraId="7FC4763A">
            <w:pPr>
              <w:pStyle w:val="44"/>
              <w:rPr>
                <w:color w:val="auto"/>
              </w:rPr>
            </w:pPr>
            <w:r>
              <w:rPr>
                <w:color w:val="auto"/>
              </w:rPr>
              <w:t>64.43</w:t>
            </w:r>
          </w:p>
        </w:tc>
        <w:tc>
          <w:tcPr>
            <w:tcW w:w="608" w:type="pct"/>
            <w:tcBorders>
              <w:top w:val="nil"/>
              <w:left w:val="nil"/>
              <w:bottom w:val="single" w:color="auto" w:sz="4" w:space="0"/>
              <w:right w:val="single" w:color="auto" w:sz="4" w:space="0"/>
            </w:tcBorders>
            <w:noWrap/>
            <w:vAlign w:val="center"/>
          </w:tcPr>
          <w:p w14:paraId="42E4B828">
            <w:pPr>
              <w:pStyle w:val="44"/>
              <w:rPr>
                <w:color w:val="auto"/>
              </w:rPr>
            </w:pPr>
            <w:r>
              <w:rPr>
                <w:color w:val="auto"/>
              </w:rPr>
              <w:t>442.25</w:t>
            </w:r>
          </w:p>
        </w:tc>
        <w:tc>
          <w:tcPr>
            <w:tcW w:w="1066" w:type="pct"/>
            <w:tcBorders>
              <w:top w:val="nil"/>
              <w:left w:val="nil"/>
              <w:bottom w:val="single" w:color="auto" w:sz="4" w:space="0"/>
              <w:right w:val="single" w:color="auto" w:sz="12" w:space="0"/>
            </w:tcBorders>
            <w:noWrap/>
            <w:vAlign w:val="center"/>
          </w:tcPr>
          <w:p w14:paraId="0F781619">
            <w:pPr>
              <w:pStyle w:val="44"/>
              <w:rPr>
                <w:color w:val="auto"/>
              </w:rPr>
            </w:pPr>
            <w:r>
              <w:rPr>
                <w:color w:val="auto"/>
              </w:rPr>
              <w:t>扣除面积为重庆市高新区范围</w:t>
            </w:r>
          </w:p>
        </w:tc>
      </w:tr>
      <w:tr w14:paraId="491B5D90">
        <w:tblPrEx>
          <w:tblCellMar>
            <w:top w:w="0" w:type="dxa"/>
            <w:left w:w="108" w:type="dxa"/>
            <w:bottom w:w="0" w:type="dxa"/>
            <w:right w:w="108" w:type="dxa"/>
          </w:tblCellMar>
        </w:tblPrEx>
        <w:trPr>
          <w:trHeight w:val="270" w:hRule="atLeast"/>
        </w:trPr>
        <w:tc>
          <w:tcPr>
            <w:tcW w:w="1254" w:type="pct"/>
            <w:vMerge w:val="continue"/>
            <w:tcBorders>
              <w:top w:val="nil"/>
              <w:left w:val="single" w:color="auto" w:sz="12" w:space="0"/>
              <w:bottom w:val="single" w:color="000000" w:sz="4" w:space="0"/>
              <w:right w:val="single" w:color="auto" w:sz="4" w:space="0"/>
            </w:tcBorders>
            <w:vAlign w:val="center"/>
          </w:tcPr>
          <w:p w14:paraId="3E333F95">
            <w:pPr>
              <w:pStyle w:val="44"/>
              <w:rPr>
                <w:color w:val="auto"/>
              </w:rPr>
            </w:pPr>
          </w:p>
        </w:tc>
        <w:tc>
          <w:tcPr>
            <w:tcW w:w="981" w:type="pct"/>
            <w:vMerge w:val="restart"/>
            <w:tcBorders>
              <w:top w:val="nil"/>
              <w:left w:val="single" w:color="auto" w:sz="4" w:space="0"/>
              <w:bottom w:val="single" w:color="auto" w:sz="4" w:space="0"/>
              <w:right w:val="single" w:color="auto" w:sz="4" w:space="0"/>
            </w:tcBorders>
            <w:noWrap/>
            <w:vAlign w:val="center"/>
          </w:tcPr>
          <w:p w14:paraId="26616691">
            <w:pPr>
              <w:pStyle w:val="44"/>
              <w:rPr>
                <w:color w:val="auto"/>
              </w:rPr>
            </w:pPr>
            <w:r>
              <w:rPr>
                <w:color w:val="auto"/>
              </w:rPr>
              <w:t>西彭组团</w:t>
            </w:r>
          </w:p>
          <w:p w14:paraId="26DB5CDB">
            <w:pPr>
              <w:pStyle w:val="44"/>
              <w:rPr>
                <w:color w:val="auto"/>
              </w:rPr>
            </w:pPr>
            <w:r>
              <w:rPr>
                <w:color w:val="auto"/>
              </w:rPr>
              <w:t>L标准分区</w:t>
            </w:r>
          </w:p>
        </w:tc>
        <w:tc>
          <w:tcPr>
            <w:tcW w:w="585" w:type="pct"/>
            <w:vMerge w:val="restart"/>
            <w:tcBorders>
              <w:top w:val="nil"/>
              <w:left w:val="single" w:color="auto" w:sz="4" w:space="0"/>
              <w:bottom w:val="single" w:color="auto" w:sz="4" w:space="0"/>
              <w:right w:val="single" w:color="auto" w:sz="4" w:space="0"/>
            </w:tcBorders>
            <w:noWrap/>
            <w:vAlign w:val="center"/>
          </w:tcPr>
          <w:p w14:paraId="411AB6AA">
            <w:pPr>
              <w:pStyle w:val="44"/>
              <w:rPr>
                <w:color w:val="auto"/>
              </w:rPr>
            </w:pPr>
            <w:r>
              <w:rPr>
                <w:color w:val="auto"/>
              </w:rPr>
              <w:t>584.67</w:t>
            </w:r>
          </w:p>
        </w:tc>
        <w:tc>
          <w:tcPr>
            <w:tcW w:w="503" w:type="pct"/>
            <w:tcBorders>
              <w:top w:val="nil"/>
              <w:left w:val="nil"/>
              <w:bottom w:val="single" w:color="auto" w:sz="4" w:space="0"/>
              <w:right w:val="single" w:color="auto" w:sz="4" w:space="0"/>
            </w:tcBorders>
            <w:noWrap/>
            <w:vAlign w:val="center"/>
          </w:tcPr>
          <w:p w14:paraId="62362CAD">
            <w:pPr>
              <w:pStyle w:val="44"/>
              <w:rPr>
                <w:color w:val="auto"/>
              </w:rPr>
            </w:pPr>
            <w:r>
              <w:rPr>
                <w:color w:val="auto"/>
              </w:rPr>
              <w:t>108.47</w:t>
            </w:r>
          </w:p>
        </w:tc>
        <w:tc>
          <w:tcPr>
            <w:tcW w:w="608" w:type="pct"/>
            <w:vMerge w:val="restart"/>
            <w:tcBorders>
              <w:top w:val="nil"/>
              <w:left w:val="single" w:color="auto" w:sz="4" w:space="0"/>
              <w:bottom w:val="single" w:color="auto" w:sz="4" w:space="0"/>
              <w:right w:val="single" w:color="auto" w:sz="4" w:space="0"/>
            </w:tcBorders>
            <w:noWrap/>
            <w:vAlign w:val="center"/>
          </w:tcPr>
          <w:p w14:paraId="5E791BD3">
            <w:pPr>
              <w:pStyle w:val="44"/>
              <w:rPr>
                <w:color w:val="auto"/>
              </w:rPr>
            </w:pPr>
            <w:r>
              <w:rPr>
                <w:color w:val="auto"/>
              </w:rPr>
              <w:t>354.85</w:t>
            </w:r>
          </w:p>
        </w:tc>
        <w:tc>
          <w:tcPr>
            <w:tcW w:w="1066" w:type="pct"/>
            <w:tcBorders>
              <w:top w:val="nil"/>
              <w:left w:val="nil"/>
              <w:bottom w:val="single" w:color="auto" w:sz="4" w:space="0"/>
              <w:right w:val="single" w:color="auto" w:sz="12" w:space="0"/>
            </w:tcBorders>
            <w:noWrap/>
            <w:vAlign w:val="center"/>
          </w:tcPr>
          <w:p w14:paraId="4C5C9853">
            <w:pPr>
              <w:pStyle w:val="44"/>
              <w:rPr>
                <w:color w:val="auto"/>
              </w:rPr>
            </w:pPr>
            <w:r>
              <w:rPr>
                <w:color w:val="auto"/>
              </w:rPr>
              <w:t>未在2018年国家核准面积内</w:t>
            </w:r>
          </w:p>
        </w:tc>
      </w:tr>
      <w:tr w14:paraId="6EAD1009">
        <w:tblPrEx>
          <w:tblCellMar>
            <w:top w:w="0" w:type="dxa"/>
            <w:left w:w="108" w:type="dxa"/>
            <w:bottom w:w="0" w:type="dxa"/>
            <w:right w:w="108" w:type="dxa"/>
          </w:tblCellMar>
        </w:tblPrEx>
        <w:trPr>
          <w:trHeight w:val="270" w:hRule="atLeast"/>
        </w:trPr>
        <w:tc>
          <w:tcPr>
            <w:tcW w:w="1254" w:type="pct"/>
            <w:vMerge w:val="continue"/>
            <w:tcBorders>
              <w:top w:val="nil"/>
              <w:left w:val="single" w:color="auto" w:sz="12" w:space="0"/>
              <w:bottom w:val="single" w:color="000000" w:sz="4" w:space="0"/>
              <w:right w:val="single" w:color="auto" w:sz="4" w:space="0"/>
            </w:tcBorders>
            <w:vAlign w:val="center"/>
          </w:tcPr>
          <w:p w14:paraId="44214432">
            <w:pPr>
              <w:pStyle w:val="44"/>
              <w:rPr>
                <w:color w:val="auto"/>
              </w:rPr>
            </w:pPr>
          </w:p>
        </w:tc>
        <w:tc>
          <w:tcPr>
            <w:tcW w:w="981" w:type="pct"/>
            <w:vMerge w:val="continue"/>
            <w:tcBorders>
              <w:top w:val="nil"/>
              <w:left w:val="single" w:color="auto" w:sz="4" w:space="0"/>
              <w:bottom w:val="single" w:color="auto" w:sz="4" w:space="0"/>
              <w:right w:val="single" w:color="auto" w:sz="4" w:space="0"/>
            </w:tcBorders>
            <w:vAlign w:val="center"/>
          </w:tcPr>
          <w:p w14:paraId="7F9C924E">
            <w:pPr>
              <w:pStyle w:val="44"/>
              <w:rPr>
                <w:color w:val="auto"/>
              </w:rPr>
            </w:pPr>
          </w:p>
        </w:tc>
        <w:tc>
          <w:tcPr>
            <w:tcW w:w="585" w:type="pct"/>
            <w:vMerge w:val="continue"/>
            <w:tcBorders>
              <w:top w:val="nil"/>
              <w:left w:val="single" w:color="auto" w:sz="4" w:space="0"/>
              <w:bottom w:val="single" w:color="auto" w:sz="4" w:space="0"/>
              <w:right w:val="single" w:color="auto" w:sz="4" w:space="0"/>
            </w:tcBorders>
            <w:vAlign w:val="center"/>
          </w:tcPr>
          <w:p w14:paraId="6C67D2ED">
            <w:pPr>
              <w:pStyle w:val="44"/>
              <w:rPr>
                <w:color w:val="auto"/>
              </w:rPr>
            </w:pPr>
          </w:p>
        </w:tc>
        <w:tc>
          <w:tcPr>
            <w:tcW w:w="503" w:type="pct"/>
            <w:tcBorders>
              <w:top w:val="nil"/>
              <w:left w:val="nil"/>
              <w:bottom w:val="single" w:color="auto" w:sz="4" w:space="0"/>
              <w:right w:val="single" w:color="auto" w:sz="4" w:space="0"/>
            </w:tcBorders>
            <w:noWrap/>
            <w:vAlign w:val="center"/>
          </w:tcPr>
          <w:p w14:paraId="185DDF8B">
            <w:pPr>
              <w:pStyle w:val="44"/>
              <w:rPr>
                <w:color w:val="auto"/>
              </w:rPr>
            </w:pPr>
            <w:r>
              <w:rPr>
                <w:color w:val="auto"/>
              </w:rPr>
              <w:t>121.35</w:t>
            </w:r>
          </w:p>
        </w:tc>
        <w:tc>
          <w:tcPr>
            <w:tcW w:w="608" w:type="pct"/>
            <w:vMerge w:val="continue"/>
            <w:tcBorders>
              <w:top w:val="nil"/>
              <w:left w:val="single" w:color="auto" w:sz="4" w:space="0"/>
              <w:bottom w:val="single" w:color="auto" w:sz="4" w:space="0"/>
              <w:right w:val="single" w:color="auto" w:sz="4" w:space="0"/>
            </w:tcBorders>
            <w:vAlign w:val="center"/>
          </w:tcPr>
          <w:p w14:paraId="78DB1600">
            <w:pPr>
              <w:pStyle w:val="44"/>
              <w:rPr>
                <w:color w:val="auto"/>
              </w:rPr>
            </w:pPr>
          </w:p>
        </w:tc>
        <w:tc>
          <w:tcPr>
            <w:tcW w:w="1066" w:type="pct"/>
            <w:tcBorders>
              <w:top w:val="nil"/>
              <w:left w:val="nil"/>
              <w:bottom w:val="single" w:color="auto" w:sz="4" w:space="0"/>
              <w:right w:val="single" w:color="auto" w:sz="12" w:space="0"/>
            </w:tcBorders>
            <w:noWrap/>
            <w:vAlign w:val="center"/>
          </w:tcPr>
          <w:p w14:paraId="07A13890">
            <w:pPr>
              <w:pStyle w:val="44"/>
              <w:rPr>
                <w:color w:val="auto"/>
              </w:rPr>
            </w:pPr>
            <w:r>
              <w:rPr>
                <w:color w:val="auto"/>
              </w:rPr>
              <w:t>扣除面积为西彭工业园区</w:t>
            </w:r>
          </w:p>
        </w:tc>
      </w:tr>
      <w:tr w14:paraId="3C72CFCC">
        <w:tblPrEx>
          <w:tblCellMar>
            <w:top w:w="0" w:type="dxa"/>
            <w:left w:w="108" w:type="dxa"/>
            <w:bottom w:w="0" w:type="dxa"/>
            <w:right w:w="108" w:type="dxa"/>
          </w:tblCellMar>
        </w:tblPrEx>
        <w:trPr>
          <w:trHeight w:val="449" w:hRule="atLeast"/>
        </w:trPr>
        <w:tc>
          <w:tcPr>
            <w:tcW w:w="1254" w:type="pct"/>
            <w:vMerge w:val="continue"/>
            <w:tcBorders>
              <w:top w:val="nil"/>
              <w:left w:val="single" w:color="auto" w:sz="12" w:space="0"/>
              <w:bottom w:val="single" w:color="auto" w:sz="12" w:space="0"/>
              <w:right w:val="single" w:color="auto" w:sz="4" w:space="0"/>
            </w:tcBorders>
            <w:vAlign w:val="center"/>
          </w:tcPr>
          <w:p w14:paraId="734DE688">
            <w:pPr>
              <w:pStyle w:val="44"/>
              <w:rPr>
                <w:color w:val="auto"/>
              </w:rPr>
            </w:pPr>
          </w:p>
        </w:tc>
        <w:tc>
          <w:tcPr>
            <w:tcW w:w="981" w:type="pct"/>
            <w:tcBorders>
              <w:top w:val="nil"/>
              <w:left w:val="nil"/>
              <w:bottom w:val="single" w:color="auto" w:sz="12" w:space="0"/>
              <w:right w:val="single" w:color="auto" w:sz="4" w:space="0"/>
            </w:tcBorders>
            <w:noWrap/>
            <w:vAlign w:val="center"/>
          </w:tcPr>
          <w:p w14:paraId="2FE06530">
            <w:pPr>
              <w:pStyle w:val="44"/>
              <w:rPr>
                <w:color w:val="auto"/>
              </w:rPr>
            </w:pPr>
            <w:r>
              <w:rPr>
                <w:color w:val="auto"/>
              </w:rPr>
              <w:t>合计</w:t>
            </w:r>
          </w:p>
        </w:tc>
        <w:tc>
          <w:tcPr>
            <w:tcW w:w="585" w:type="pct"/>
            <w:tcBorders>
              <w:top w:val="nil"/>
              <w:left w:val="nil"/>
              <w:bottom w:val="single" w:color="auto" w:sz="12" w:space="0"/>
              <w:right w:val="single" w:color="auto" w:sz="4" w:space="0"/>
            </w:tcBorders>
            <w:noWrap/>
            <w:vAlign w:val="center"/>
          </w:tcPr>
          <w:p w14:paraId="51458924">
            <w:pPr>
              <w:pStyle w:val="44"/>
              <w:rPr>
                <w:color w:val="auto"/>
              </w:rPr>
            </w:pPr>
            <w:r>
              <w:rPr>
                <w:color w:val="auto"/>
              </w:rPr>
              <w:t>1091.35</w:t>
            </w:r>
          </w:p>
        </w:tc>
        <w:tc>
          <w:tcPr>
            <w:tcW w:w="503" w:type="pct"/>
            <w:tcBorders>
              <w:top w:val="nil"/>
              <w:left w:val="nil"/>
              <w:bottom w:val="single" w:color="auto" w:sz="12" w:space="0"/>
              <w:right w:val="single" w:color="auto" w:sz="4" w:space="0"/>
            </w:tcBorders>
            <w:noWrap/>
            <w:vAlign w:val="center"/>
          </w:tcPr>
          <w:p w14:paraId="1CE0DB21">
            <w:pPr>
              <w:pStyle w:val="44"/>
              <w:rPr>
                <w:color w:val="auto"/>
              </w:rPr>
            </w:pPr>
            <w:r>
              <w:rPr>
                <w:color w:val="auto"/>
              </w:rPr>
              <w:t>294.25</w:t>
            </w:r>
          </w:p>
        </w:tc>
        <w:tc>
          <w:tcPr>
            <w:tcW w:w="608" w:type="pct"/>
            <w:tcBorders>
              <w:top w:val="nil"/>
              <w:left w:val="nil"/>
              <w:bottom w:val="single" w:color="auto" w:sz="12" w:space="0"/>
              <w:right w:val="single" w:color="auto" w:sz="4" w:space="0"/>
            </w:tcBorders>
            <w:noWrap/>
            <w:vAlign w:val="center"/>
          </w:tcPr>
          <w:p w14:paraId="1F2A89A8">
            <w:pPr>
              <w:pStyle w:val="44"/>
              <w:rPr>
                <w:color w:val="auto"/>
              </w:rPr>
            </w:pPr>
            <w:r>
              <w:rPr>
                <w:color w:val="auto"/>
              </w:rPr>
              <w:t>797.10</w:t>
            </w:r>
          </w:p>
        </w:tc>
        <w:tc>
          <w:tcPr>
            <w:tcW w:w="1066" w:type="pct"/>
            <w:tcBorders>
              <w:top w:val="nil"/>
              <w:left w:val="nil"/>
              <w:bottom w:val="single" w:color="auto" w:sz="12" w:space="0"/>
              <w:right w:val="single" w:color="auto" w:sz="12" w:space="0"/>
            </w:tcBorders>
            <w:noWrap/>
            <w:vAlign w:val="center"/>
          </w:tcPr>
          <w:p w14:paraId="05D93627">
            <w:pPr>
              <w:pStyle w:val="44"/>
              <w:rPr>
                <w:color w:val="auto"/>
              </w:rPr>
            </w:pPr>
            <w:r>
              <w:rPr>
                <w:color w:val="auto"/>
              </w:rPr>
              <w:t>　</w:t>
            </w:r>
          </w:p>
        </w:tc>
      </w:tr>
    </w:tbl>
    <w:p w14:paraId="02E2A86B">
      <w:pPr>
        <w:ind w:firstLine="480"/>
        <w:rPr>
          <w:color w:val="auto"/>
        </w:rPr>
      </w:pPr>
      <w:r>
        <w:rPr>
          <w:color w:val="auto"/>
          <w:szCs w:val="28"/>
        </w:rPr>
        <w:t>根据九龙工业园区的规划发展状况及重庆高新区成立，现状A、B、C区均有调整</w:t>
      </w:r>
      <w:r>
        <w:rPr>
          <w:rFonts w:hint="eastAsia"/>
          <w:color w:val="auto"/>
          <w:szCs w:val="28"/>
        </w:rPr>
        <w:t>。根据表2.1-1、表2.2-2，</w:t>
      </w:r>
      <w:r>
        <w:rPr>
          <w:color w:val="auto"/>
          <w:szCs w:val="28"/>
        </w:rPr>
        <w:t>拓展后面积分别为421.06hm</w:t>
      </w:r>
      <w:r>
        <w:rPr>
          <w:color w:val="auto"/>
          <w:szCs w:val="28"/>
          <w:vertAlign w:val="superscript"/>
        </w:rPr>
        <w:t>2</w:t>
      </w:r>
      <w:r>
        <w:rPr>
          <w:color w:val="auto"/>
          <w:szCs w:val="28"/>
        </w:rPr>
        <w:t>、</w:t>
      </w:r>
      <w:r>
        <w:rPr>
          <w:color w:val="auto"/>
        </w:rPr>
        <w:t>897.92hm</w:t>
      </w:r>
      <w:r>
        <w:rPr>
          <w:color w:val="auto"/>
          <w:vertAlign w:val="superscript"/>
        </w:rPr>
        <w:t>2</w:t>
      </w:r>
      <w:r>
        <w:rPr>
          <w:color w:val="auto"/>
        </w:rPr>
        <w:t>、797.1hm</w:t>
      </w:r>
      <w:r>
        <w:rPr>
          <w:color w:val="auto"/>
          <w:vertAlign w:val="superscript"/>
        </w:rPr>
        <w:t>2</w:t>
      </w:r>
      <w:r>
        <w:rPr>
          <w:color w:val="auto"/>
        </w:rPr>
        <w:t>。故本次评价的园区范围即为A、B、</w:t>
      </w:r>
      <w:r>
        <w:rPr>
          <w:color w:val="auto"/>
          <w:szCs w:val="28"/>
        </w:rPr>
        <w:t>C区调整后</w:t>
      </w:r>
      <w:r>
        <w:rPr>
          <w:color w:val="auto"/>
        </w:rPr>
        <w:t>总面积2116.08hm</w:t>
      </w:r>
      <w:r>
        <w:rPr>
          <w:color w:val="auto"/>
          <w:vertAlign w:val="superscript"/>
        </w:rPr>
        <w:t>2</w:t>
      </w:r>
      <w:r>
        <w:rPr>
          <w:color w:val="auto"/>
        </w:rPr>
        <w:t>。</w:t>
      </w:r>
    </w:p>
    <w:p w14:paraId="5C6B741F">
      <w:pPr>
        <w:pStyle w:val="5"/>
        <w:numPr>
          <w:ilvl w:val="0"/>
          <w:numId w:val="0"/>
        </w:numPr>
        <w:spacing w:before="166" w:after="166"/>
        <w:rPr>
          <w:color w:val="auto"/>
        </w:rPr>
      </w:pPr>
      <w:r>
        <w:rPr>
          <w:color w:val="auto"/>
        </w:rPr>
        <w:t>2.1.2区域规划工作开展情况</w:t>
      </w:r>
    </w:p>
    <w:p w14:paraId="46FD6644">
      <w:pPr>
        <w:pStyle w:val="6"/>
        <w:numPr>
          <w:ilvl w:val="3"/>
          <w:numId w:val="0"/>
        </w:numPr>
        <w:rPr>
          <w:color w:val="auto"/>
        </w:rPr>
      </w:pPr>
      <w:r>
        <w:rPr>
          <w:color w:val="auto"/>
        </w:rPr>
        <w:t>2.1.2.1 九龙工业园区A、B区区域规划工作开展情况</w:t>
      </w:r>
    </w:p>
    <w:p w14:paraId="7CEDAD93">
      <w:pPr>
        <w:ind w:firstLine="480"/>
        <w:rPr>
          <w:color w:val="auto"/>
          <w:szCs w:val="28"/>
        </w:rPr>
      </w:pPr>
      <w:r>
        <w:rPr>
          <w:color w:val="auto"/>
          <w:szCs w:val="28"/>
        </w:rPr>
        <w:t>为促进重庆九龙工业园的发展，九龙工业园区（A、B区）实际为2018年国家核准的规划用地重新整合划定的区域。因为九龙工业园开发时间较早，且由多个开发组团组成，即先有各组团控制性详细规划，再有九龙工业园区（A、B区）。结合九龙工业园区（A、B区）范围内涉及的已批复设立和控制性详细规划编制情况，共涉及了10个控制性详细规划，分别为九龙园区A区控规、中梁山组团D标</w:t>
      </w:r>
      <w:r>
        <w:rPr>
          <w:color w:val="auto"/>
        </w:rPr>
        <w:t>准分区、中梁山组团E标准分区、中梁山组团F标准分区、中梁山组团G标准分区、中梁山组团H标准分区、中梁山组团J标准分区、大渡口D标准分区、大渡口组团I标准分区、中梁山组团IKL标准分区及大渡口组团KO标准分区，这10个控制性详细规划总面积为3482.70hm</w:t>
      </w:r>
      <w:r>
        <w:rPr>
          <w:color w:val="auto"/>
          <w:vertAlign w:val="superscript"/>
        </w:rPr>
        <w:t>2</w:t>
      </w:r>
      <w:r>
        <w:rPr>
          <w:color w:val="auto"/>
          <w:szCs w:val="28"/>
        </w:rPr>
        <w:t>，其中A区控规面积421.06hm</w:t>
      </w:r>
      <w:r>
        <w:rPr>
          <w:color w:val="auto"/>
          <w:szCs w:val="28"/>
          <w:vertAlign w:val="superscript"/>
        </w:rPr>
        <w:t>2</w:t>
      </w:r>
      <w:r>
        <w:rPr>
          <w:color w:val="auto"/>
          <w:szCs w:val="28"/>
        </w:rPr>
        <w:t>即为本次区域评价评价范围；B区评价范围是以村界为依据，扣除属于大渡口区、土地储备集团、地产集团、渝隆集团的用地面积外，将剩余的面积897.92 hm</w:t>
      </w:r>
      <w:r>
        <w:rPr>
          <w:color w:val="auto"/>
          <w:szCs w:val="28"/>
          <w:vertAlign w:val="superscript"/>
        </w:rPr>
        <w:t>2</w:t>
      </w:r>
      <w:r>
        <w:rPr>
          <w:color w:val="auto"/>
          <w:szCs w:val="28"/>
        </w:rPr>
        <w:t>划归为本次区域评价范围，故A、B区评价面积总和1318.98hm</w:t>
      </w:r>
      <w:r>
        <w:rPr>
          <w:color w:val="auto"/>
          <w:szCs w:val="28"/>
          <w:vertAlign w:val="superscript"/>
        </w:rPr>
        <w:t>2</w:t>
      </w:r>
      <w:r>
        <w:rPr>
          <w:color w:val="auto"/>
          <w:szCs w:val="28"/>
        </w:rPr>
        <w:t>即为本次区域评价范围。具体面积划分情况详见表2.1-3。</w:t>
      </w:r>
    </w:p>
    <w:p w14:paraId="7C5FABE7">
      <w:pPr>
        <w:ind w:firstLine="480"/>
        <w:rPr>
          <w:color w:val="auto"/>
          <w:szCs w:val="28"/>
        </w:rPr>
      </w:pPr>
      <w:r>
        <w:rPr>
          <w:color w:val="auto"/>
          <w:szCs w:val="28"/>
        </w:rPr>
        <w:t>关于重庆九龙工业园区（A、B区）涉及的各批复设立的控制性详细规划编制情况具体如下：</w:t>
      </w:r>
    </w:p>
    <w:p w14:paraId="69EAAED7">
      <w:pPr>
        <w:ind w:firstLine="480"/>
        <w:rPr>
          <w:color w:val="auto"/>
          <w:szCs w:val="28"/>
        </w:rPr>
      </w:pPr>
      <w:r>
        <w:rPr>
          <w:color w:val="auto"/>
          <w:szCs w:val="28"/>
        </w:rPr>
        <w:t>2006年5月10日，重庆市人民政府以渝府[2006]98号文，关于同意将重庆高新技术产业开发区九龙工业园区和重庆市九龙工业园区进行整合，设立为重庆九龙工业园区，功能定位为：发展汽车和摩托车及零部件、精密机械、机电一体化产业。详见附件3。</w:t>
      </w:r>
    </w:p>
    <w:p w14:paraId="3DA52F6C">
      <w:pPr>
        <w:ind w:firstLine="480"/>
        <w:rPr>
          <w:color w:val="auto"/>
          <w:szCs w:val="28"/>
        </w:rPr>
      </w:pPr>
      <w:r>
        <w:rPr>
          <w:color w:val="auto"/>
          <w:szCs w:val="28"/>
        </w:rPr>
        <w:t>2003年7月24日，重庆市人民政府以渝府[2003]173号文，原则同意九龙园区控制性规划调整，同意规划总用地421.06公顷，同意其规划功能为配套完善的、以高新技术产业开发为主的综合科技新城。</w:t>
      </w:r>
    </w:p>
    <w:p w14:paraId="5A200283">
      <w:pPr>
        <w:ind w:firstLine="480"/>
        <w:rPr>
          <w:color w:val="auto"/>
          <w:szCs w:val="28"/>
        </w:rPr>
      </w:pPr>
      <w:r>
        <w:rPr>
          <w:color w:val="auto"/>
          <w:szCs w:val="28"/>
        </w:rPr>
        <w:t>2003年12月22日，重庆市人民政府以渝府[2003]275号文，原则同意</w:t>
      </w:r>
      <w:r>
        <w:rPr>
          <w:color w:val="auto"/>
        </w:rPr>
        <w:t>主城区中梁山组团D标准分区控制性详细规划</w:t>
      </w:r>
      <w:r>
        <w:rPr>
          <w:color w:val="auto"/>
          <w:szCs w:val="28"/>
        </w:rPr>
        <w:t>，同意其规划性质为风景旅游、居住、工业、仓储四大功能区</w:t>
      </w:r>
      <w:r>
        <w:rPr>
          <w:color w:val="auto"/>
        </w:rPr>
        <w:t>。</w:t>
      </w:r>
    </w:p>
    <w:p w14:paraId="62262345">
      <w:pPr>
        <w:ind w:firstLine="480"/>
        <w:rPr>
          <w:color w:val="auto"/>
          <w:szCs w:val="28"/>
        </w:rPr>
      </w:pPr>
      <w:r>
        <w:rPr>
          <w:color w:val="auto"/>
          <w:szCs w:val="28"/>
        </w:rPr>
        <w:t>2003年6月3日，重庆市人民政府以渝府[2003]142号文，原则同意</w:t>
      </w:r>
      <w:r>
        <w:rPr>
          <w:color w:val="auto"/>
        </w:rPr>
        <w:t>主城区中梁山组团E标准分区控制性详细规划</w:t>
      </w:r>
      <w:r>
        <w:rPr>
          <w:color w:val="auto"/>
          <w:szCs w:val="28"/>
        </w:rPr>
        <w:t>，同意其规划功能以</w:t>
      </w:r>
      <w:r>
        <w:rPr>
          <w:color w:val="auto"/>
        </w:rPr>
        <w:t>工业为主，兼有教育、居住功能。</w:t>
      </w:r>
    </w:p>
    <w:p w14:paraId="4AF16142">
      <w:pPr>
        <w:ind w:firstLine="480"/>
        <w:rPr>
          <w:color w:val="auto"/>
          <w:szCs w:val="28"/>
        </w:rPr>
      </w:pPr>
      <w:r>
        <w:rPr>
          <w:color w:val="auto"/>
          <w:szCs w:val="28"/>
        </w:rPr>
        <w:t>2003年6月2日，重庆市人民政府以渝府[2003]140号文，原则同意</w:t>
      </w:r>
      <w:r>
        <w:rPr>
          <w:color w:val="auto"/>
        </w:rPr>
        <w:t>主城区中梁山组团F标准分区控制性详细规划</w:t>
      </w:r>
      <w:r>
        <w:rPr>
          <w:color w:val="auto"/>
          <w:szCs w:val="28"/>
        </w:rPr>
        <w:t>，同意其规划功能以</w:t>
      </w:r>
      <w:r>
        <w:rPr>
          <w:color w:val="auto"/>
        </w:rPr>
        <w:t>工业为主，兼有教育、居住功能。</w:t>
      </w:r>
    </w:p>
    <w:p w14:paraId="1095A8F5">
      <w:pPr>
        <w:ind w:firstLine="480"/>
        <w:rPr>
          <w:color w:val="auto"/>
          <w:szCs w:val="28"/>
        </w:rPr>
      </w:pPr>
      <w:r>
        <w:rPr>
          <w:color w:val="auto"/>
          <w:szCs w:val="28"/>
        </w:rPr>
        <w:t>2003年3月6日，重庆市人民政府以渝府[2003]40号文，原则同意</w:t>
      </w:r>
      <w:r>
        <w:rPr>
          <w:color w:val="auto"/>
        </w:rPr>
        <w:t>主城区中梁山组团G标准分区控制性详细规划</w:t>
      </w:r>
      <w:r>
        <w:rPr>
          <w:color w:val="auto"/>
          <w:szCs w:val="28"/>
        </w:rPr>
        <w:t>，同意其规划功能以居住和</w:t>
      </w:r>
      <w:r>
        <w:rPr>
          <w:color w:val="auto"/>
        </w:rPr>
        <w:t>工业为主，兼有绿化、道路广场、公共设施、仓储等用地功能。</w:t>
      </w:r>
    </w:p>
    <w:p w14:paraId="42C80303">
      <w:pPr>
        <w:ind w:firstLine="480"/>
        <w:rPr>
          <w:color w:val="auto"/>
        </w:rPr>
      </w:pPr>
      <w:r>
        <w:rPr>
          <w:color w:val="auto"/>
          <w:szCs w:val="28"/>
        </w:rPr>
        <w:t>2003年8月18日，重庆市人民政府以渝府[2003]183号文，原则同意</w:t>
      </w:r>
      <w:r>
        <w:rPr>
          <w:color w:val="auto"/>
        </w:rPr>
        <w:t>主城区中梁山组团H标准分区控制性详细规划</w:t>
      </w:r>
      <w:r>
        <w:rPr>
          <w:color w:val="auto"/>
          <w:szCs w:val="28"/>
        </w:rPr>
        <w:t>，同意其规划功能以</w:t>
      </w:r>
      <w:r>
        <w:rPr>
          <w:color w:val="auto"/>
        </w:rPr>
        <w:t>工业为主，</w:t>
      </w:r>
      <w:r>
        <w:rPr>
          <w:color w:val="auto"/>
          <w:szCs w:val="28"/>
        </w:rPr>
        <w:t>居住为辅</w:t>
      </w:r>
      <w:r>
        <w:rPr>
          <w:color w:val="auto"/>
        </w:rPr>
        <w:t>。</w:t>
      </w:r>
    </w:p>
    <w:p w14:paraId="71B1FAFB">
      <w:pPr>
        <w:ind w:firstLine="480"/>
        <w:rPr>
          <w:color w:val="auto"/>
        </w:rPr>
      </w:pPr>
      <w:r>
        <w:rPr>
          <w:color w:val="auto"/>
          <w:szCs w:val="28"/>
        </w:rPr>
        <w:t>2003年3月3日，重庆市人民政府以渝府[2003]46号文，原则同意</w:t>
      </w:r>
      <w:r>
        <w:rPr>
          <w:color w:val="auto"/>
        </w:rPr>
        <w:t>主城区中梁山组团J标准分区控制性详细规划</w:t>
      </w:r>
      <w:r>
        <w:rPr>
          <w:color w:val="auto"/>
          <w:szCs w:val="28"/>
        </w:rPr>
        <w:t>，同意其规划功能以居住和</w:t>
      </w:r>
      <w:r>
        <w:rPr>
          <w:color w:val="auto"/>
        </w:rPr>
        <w:t>工业为主，同时兼有绿化、公共设施、对外交通等用地功能。</w:t>
      </w:r>
    </w:p>
    <w:p w14:paraId="4E4F04F3">
      <w:pPr>
        <w:ind w:firstLine="480"/>
        <w:rPr>
          <w:color w:val="auto"/>
        </w:rPr>
      </w:pPr>
      <w:r>
        <w:rPr>
          <w:color w:val="auto"/>
          <w:szCs w:val="28"/>
        </w:rPr>
        <w:t>2004年11月8日，重庆市人民政府以渝府[2004]279号文，原则同意</w:t>
      </w:r>
      <w:r>
        <w:rPr>
          <w:color w:val="auto"/>
        </w:rPr>
        <w:t>大渡口D标准分区控制性详细规划</w:t>
      </w:r>
      <w:r>
        <w:rPr>
          <w:color w:val="auto"/>
          <w:szCs w:val="28"/>
        </w:rPr>
        <w:t>，同意其规划功能以特色</w:t>
      </w:r>
      <w:r>
        <w:rPr>
          <w:color w:val="auto"/>
        </w:rPr>
        <w:t>工业为主，以</w:t>
      </w:r>
      <w:r>
        <w:rPr>
          <w:color w:val="auto"/>
          <w:szCs w:val="28"/>
        </w:rPr>
        <w:t>配套建设为辅</w:t>
      </w:r>
      <w:r>
        <w:rPr>
          <w:color w:val="auto"/>
        </w:rPr>
        <w:t>。</w:t>
      </w:r>
    </w:p>
    <w:p w14:paraId="0B56E308">
      <w:pPr>
        <w:ind w:firstLine="480"/>
        <w:rPr>
          <w:color w:val="auto"/>
          <w:szCs w:val="28"/>
        </w:rPr>
      </w:pPr>
      <w:r>
        <w:rPr>
          <w:color w:val="auto"/>
          <w:szCs w:val="28"/>
        </w:rPr>
        <w:t>2006年1月24日，重庆市人民政府以渝府[2006]17号文，原则同意主城区</w:t>
      </w:r>
      <w:r>
        <w:rPr>
          <w:color w:val="auto"/>
        </w:rPr>
        <w:t>大渡口I标准分区控制性详细规划</w:t>
      </w:r>
      <w:r>
        <w:rPr>
          <w:color w:val="auto"/>
          <w:szCs w:val="28"/>
        </w:rPr>
        <w:t>，同意其规划功能以科技含量较高的</w:t>
      </w:r>
      <w:r>
        <w:rPr>
          <w:color w:val="auto"/>
        </w:rPr>
        <w:t>工业为主，兼具居住功能。</w:t>
      </w:r>
    </w:p>
    <w:p w14:paraId="103E508E">
      <w:pPr>
        <w:ind w:firstLine="480"/>
        <w:rPr>
          <w:color w:val="auto"/>
          <w:szCs w:val="28"/>
        </w:rPr>
      </w:pPr>
      <w:r>
        <w:rPr>
          <w:color w:val="auto"/>
          <w:szCs w:val="28"/>
        </w:rPr>
        <w:t>2005年3月21日，重庆市人民政府以渝府[2005]46号文，原则同意</w:t>
      </w:r>
      <w:r>
        <w:rPr>
          <w:color w:val="auto"/>
        </w:rPr>
        <w:t>中梁山组团IKL标准分区及大渡口组团KO标准分区部分地段控制性详细规划</w:t>
      </w:r>
      <w:r>
        <w:rPr>
          <w:color w:val="auto"/>
          <w:szCs w:val="28"/>
        </w:rPr>
        <w:t>，同意其规划功能以</w:t>
      </w:r>
      <w:r>
        <w:rPr>
          <w:color w:val="auto"/>
        </w:rPr>
        <w:t>工业、居住为主，以公建</w:t>
      </w:r>
      <w:r>
        <w:rPr>
          <w:color w:val="auto"/>
          <w:szCs w:val="28"/>
        </w:rPr>
        <w:t>配套设施为辅</w:t>
      </w:r>
      <w:r>
        <w:rPr>
          <w:color w:val="auto"/>
        </w:rPr>
        <w:t>。</w:t>
      </w:r>
    </w:p>
    <w:p w14:paraId="4172762B">
      <w:pPr>
        <w:ind w:firstLine="480"/>
        <w:rPr>
          <w:color w:val="auto"/>
          <w:szCs w:val="28"/>
        </w:rPr>
      </w:pPr>
      <w:r>
        <w:rPr>
          <w:color w:val="auto"/>
          <w:szCs w:val="28"/>
        </w:rPr>
        <w:t>经过数年规划设计编制，重庆九龙工业园区（A、B区）区域内已经实现控规全覆盖。</w:t>
      </w:r>
    </w:p>
    <w:p w14:paraId="73A81792">
      <w:pPr>
        <w:ind w:firstLine="0" w:firstLineChars="0"/>
        <w:rPr>
          <w:b/>
          <w:bCs/>
          <w:color w:val="auto"/>
          <w:szCs w:val="28"/>
          <w:vertAlign w:val="superscript"/>
        </w:rPr>
      </w:pPr>
      <w:r>
        <w:rPr>
          <w:b/>
          <w:bCs/>
          <w:color w:val="auto"/>
          <w:szCs w:val="28"/>
        </w:rPr>
        <w:t xml:space="preserve">表2.1-3   </w:t>
      </w:r>
      <w:r>
        <w:rPr>
          <w:b/>
          <w:bCs/>
          <w:color w:val="auto"/>
        </w:rPr>
        <w:t>九龙工业园区A 、B区评价范围</w:t>
      </w:r>
      <w:r>
        <w:rPr>
          <w:b/>
          <w:bCs/>
          <w:color w:val="auto"/>
          <w:kern w:val="0"/>
          <w:lang w:bidi="en-US"/>
        </w:rPr>
        <w:t>与规划面积情况统计表      单位：</w:t>
      </w:r>
      <w:r>
        <w:rPr>
          <w:b/>
          <w:bCs/>
          <w:color w:val="auto"/>
          <w:szCs w:val="28"/>
        </w:rPr>
        <w:t>hm</w:t>
      </w:r>
      <w:r>
        <w:rPr>
          <w:b/>
          <w:bCs/>
          <w:color w:val="auto"/>
          <w:szCs w:val="28"/>
          <w:vertAlign w:val="superscript"/>
        </w:rPr>
        <w:t>2</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4"/>
        <w:gridCol w:w="822"/>
        <w:gridCol w:w="2735"/>
        <w:gridCol w:w="1118"/>
        <w:gridCol w:w="1118"/>
        <w:gridCol w:w="1048"/>
        <w:gridCol w:w="1712"/>
      </w:tblGrid>
      <w:tr w14:paraId="3736E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309" w:type="pct"/>
            <w:noWrap/>
            <w:vAlign w:val="center"/>
          </w:tcPr>
          <w:p w14:paraId="44146C5F">
            <w:pPr>
              <w:pStyle w:val="44"/>
              <w:rPr>
                <w:color w:val="auto"/>
              </w:rPr>
            </w:pPr>
            <w:r>
              <w:rPr>
                <w:color w:val="auto"/>
              </w:rPr>
              <w:t>序号</w:t>
            </w:r>
          </w:p>
        </w:tc>
        <w:tc>
          <w:tcPr>
            <w:tcW w:w="450" w:type="pct"/>
            <w:noWrap/>
            <w:vAlign w:val="center"/>
          </w:tcPr>
          <w:p w14:paraId="23713A35">
            <w:pPr>
              <w:pStyle w:val="44"/>
              <w:rPr>
                <w:color w:val="auto"/>
              </w:rPr>
            </w:pPr>
            <w:r>
              <w:rPr>
                <w:color w:val="auto"/>
              </w:rPr>
              <w:t>分区</w:t>
            </w:r>
          </w:p>
        </w:tc>
        <w:tc>
          <w:tcPr>
            <w:tcW w:w="1498" w:type="pct"/>
            <w:noWrap/>
            <w:vAlign w:val="center"/>
          </w:tcPr>
          <w:p w14:paraId="76D06AEA">
            <w:pPr>
              <w:pStyle w:val="44"/>
              <w:rPr>
                <w:color w:val="auto"/>
              </w:rPr>
            </w:pPr>
            <w:r>
              <w:rPr>
                <w:color w:val="auto"/>
              </w:rPr>
              <w:t>控规名称</w:t>
            </w:r>
          </w:p>
        </w:tc>
        <w:tc>
          <w:tcPr>
            <w:tcW w:w="613" w:type="pct"/>
            <w:noWrap/>
            <w:vAlign w:val="center"/>
          </w:tcPr>
          <w:p w14:paraId="059762FD">
            <w:pPr>
              <w:pStyle w:val="44"/>
              <w:rPr>
                <w:color w:val="auto"/>
              </w:rPr>
            </w:pPr>
            <w:r>
              <w:rPr>
                <w:color w:val="auto"/>
              </w:rPr>
              <w:t>批复总面积（hm</w:t>
            </w:r>
            <w:r>
              <w:rPr>
                <w:color w:val="auto"/>
                <w:vertAlign w:val="superscript"/>
              </w:rPr>
              <w:t>2</w:t>
            </w:r>
            <w:r>
              <w:rPr>
                <w:color w:val="auto"/>
              </w:rPr>
              <w:t>）</w:t>
            </w:r>
          </w:p>
        </w:tc>
        <w:tc>
          <w:tcPr>
            <w:tcW w:w="613" w:type="pct"/>
            <w:noWrap/>
            <w:vAlign w:val="center"/>
          </w:tcPr>
          <w:p w14:paraId="128DCA90">
            <w:pPr>
              <w:pStyle w:val="44"/>
              <w:rPr>
                <w:color w:val="auto"/>
              </w:rPr>
            </w:pPr>
            <w:r>
              <w:rPr>
                <w:color w:val="auto"/>
              </w:rPr>
              <w:t>本次评价范围面积（hm</w:t>
            </w:r>
            <w:r>
              <w:rPr>
                <w:color w:val="auto"/>
                <w:vertAlign w:val="superscript"/>
              </w:rPr>
              <w:t>2</w:t>
            </w:r>
            <w:r>
              <w:rPr>
                <w:color w:val="auto"/>
              </w:rPr>
              <w:t>）</w:t>
            </w:r>
          </w:p>
        </w:tc>
        <w:tc>
          <w:tcPr>
            <w:tcW w:w="575" w:type="pct"/>
            <w:vAlign w:val="center"/>
          </w:tcPr>
          <w:p w14:paraId="33E309DA">
            <w:pPr>
              <w:pStyle w:val="44"/>
              <w:rPr>
                <w:color w:val="auto"/>
              </w:rPr>
            </w:pPr>
            <w:r>
              <w:rPr>
                <w:color w:val="auto"/>
              </w:rPr>
              <w:t>剩余面积（hm</w:t>
            </w:r>
            <w:r>
              <w:rPr>
                <w:color w:val="auto"/>
                <w:vertAlign w:val="superscript"/>
              </w:rPr>
              <w:t>2</w:t>
            </w:r>
            <w:r>
              <w:rPr>
                <w:color w:val="auto"/>
              </w:rPr>
              <w:t>）</w:t>
            </w:r>
          </w:p>
        </w:tc>
        <w:tc>
          <w:tcPr>
            <w:tcW w:w="938" w:type="pct"/>
            <w:vAlign w:val="center"/>
          </w:tcPr>
          <w:p w14:paraId="697D1804">
            <w:pPr>
              <w:pStyle w:val="44"/>
              <w:rPr>
                <w:color w:val="auto"/>
              </w:rPr>
            </w:pPr>
            <w:r>
              <w:rPr>
                <w:color w:val="auto"/>
              </w:rPr>
              <w:t>备注（剩余</w:t>
            </w:r>
          </w:p>
          <w:p w14:paraId="6D2E57A5">
            <w:pPr>
              <w:pStyle w:val="44"/>
              <w:rPr>
                <w:color w:val="auto"/>
              </w:rPr>
            </w:pPr>
            <w:r>
              <w:rPr>
                <w:color w:val="auto"/>
              </w:rPr>
              <w:t>面积归属）</w:t>
            </w:r>
          </w:p>
        </w:tc>
      </w:tr>
      <w:tr w14:paraId="2795D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6B35792C">
            <w:pPr>
              <w:pStyle w:val="44"/>
              <w:rPr>
                <w:color w:val="auto"/>
              </w:rPr>
            </w:pPr>
            <w:r>
              <w:rPr>
                <w:color w:val="auto"/>
              </w:rPr>
              <w:t>1</w:t>
            </w:r>
          </w:p>
        </w:tc>
        <w:tc>
          <w:tcPr>
            <w:tcW w:w="450" w:type="pct"/>
            <w:noWrap/>
            <w:vAlign w:val="center"/>
          </w:tcPr>
          <w:p w14:paraId="47C864EB">
            <w:pPr>
              <w:pStyle w:val="44"/>
              <w:rPr>
                <w:color w:val="auto"/>
              </w:rPr>
            </w:pPr>
            <w:r>
              <w:rPr>
                <w:color w:val="auto"/>
              </w:rPr>
              <w:t>A区</w:t>
            </w:r>
          </w:p>
        </w:tc>
        <w:tc>
          <w:tcPr>
            <w:tcW w:w="1498" w:type="pct"/>
            <w:noWrap/>
            <w:vAlign w:val="center"/>
          </w:tcPr>
          <w:p w14:paraId="4CF7C130">
            <w:pPr>
              <w:pStyle w:val="44"/>
              <w:rPr>
                <w:color w:val="auto"/>
              </w:rPr>
            </w:pPr>
            <w:r>
              <w:rPr>
                <w:color w:val="auto"/>
              </w:rPr>
              <w:t>九龙园区A区控规</w:t>
            </w:r>
          </w:p>
        </w:tc>
        <w:tc>
          <w:tcPr>
            <w:tcW w:w="613" w:type="pct"/>
            <w:noWrap/>
            <w:vAlign w:val="center"/>
          </w:tcPr>
          <w:p w14:paraId="24E0BE4C">
            <w:pPr>
              <w:pStyle w:val="44"/>
              <w:rPr>
                <w:color w:val="auto"/>
              </w:rPr>
            </w:pPr>
            <w:r>
              <w:rPr>
                <w:color w:val="auto"/>
              </w:rPr>
              <w:t>421.06</w:t>
            </w:r>
          </w:p>
        </w:tc>
        <w:tc>
          <w:tcPr>
            <w:tcW w:w="613" w:type="pct"/>
            <w:noWrap/>
            <w:vAlign w:val="center"/>
          </w:tcPr>
          <w:p w14:paraId="20792F20">
            <w:pPr>
              <w:pStyle w:val="44"/>
              <w:rPr>
                <w:color w:val="auto"/>
              </w:rPr>
            </w:pPr>
            <w:r>
              <w:rPr>
                <w:color w:val="auto"/>
              </w:rPr>
              <w:t>421.06</w:t>
            </w:r>
          </w:p>
        </w:tc>
        <w:tc>
          <w:tcPr>
            <w:tcW w:w="575" w:type="pct"/>
            <w:vAlign w:val="center"/>
          </w:tcPr>
          <w:p w14:paraId="01E8F213">
            <w:pPr>
              <w:pStyle w:val="44"/>
              <w:rPr>
                <w:color w:val="auto"/>
              </w:rPr>
            </w:pPr>
            <w:r>
              <w:rPr>
                <w:color w:val="auto"/>
              </w:rPr>
              <w:t>0.00</w:t>
            </w:r>
          </w:p>
        </w:tc>
        <w:tc>
          <w:tcPr>
            <w:tcW w:w="938" w:type="pct"/>
            <w:vAlign w:val="center"/>
          </w:tcPr>
          <w:p w14:paraId="5E687EF0">
            <w:pPr>
              <w:pStyle w:val="44"/>
              <w:rPr>
                <w:color w:val="auto"/>
              </w:rPr>
            </w:pPr>
            <w:r>
              <w:rPr>
                <w:color w:val="auto"/>
              </w:rPr>
              <w:t>　</w:t>
            </w:r>
          </w:p>
        </w:tc>
      </w:tr>
      <w:tr w14:paraId="57A58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654C5170">
            <w:pPr>
              <w:pStyle w:val="44"/>
              <w:rPr>
                <w:color w:val="auto"/>
              </w:rPr>
            </w:pPr>
            <w:r>
              <w:rPr>
                <w:color w:val="auto"/>
              </w:rPr>
              <w:t>2</w:t>
            </w:r>
          </w:p>
        </w:tc>
        <w:tc>
          <w:tcPr>
            <w:tcW w:w="450" w:type="pct"/>
            <w:vMerge w:val="restart"/>
            <w:noWrap/>
            <w:vAlign w:val="center"/>
          </w:tcPr>
          <w:p w14:paraId="27B0090E">
            <w:pPr>
              <w:pStyle w:val="44"/>
              <w:rPr>
                <w:color w:val="auto"/>
              </w:rPr>
            </w:pPr>
            <w:r>
              <w:rPr>
                <w:color w:val="auto"/>
              </w:rPr>
              <w:t>B区</w:t>
            </w:r>
          </w:p>
        </w:tc>
        <w:tc>
          <w:tcPr>
            <w:tcW w:w="1498" w:type="pct"/>
            <w:noWrap/>
            <w:vAlign w:val="center"/>
          </w:tcPr>
          <w:p w14:paraId="69CC41E4">
            <w:pPr>
              <w:pStyle w:val="44"/>
              <w:rPr>
                <w:color w:val="auto"/>
              </w:rPr>
            </w:pPr>
            <w:r>
              <w:rPr>
                <w:color w:val="auto"/>
              </w:rPr>
              <w:t>中梁山组团D标准分区</w:t>
            </w:r>
          </w:p>
        </w:tc>
        <w:tc>
          <w:tcPr>
            <w:tcW w:w="613" w:type="pct"/>
            <w:noWrap/>
            <w:vAlign w:val="center"/>
          </w:tcPr>
          <w:p w14:paraId="5BFCDE69">
            <w:pPr>
              <w:pStyle w:val="44"/>
              <w:rPr>
                <w:color w:val="auto"/>
              </w:rPr>
            </w:pPr>
            <w:r>
              <w:rPr>
                <w:color w:val="auto"/>
              </w:rPr>
              <w:t>226.79</w:t>
            </w:r>
          </w:p>
        </w:tc>
        <w:tc>
          <w:tcPr>
            <w:tcW w:w="613" w:type="pct"/>
            <w:noWrap/>
            <w:vAlign w:val="center"/>
          </w:tcPr>
          <w:p w14:paraId="21F75964">
            <w:pPr>
              <w:pStyle w:val="44"/>
              <w:rPr>
                <w:color w:val="auto"/>
              </w:rPr>
            </w:pPr>
            <w:r>
              <w:rPr>
                <w:color w:val="auto"/>
              </w:rPr>
              <w:t>36.73</w:t>
            </w:r>
          </w:p>
        </w:tc>
        <w:tc>
          <w:tcPr>
            <w:tcW w:w="575" w:type="pct"/>
            <w:vAlign w:val="center"/>
          </w:tcPr>
          <w:p w14:paraId="211BD5AA">
            <w:pPr>
              <w:pStyle w:val="44"/>
              <w:rPr>
                <w:color w:val="auto"/>
              </w:rPr>
            </w:pPr>
            <w:r>
              <w:rPr>
                <w:color w:val="auto"/>
              </w:rPr>
              <w:t>190.06</w:t>
            </w:r>
          </w:p>
        </w:tc>
        <w:tc>
          <w:tcPr>
            <w:tcW w:w="938" w:type="pct"/>
            <w:vAlign w:val="center"/>
          </w:tcPr>
          <w:p w14:paraId="6647DC51">
            <w:pPr>
              <w:pStyle w:val="44"/>
              <w:rPr>
                <w:color w:val="auto"/>
              </w:rPr>
            </w:pPr>
            <w:r>
              <w:rPr>
                <w:color w:val="auto"/>
              </w:rPr>
              <w:t>地产、土地储备集团</w:t>
            </w:r>
          </w:p>
        </w:tc>
      </w:tr>
      <w:tr w14:paraId="6F89E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0453183A">
            <w:pPr>
              <w:pStyle w:val="44"/>
              <w:rPr>
                <w:color w:val="auto"/>
              </w:rPr>
            </w:pPr>
            <w:r>
              <w:rPr>
                <w:color w:val="auto"/>
              </w:rPr>
              <w:t>3</w:t>
            </w:r>
          </w:p>
        </w:tc>
        <w:tc>
          <w:tcPr>
            <w:tcW w:w="450" w:type="pct"/>
            <w:vMerge w:val="continue"/>
            <w:vAlign w:val="center"/>
          </w:tcPr>
          <w:p w14:paraId="5F22EEDC">
            <w:pPr>
              <w:pStyle w:val="44"/>
              <w:rPr>
                <w:color w:val="auto"/>
              </w:rPr>
            </w:pPr>
          </w:p>
        </w:tc>
        <w:tc>
          <w:tcPr>
            <w:tcW w:w="1498" w:type="pct"/>
            <w:noWrap/>
            <w:vAlign w:val="center"/>
          </w:tcPr>
          <w:p w14:paraId="685186C0">
            <w:pPr>
              <w:pStyle w:val="44"/>
              <w:rPr>
                <w:color w:val="auto"/>
              </w:rPr>
            </w:pPr>
            <w:r>
              <w:rPr>
                <w:color w:val="auto"/>
              </w:rPr>
              <w:t>中梁山组团E标准分区</w:t>
            </w:r>
          </w:p>
        </w:tc>
        <w:tc>
          <w:tcPr>
            <w:tcW w:w="613" w:type="pct"/>
            <w:noWrap/>
            <w:vAlign w:val="center"/>
          </w:tcPr>
          <w:p w14:paraId="6A85F63E">
            <w:pPr>
              <w:pStyle w:val="44"/>
              <w:rPr>
                <w:color w:val="auto"/>
              </w:rPr>
            </w:pPr>
            <w:r>
              <w:rPr>
                <w:color w:val="auto"/>
              </w:rPr>
              <w:t>125.43</w:t>
            </w:r>
          </w:p>
        </w:tc>
        <w:tc>
          <w:tcPr>
            <w:tcW w:w="613" w:type="pct"/>
            <w:noWrap/>
            <w:vAlign w:val="center"/>
          </w:tcPr>
          <w:p w14:paraId="71DDF776">
            <w:pPr>
              <w:pStyle w:val="44"/>
              <w:rPr>
                <w:color w:val="auto"/>
              </w:rPr>
            </w:pPr>
            <w:r>
              <w:rPr>
                <w:color w:val="auto"/>
              </w:rPr>
              <w:t>86.85</w:t>
            </w:r>
          </w:p>
        </w:tc>
        <w:tc>
          <w:tcPr>
            <w:tcW w:w="575" w:type="pct"/>
            <w:vAlign w:val="center"/>
          </w:tcPr>
          <w:p w14:paraId="4CA6780E">
            <w:pPr>
              <w:pStyle w:val="44"/>
              <w:rPr>
                <w:color w:val="auto"/>
              </w:rPr>
            </w:pPr>
            <w:r>
              <w:rPr>
                <w:color w:val="auto"/>
              </w:rPr>
              <w:t>38.58</w:t>
            </w:r>
          </w:p>
        </w:tc>
        <w:tc>
          <w:tcPr>
            <w:tcW w:w="938" w:type="pct"/>
            <w:vAlign w:val="center"/>
          </w:tcPr>
          <w:p w14:paraId="09B1DC99">
            <w:pPr>
              <w:pStyle w:val="44"/>
              <w:rPr>
                <w:color w:val="auto"/>
              </w:rPr>
            </w:pPr>
            <w:r>
              <w:rPr>
                <w:color w:val="auto"/>
              </w:rPr>
              <w:t>大渡口区</w:t>
            </w:r>
          </w:p>
        </w:tc>
      </w:tr>
      <w:tr w14:paraId="501B9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26BC81BD">
            <w:pPr>
              <w:pStyle w:val="44"/>
              <w:rPr>
                <w:color w:val="auto"/>
              </w:rPr>
            </w:pPr>
            <w:r>
              <w:rPr>
                <w:color w:val="auto"/>
              </w:rPr>
              <w:t>4</w:t>
            </w:r>
          </w:p>
        </w:tc>
        <w:tc>
          <w:tcPr>
            <w:tcW w:w="450" w:type="pct"/>
            <w:vMerge w:val="continue"/>
            <w:vAlign w:val="center"/>
          </w:tcPr>
          <w:p w14:paraId="17B4F830">
            <w:pPr>
              <w:pStyle w:val="44"/>
              <w:rPr>
                <w:color w:val="auto"/>
              </w:rPr>
            </w:pPr>
          </w:p>
        </w:tc>
        <w:tc>
          <w:tcPr>
            <w:tcW w:w="1498" w:type="pct"/>
            <w:noWrap/>
            <w:vAlign w:val="center"/>
          </w:tcPr>
          <w:p w14:paraId="0036CEA9">
            <w:pPr>
              <w:pStyle w:val="44"/>
              <w:rPr>
                <w:color w:val="auto"/>
              </w:rPr>
            </w:pPr>
            <w:r>
              <w:rPr>
                <w:color w:val="auto"/>
              </w:rPr>
              <w:t>中梁山组团F标准分区</w:t>
            </w:r>
          </w:p>
        </w:tc>
        <w:tc>
          <w:tcPr>
            <w:tcW w:w="613" w:type="pct"/>
            <w:noWrap/>
            <w:vAlign w:val="center"/>
          </w:tcPr>
          <w:p w14:paraId="2EA22F49">
            <w:pPr>
              <w:pStyle w:val="44"/>
              <w:rPr>
                <w:color w:val="auto"/>
              </w:rPr>
            </w:pPr>
            <w:r>
              <w:rPr>
                <w:color w:val="auto"/>
              </w:rPr>
              <w:t>203.85</w:t>
            </w:r>
          </w:p>
        </w:tc>
        <w:tc>
          <w:tcPr>
            <w:tcW w:w="613" w:type="pct"/>
            <w:noWrap/>
            <w:vAlign w:val="center"/>
          </w:tcPr>
          <w:p w14:paraId="4BA24C09">
            <w:pPr>
              <w:pStyle w:val="44"/>
              <w:rPr>
                <w:color w:val="auto"/>
              </w:rPr>
            </w:pPr>
            <w:r>
              <w:rPr>
                <w:color w:val="auto"/>
              </w:rPr>
              <w:t>141.46</w:t>
            </w:r>
          </w:p>
        </w:tc>
        <w:tc>
          <w:tcPr>
            <w:tcW w:w="575" w:type="pct"/>
            <w:vAlign w:val="center"/>
          </w:tcPr>
          <w:p w14:paraId="4DCF4240">
            <w:pPr>
              <w:pStyle w:val="44"/>
              <w:rPr>
                <w:color w:val="auto"/>
              </w:rPr>
            </w:pPr>
            <w:r>
              <w:rPr>
                <w:color w:val="auto"/>
              </w:rPr>
              <w:t>62.39</w:t>
            </w:r>
          </w:p>
        </w:tc>
        <w:tc>
          <w:tcPr>
            <w:tcW w:w="938" w:type="pct"/>
            <w:vAlign w:val="center"/>
          </w:tcPr>
          <w:p w14:paraId="120AE7BB">
            <w:pPr>
              <w:pStyle w:val="44"/>
              <w:rPr>
                <w:color w:val="auto"/>
              </w:rPr>
            </w:pPr>
            <w:r>
              <w:rPr>
                <w:color w:val="auto"/>
              </w:rPr>
              <w:t>大渡口区</w:t>
            </w:r>
          </w:p>
        </w:tc>
      </w:tr>
      <w:tr w14:paraId="1FD17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1A008A69">
            <w:pPr>
              <w:pStyle w:val="44"/>
              <w:rPr>
                <w:color w:val="auto"/>
              </w:rPr>
            </w:pPr>
            <w:r>
              <w:rPr>
                <w:color w:val="auto"/>
              </w:rPr>
              <w:t>5</w:t>
            </w:r>
          </w:p>
        </w:tc>
        <w:tc>
          <w:tcPr>
            <w:tcW w:w="450" w:type="pct"/>
            <w:vMerge w:val="continue"/>
            <w:vAlign w:val="center"/>
          </w:tcPr>
          <w:p w14:paraId="572F5008">
            <w:pPr>
              <w:pStyle w:val="44"/>
              <w:rPr>
                <w:color w:val="auto"/>
              </w:rPr>
            </w:pPr>
          </w:p>
        </w:tc>
        <w:tc>
          <w:tcPr>
            <w:tcW w:w="1498" w:type="pct"/>
            <w:noWrap/>
            <w:vAlign w:val="center"/>
          </w:tcPr>
          <w:p w14:paraId="75241630">
            <w:pPr>
              <w:pStyle w:val="44"/>
              <w:rPr>
                <w:color w:val="auto"/>
              </w:rPr>
            </w:pPr>
            <w:r>
              <w:rPr>
                <w:color w:val="auto"/>
              </w:rPr>
              <w:t>中梁山组团G标准分区</w:t>
            </w:r>
          </w:p>
        </w:tc>
        <w:tc>
          <w:tcPr>
            <w:tcW w:w="613" w:type="pct"/>
            <w:noWrap/>
            <w:vAlign w:val="center"/>
          </w:tcPr>
          <w:p w14:paraId="18D78A6C">
            <w:pPr>
              <w:pStyle w:val="44"/>
              <w:rPr>
                <w:color w:val="auto"/>
              </w:rPr>
            </w:pPr>
            <w:r>
              <w:rPr>
                <w:color w:val="auto"/>
              </w:rPr>
              <w:t>376.79</w:t>
            </w:r>
          </w:p>
        </w:tc>
        <w:tc>
          <w:tcPr>
            <w:tcW w:w="613" w:type="pct"/>
            <w:noWrap/>
            <w:vAlign w:val="center"/>
          </w:tcPr>
          <w:p w14:paraId="26438616">
            <w:pPr>
              <w:pStyle w:val="44"/>
              <w:rPr>
                <w:color w:val="auto"/>
              </w:rPr>
            </w:pPr>
            <w:r>
              <w:rPr>
                <w:color w:val="auto"/>
              </w:rPr>
              <w:t>33.62</w:t>
            </w:r>
          </w:p>
        </w:tc>
        <w:tc>
          <w:tcPr>
            <w:tcW w:w="575" w:type="pct"/>
            <w:vAlign w:val="center"/>
          </w:tcPr>
          <w:p w14:paraId="711EF103">
            <w:pPr>
              <w:pStyle w:val="44"/>
              <w:rPr>
                <w:color w:val="auto"/>
              </w:rPr>
            </w:pPr>
            <w:r>
              <w:rPr>
                <w:color w:val="auto"/>
              </w:rPr>
              <w:t>343.17</w:t>
            </w:r>
          </w:p>
        </w:tc>
        <w:tc>
          <w:tcPr>
            <w:tcW w:w="938" w:type="pct"/>
            <w:vAlign w:val="center"/>
          </w:tcPr>
          <w:p w14:paraId="4B316C1C">
            <w:pPr>
              <w:pStyle w:val="44"/>
              <w:rPr>
                <w:color w:val="auto"/>
              </w:rPr>
            </w:pPr>
            <w:r>
              <w:rPr>
                <w:color w:val="auto"/>
              </w:rPr>
              <w:t>土地储备集团、渝隆集团</w:t>
            </w:r>
          </w:p>
        </w:tc>
      </w:tr>
      <w:tr w14:paraId="56DE2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00D83F65">
            <w:pPr>
              <w:pStyle w:val="44"/>
              <w:rPr>
                <w:color w:val="auto"/>
              </w:rPr>
            </w:pPr>
            <w:r>
              <w:rPr>
                <w:color w:val="auto"/>
              </w:rPr>
              <w:t>6</w:t>
            </w:r>
          </w:p>
        </w:tc>
        <w:tc>
          <w:tcPr>
            <w:tcW w:w="450" w:type="pct"/>
            <w:vMerge w:val="continue"/>
            <w:vAlign w:val="center"/>
          </w:tcPr>
          <w:p w14:paraId="78521364">
            <w:pPr>
              <w:pStyle w:val="44"/>
              <w:rPr>
                <w:color w:val="auto"/>
              </w:rPr>
            </w:pPr>
          </w:p>
        </w:tc>
        <w:tc>
          <w:tcPr>
            <w:tcW w:w="1498" w:type="pct"/>
            <w:noWrap/>
            <w:vAlign w:val="center"/>
          </w:tcPr>
          <w:p w14:paraId="2CCD1BFB">
            <w:pPr>
              <w:pStyle w:val="44"/>
              <w:rPr>
                <w:color w:val="auto"/>
              </w:rPr>
            </w:pPr>
            <w:r>
              <w:rPr>
                <w:color w:val="auto"/>
              </w:rPr>
              <w:t>中梁山组团H标准分区</w:t>
            </w:r>
          </w:p>
        </w:tc>
        <w:tc>
          <w:tcPr>
            <w:tcW w:w="613" w:type="pct"/>
            <w:noWrap/>
            <w:vAlign w:val="center"/>
          </w:tcPr>
          <w:p w14:paraId="553FA0F0">
            <w:pPr>
              <w:pStyle w:val="44"/>
              <w:rPr>
                <w:color w:val="auto"/>
              </w:rPr>
            </w:pPr>
            <w:r>
              <w:rPr>
                <w:color w:val="auto"/>
              </w:rPr>
              <w:t>105.77</w:t>
            </w:r>
          </w:p>
        </w:tc>
        <w:tc>
          <w:tcPr>
            <w:tcW w:w="613" w:type="pct"/>
            <w:noWrap/>
            <w:vAlign w:val="center"/>
          </w:tcPr>
          <w:p w14:paraId="042A5ACF">
            <w:pPr>
              <w:pStyle w:val="44"/>
              <w:rPr>
                <w:color w:val="auto"/>
              </w:rPr>
            </w:pPr>
            <w:r>
              <w:rPr>
                <w:color w:val="auto"/>
              </w:rPr>
              <w:t>105.77</w:t>
            </w:r>
          </w:p>
        </w:tc>
        <w:tc>
          <w:tcPr>
            <w:tcW w:w="575" w:type="pct"/>
            <w:vAlign w:val="center"/>
          </w:tcPr>
          <w:p w14:paraId="446DDD87">
            <w:pPr>
              <w:pStyle w:val="44"/>
              <w:rPr>
                <w:color w:val="auto"/>
              </w:rPr>
            </w:pPr>
            <w:r>
              <w:rPr>
                <w:color w:val="auto"/>
              </w:rPr>
              <w:t>0.00</w:t>
            </w:r>
          </w:p>
        </w:tc>
        <w:tc>
          <w:tcPr>
            <w:tcW w:w="938" w:type="pct"/>
            <w:noWrap/>
            <w:vAlign w:val="center"/>
          </w:tcPr>
          <w:p w14:paraId="7E7A5D30">
            <w:pPr>
              <w:pStyle w:val="44"/>
              <w:rPr>
                <w:color w:val="auto"/>
              </w:rPr>
            </w:pPr>
            <w:r>
              <w:rPr>
                <w:color w:val="auto"/>
              </w:rPr>
              <w:t>　</w:t>
            </w:r>
          </w:p>
        </w:tc>
      </w:tr>
      <w:tr w14:paraId="5374C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46FA0FDD">
            <w:pPr>
              <w:pStyle w:val="44"/>
              <w:rPr>
                <w:color w:val="auto"/>
              </w:rPr>
            </w:pPr>
            <w:r>
              <w:rPr>
                <w:color w:val="auto"/>
              </w:rPr>
              <w:t>7</w:t>
            </w:r>
          </w:p>
        </w:tc>
        <w:tc>
          <w:tcPr>
            <w:tcW w:w="450" w:type="pct"/>
            <w:vMerge w:val="continue"/>
            <w:vAlign w:val="center"/>
          </w:tcPr>
          <w:p w14:paraId="3B52E24B">
            <w:pPr>
              <w:pStyle w:val="44"/>
              <w:rPr>
                <w:color w:val="auto"/>
              </w:rPr>
            </w:pPr>
          </w:p>
        </w:tc>
        <w:tc>
          <w:tcPr>
            <w:tcW w:w="1498" w:type="pct"/>
            <w:noWrap/>
            <w:vAlign w:val="center"/>
          </w:tcPr>
          <w:p w14:paraId="174772DD">
            <w:pPr>
              <w:pStyle w:val="44"/>
              <w:rPr>
                <w:color w:val="auto"/>
              </w:rPr>
            </w:pPr>
            <w:r>
              <w:rPr>
                <w:color w:val="auto"/>
              </w:rPr>
              <w:t>中梁山组团J标准分区</w:t>
            </w:r>
          </w:p>
        </w:tc>
        <w:tc>
          <w:tcPr>
            <w:tcW w:w="613" w:type="pct"/>
            <w:noWrap/>
            <w:vAlign w:val="center"/>
          </w:tcPr>
          <w:p w14:paraId="2C242871">
            <w:pPr>
              <w:pStyle w:val="44"/>
              <w:rPr>
                <w:color w:val="auto"/>
              </w:rPr>
            </w:pPr>
            <w:r>
              <w:rPr>
                <w:color w:val="auto"/>
              </w:rPr>
              <w:t>501.15</w:t>
            </w:r>
          </w:p>
        </w:tc>
        <w:tc>
          <w:tcPr>
            <w:tcW w:w="613" w:type="pct"/>
            <w:noWrap/>
            <w:vAlign w:val="center"/>
          </w:tcPr>
          <w:p w14:paraId="7C209ED6">
            <w:pPr>
              <w:pStyle w:val="44"/>
              <w:rPr>
                <w:color w:val="auto"/>
              </w:rPr>
            </w:pPr>
            <w:r>
              <w:rPr>
                <w:color w:val="auto"/>
              </w:rPr>
              <w:t>135.76</w:t>
            </w:r>
          </w:p>
        </w:tc>
        <w:tc>
          <w:tcPr>
            <w:tcW w:w="575" w:type="pct"/>
            <w:vAlign w:val="center"/>
          </w:tcPr>
          <w:p w14:paraId="5C61D735">
            <w:pPr>
              <w:pStyle w:val="44"/>
              <w:rPr>
                <w:color w:val="auto"/>
              </w:rPr>
            </w:pPr>
            <w:r>
              <w:rPr>
                <w:color w:val="auto"/>
              </w:rPr>
              <w:t>365.39</w:t>
            </w:r>
          </w:p>
        </w:tc>
        <w:tc>
          <w:tcPr>
            <w:tcW w:w="938" w:type="pct"/>
            <w:vAlign w:val="center"/>
          </w:tcPr>
          <w:p w14:paraId="55F65F01">
            <w:pPr>
              <w:pStyle w:val="44"/>
              <w:rPr>
                <w:color w:val="auto"/>
              </w:rPr>
            </w:pPr>
            <w:r>
              <w:rPr>
                <w:color w:val="auto"/>
              </w:rPr>
              <w:t>地产、土地储备集团、渝隆集团</w:t>
            </w:r>
          </w:p>
        </w:tc>
      </w:tr>
      <w:tr w14:paraId="0410B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51EBF9D9">
            <w:pPr>
              <w:pStyle w:val="44"/>
              <w:rPr>
                <w:color w:val="auto"/>
              </w:rPr>
            </w:pPr>
            <w:r>
              <w:rPr>
                <w:color w:val="auto"/>
              </w:rPr>
              <w:t>8</w:t>
            </w:r>
          </w:p>
        </w:tc>
        <w:tc>
          <w:tcPr>
            <w:tcW w:w="450" w:type="pct"/>
            <w:vMerge w:val="continue"/>
            <w:vAlign w:val="center"/>
          </w:tcPr>
          <w:p w14:paraId="770B24C6">
            <w:pPr>
              <w:pStyle w:val="44"/>
              <w:rPr>
                <w:color w:val="auto"/>
              </w:rPr>
            </w:pPr>
          </w:p>
        </w:tc>
        <w:tc>
          <w:tcPr>
            <w:tcW w:w="1498" w:type="pct"/>
            <w:noWrap/>
            <w:vAlign w:val="center"/>
          </w:tcPr>
          <w:p w14:paraId="029317D2">
            <w:pPr>
              <w:pStyle w:val="44"/>
              <w:rPr>
                <w:color w:val="auto"/>
              </w:rPr>
            </w:pPr>
            <w:r>
              <w:rPr>
                <w:color w:val="auto"/>
              </w:rPr>
              <w:t>大渡口D标准分区</w:t>
            </w:r>
          </w:p>
        </w:tc>
        <w:tc>
          <w:tcPr>
            <w:tcW w:w="613" w:type="pct"/>
            <w:noWrap/>
            <w:vAlign w:val="center"/>
          </w:tcPr>
          <w:p w14:paraId="4A3E8AC0">
            <w:pPr>
              <w:pStyle w:val="44"/>
              <w:rPr>
                <w:color w:val="auto"/>
              </w:rPr>
            </w:pPr>
            <w:r>
              <w:rPr>
                <w:color w:val="auto"/>
              </w:rPr>
              <w:t>101.97</w:t>
            </w:r>
          </w:p>
        </w:tc>
        <w:tc>
          <w:tcPr>
            <w:tcW w:w="613" w:type="pct"/>
            <w:noWrap/>
            <w:vAlign w:val="center"/>
          </w:tcPr>
          <w:p w14:paraId="797277FD">
            <w:pPr>
              <w:pStyle w:val="44"/>
              <w:rPr>
                <w:color w:val="auto"/>
              </w:rPr>
            </w:pPr>
            <w:r>
              <w:rPr>
                <w:color w:val="auto"/>
              </w:rPr>
              <w:t>101.97</w:t>
            </w:r>
          </w:p>
        </w:tc>
        <w:tc>
          <w:tcPr>
            <w:tcW w:w="575" w:type="pct"/>
            <w:vAlign w:val="center"/>
          </w:tcPr>
          <w:p w14:paraId="14EC4300">
            <w:pPr>
              <w:pStyle w:val="44"/>
              <w:rPr>
                <w:color w:val="auto"/>
              </w:rPr>
            </w:pPr>
            <w:r>
              <w:rPr>
                <w:color w:val="auto"/>
              </w:rPr>
              <w:t>0.00</w:t>
            </w:r>
          </w:p>
        </w:tc>
        <w:tc>
          <w:tcPr>
            <w:tcW w:w="938" w:type="pct"/>
            <w:noWrap/>
            <w:vAlign w:val="center"/>
          </w:tcPr>
          <w:p w14:paraId="2D5530F2">
            <w:pPr>
              <w:pStyle w:val="44"/>
              <w:rPr>
                <w:color w:val="auto"/>
              </w:rPr>
            </w:pPr>
            <w:r>
              <w:rPr>
                <w:color w:val="auto"/>
              </w:rPr>
              <w:t>　</w:t>
            </w:r>
          </w:p>
        </w:tc>
      </w:tr>
      <w:tr w14:paraId="26625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3CF8C06A">
            <w:pPr>
              <w:pStyle w:val="44"/>
              <w:rPr>
                <w:color w:val="auto"/>
              </w:rPr>
            </w:pPr>
            <w:r>
              <w:rPr>
                <w:color w:val="auto"/>
              </w:rPr>
              <w:t>9</w:t>
            </w:r>
          </w:p>
        </w:tc>
        <w:tc>
          <w:tcPr>
            <w:tcW w:w="450" w:type="pct"/>
            <w:vMerge w:val="continue"/>
            <w:vAlign w:val="center"/>
          </w:tcPr>
          <w:p w14:paraId="2EE14C6E">
            <w:pPr>
              <w:pStyle w:val="44"/>
              <w:rPr>
                <w:color w:val="auto"/>
              </w:rPr>
            </w:pPr>
          </w:p>
        </w:tc>
        <w:tc>
          <w:tcPr>
            <w:tcW w:w="1498" w:type="pct"/>
            <w:noWrap/>
            <w:vAlign w:val="center"/>
          </w:tcPr>
          <w:p w14:paraId="46315053">
            <w:pPr>
              <w:pStyle w:val="44"/>
              <w:rPr>
                <w:color w:val="auto"/>
              </w:rPr>
            </w:pPr>
            <w:r>
              <w:rPr>
                <w:color w:val="auto"/>
              </w:rPr>
              <w:t>大渡口组团I标准分区</w:t>
            </w:r>
          </w:p>
        </w:tc>
        <w:tc>
          <w:tcPr>
            <w:tcW w:w="613" w:type="pct"/>
            <w:noWrap/>
            <w:vAlign w:val="center"/>
          </w:tcPr>
          <w:p w14:paraId="4A1A63E7">
            <w:pPr>
              <w:pStyle w:val="44"/>
              <w:rPr>
                <w:color w:val="auto"/>
              </w:rPr>
            </w:pPr>
            <w:r>
              <w:rPr>
                <w:color w:val="auto"/>
              </w:rPr>
              <w:t>534.96</w:t>
            </w:r>
          </w:p>
        </w:tc>
        <w:tc>
          <w:tcPr>
            <w:tcW w:w="613" w:type="pct"/>
            <w:noWrap/>
            <w:vAlign w:val="center"/>
          </w:tcPr>
          <w:p w14:paraId="4DA0AB0F">
            <w:pPr>
              <w:pStyle w:val="44"/>
              <w:rPr>
                <w:color w:val="auto"/>
              </w:rPr>
            </w:pPr>
            <w:r>
              <w:rPr>
                <w:color w:val="auto"/>
              </w:rPr>
              <w:t>34.92</w:t>
            </w:r>
          </w:p>
        </w:tc>
        <w:tc>
          <w:tcPr>
            <w:tcW w:w="575" w:type="pct"/>
            <w:vAlign w:val="center"/>
          </w:tcPr>
          <w:p w14:paraId="5999CE85">
            <w:pPr>
              <w:pStyle w:val="44"/>
              <w:rPr>
                <w:color w:val="auto"/>
              </w:rPr>
            </w:pPr>
            <w:r>
              <w:rPr>
                <w:color w:val="auto"/>
              </w:rPr>
              <w:t>500.04</w:t>
            </w:r>
          </w:p>
        </w:tc>
        <w:tc>
          <w:tcPr>
            <w:tcW w:w="938" w:type="pct"/>
            <w:vAlign w:val="center"/>
          </w:tcPr>
          <w:p w14:paraId="6204F1BB">
            <w:pPr>
              <w:pStyle w:val="44"/>
              <w:rPr>
                <w:color w:val="auto"/>
              </w:rPr>
            </w:pPr>
            <w:r>
              <w:rPr>
                <w:color w:val="auto"/>
              </w:rPr>
              <w:t>大渡口区</w:t>
            </w:r>
          </w:p>
        </w:tc>
      </w:tr>
      <w:tr w14:paraId="6D8B8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09" w:type="pct"/>
            <w:noWrap/>
            <w:vAlign w:val="center"/>
          </w:tcPr>
          <w:p w14:paraId="2801A77B">
            <w:pPr>
              <w:pStyle w:val="44"/>
              <w:rPr>
                <w:color w:val="auto"/>
              </w:rPr>
            </w:pPr>
            <w:r>
              <w:rPr>
                <w:color w:val="auto"/>
              </w:rPr>
              <w:t>10</w:t>
            </w:r>
          </w:p>
        </w:tc>
        <w:tc>
          <w:tcPr>
            <w:tcW w:w="450" w:type="pct"/>
            <w:vMerge w:val="continue"/>
            <w:vAlign w:val="center"/>
          </w:tcPr>
          <w:p w14:paraId="3A315D80">
            <w:pPr>
              <w:pStyle w:val="44"/>
              <w:rPr>
                <w:color w:val="auto"/>
              </w:rPr>
            </w:pPr>
          </w:p>
        </w:tc>
        <w:tc>
          <w:tcPr>
            <w:tcW w:w="1498" w:type="pct"/>
            <w:vAlign w:val="center"/>
          </w:tcPr>
          <w:p w14:paraId="2EF8C2E5">
            <w:pPr>
              <w:pStyle w:val="44"/>
              <w:rPr>
                <w:color w:val="auto"/>
              </w:rPr>
            </w:pPr>
            <w:r>
              <w:rPr>
                <w:color w:val="auto"/>
              </w:rPr>
              <w:t>中梁山组团IKL标准分区及大渡口组团KO标准分区</w:t>
            </w:r>
          </w:p>
        </w:tc>
        <w:tc>
          <w:tcPr>
            <w:tcW w:w="613" w:type="pct"/>
            <w:noWrap/>
            <w:vAlign w:val="center"/>
          </w:tcPr>
          <w:p w14:paraId="055D43B6">
            <w:pPr>
              <w:pStyle w:val="44"/>
              <w:rPr>
                <w:color w:val="auto"/>
              </w:rPr>
            </w:pPr>
            <w:r>
              <w:rPr>
                <w:color w:val="auto"/>
              </w:rPr>
              <w:t>884.93</w:t>
            </w:r>
          </w:p>
        </w:tc>
        <w:tc>
          <w:tcPr>
            <w:tcW w:w="613" w:type="pct"/>
            <w:noWrap/>
            <w:vAlign w:val="center"/>
          </w:tcPr>
          <w:p w14:paraId="195FBC66">
            <w:pPr>
              <w:pStyle w:val="44"/>
              <w:rPr>
                <w:color w:val="auto"/>
              </w:rPr>
            </w:pPr>
            <w:r>
              <w:rPr>
                <w:color w:val="auto"/>
              </w:rPr>
              <w:t>220.84</w:t>
            </w:r>
          </w:p>
        </w:tc>
        <w:tc>
          <w:tcPr>
            <w:tcW w:w="575" w:type="pct"/>
            <w:vAlign w:val="center"/>
          </w:tcPr>
          <w:p w14:paraId="40A62A91">
            <w:pPr>
              <w:pStyle w:val="44"/>
              <w:rPr>
                <w:color w:val="auto"/>
              </w:rPr>
            </w:pPr>
            <w:r>
              <w:rPr>
                <w:color w:val="auto"/>
              </w:rPr>
              <w:t>664.09</w:t>
            </w:r>
          </w:p>
        </w:tc>
        <w:tc>
          <w:tcPr>
            <w:tcW w:w="938" w:type="pct"/>
            <w:vAlign w:val="center"/>
          </w:tcPr>
          <w:p w14:paraId="7EB09B57">
            <w:pPr>
              <w:pStyle w:val="44"/>
              <w:rPr>
                <w:color w:val="auto"/>
              </w:rPr>
            </w:pPr>
            <w:r>
              <w:rPr>
                <w:color w:val="auto"/>
              </w:rPr>
              <w:t>地产、土地储备集团</w:t>
            </w:r>
          </w:p>
        </w:tc>
      </w:tr>
      <w:tr w14:paraId="27A22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666BCACD">
            <w:pPr>
              <w:pStyle w:val="44"/>
              <w:rPr>
                <w:color w:val="auto"/>
              </w:rPr>
            </w:pPr>
            <w:r>
              <w:rPr>
                <w:color w:val="auto"/>
              </w:rPr>
              <w:t>11</w:t>
            </w:r>
          </w:p>
        </w:tc>
        <w:tc>
          <w:tcPr>
            <w:tcW w:w="450" w:type="pct"/>
            <w:vMerge w:val="continue"/>
            <w:vAlign w:val="center"/>
          </w:tcPr>
          <w:p w14:paraId="699C267E">
            <w:pPr>
              <w:pStyle w:val="44"/>
              <w:rPr>
                <w:color w:val="auto"/>
              </w:rPr>
            </w:pPr>
          </w:p>
        </w:tc>
        <w:tc>
          <w:tcPr>
            <w:tcW w:w="1498" w:type="pct"/>
            <w:vAlign w:val="center"/>
          </w:tcPr>
          <w:p w14:paraId="24814627">
            <w:pPr>
              <w:pStyle w:val="44"/>
              <w:rPr>
                <w:color w:val="auto"/>
              </w:rPr>
            </w:pPr>
            <w:r>
              <w:rPr>
                <w:color w:val="auto"/>
              </w:rPr>
              <w:t>小计</w:t>
            </w:r>
          </w:p>
        </w:tc>
        <w:tc>
          <w:tcPr>
            <w:tcW w:w="613" w:type="pct"/>
            <w:noWrap/>
            <w:vAlign w:val="center"/>
          </w:tcPr>
          <w:p w14:paraId="174DB247">
            <w:pPr>
              <w:pStyle w:val="44"/>
              <w:rPr>
                <w:color w:val="auto"/>
              </w:rPr>
            </w:pPr>
            <w:r>
              <w:rPr>
                <w:color w:val="auto"/>
              </w:rPr>
              <w:t>3061.64</w:t>
            </w:r>
          </w:p>
        </w:tc>
        <w:tc>
          <w:tcPr>
            <w:tcW w:w="613" w:type="pct"/>
            <w:noWrap/>
            <w:vAlign w:val="center"/>
          </w:tcPr>
          <w:p w14:paraId="591874A4">
            <w:pPr>
              <w:pStyle w:val="44"/>
              <w:rPr>
                <w:color w:val="auto"/>
              </w:rPr>
            </w:pPr>
            <w:r>
              <w:rPr>
                <w:color w:val="auto"/>
              </w:rPr>
              <w:t>897.92</w:t>
            </w:r>
          </w:p>
        </w:tc>
        <w:tc>
          <w:tcPr>
            <w:tcW w:w="575" w:type="pct"/>
            <w:noWrap/>
            <w:vAlign w:val="center"/>
          </w:tcPr>
          <w:p w14:paraId="043E7C97">
            <w:pPr>
              <w:pStyle w:val="44"/>
              <w:rPr>
                <w:color w:val="auto"/>
              </w:rPr>
            </w:pPr>
            <w:r>
              <w:rPr>
                <w:color w:val="auto"/>
              </w:rPr>
              <w:t>2163.72</w:t>
            </w:r>
          </w:p>
        </w:tc>
        <w:tc>
          <w:tcPr>
            <w:tcW w:w="938" w:type="pct"/>
            <w:vAlign w:val="center"/>
          </w:tcPr>
          <w:p w14:paraId="256C5E70">
            <w:pPr>
              <w:pStyle w:val="44"/>
              <w:rPr>
                <w:color w:val="auto"/>
              </w:rPr>
            </w:pPr>
            <w:r>
              <w:rPr>
                <w:color w:val="auto"/>
              </w:rPr>
              <w:t>　</w:t>
            </w:r>
          </w:p>
        </w:tc>
      </w:tr>
      <w:tr w14:paraId="5958C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9" w:type="pct"/>
            <w:noWrap/>
            <w:vAlign w:val="center"/>
          </w:tcPr>
          <w:p w14:paraId="270C6FAD">
            <w:pPr>
              <w:pStyle w:val="44"/>
              <w:rPr>
                <w:color w:val="auto"/>
              </w:rPr>
            </w:pPr>
            <w:r>
              <w:rPr>
                <w:color w:val="auto"/>
              </w:rPr>
              <w:t>12</w:t>
            </w:r>
          </w:p>
        </w:tc>
        <w:tc>
          <w:tcPr>
            <w:tcW w:w="1949" w:type="pct"/>
            <w:gridSpan w:val="2"/>
            <w:vAlign w:val="center"/>
          </w:tcPr>
          <w:p w14:paraId="447ABD29">
            <w:pPr>
              <w:pStyle w:val="44"/>
              <w:rPr>
                <w:color w:val="auto"/>
              </w:rPr>
            </w:pPr>
            <w:r>
              <w:rPr>
                <w:color w:val="auto"/>
              </w:rPr>
              <w:t>合计</w:t>
            </w:r>
          </w:p>
        </w:tc>
        <w:tc>
          <w:tcPr>
            <w:tcW w:w="613" w:type="pct"/>
            <w:noWrap/>
            <w:vAlign w:val="center"/>
          </w:tcPr>
          <w:p w14:paraId="2923749D">
            <w:pPr>
              <w:pStyle w:val="44"/>
              <w:rPr>
                <w:color w:val="auto"/>
              </w:rPr>
            </w:pPr>
            <w:r>
              <w:rPr>
                <w:color w:val="auto"/>
              </w:rPr>
              <w:t>3482.70</w:t>
            </w:r>
          </w:p>
        </w:tc>
        <w:tc>
          <w:tcPr>
            <w:tcW w:w="613" w:type="pct"/>
            <w:noWrap/>
            <w:vAlign w:val="center"/>
          </w:tcPr>
          <w:p w14:paraId="0ED52094">
            <w:pPr>
              <w:pStyle w:val="44"/>
              <w:rPr>
                <w:color w:val="auto"/>
              </w:rPr>
            </w:pPr>
            <w:r>
              <w:rPr>
                <w:color w:val="auto"/>
              </w:rPr>
              <w:t>1318.98</w:t>
            </w:r>
          </w:p>
        </w:tc>
        <w:tc>
          <w:tcPr>
            <w:tcW w:w="575" w:type="pct"/>
            <w:noWrap/>
            <w:vAlign w:val="center"/>
          </w:tcPr>
          <w:p w14:paraId="6C1B8A44">
            <w:pPr>
              <w:pStyle w:val="44"/>
              <w:rPr>
                <w:color w:val="auto"/>
              </w:rPr>
            </w:pPr>
            <w:r>
              <w:rPr>
                <w:color w:val="auto"/>
              </w:rPr>
              <w:t>2163.72</w:t>
            </w:r>
          </w:p>
        </w:tc>
        <w:tc>
          <w:tcPr>
            <w:tcW w:w="938" w:type="pct"/>
            <w:vAlign w:val="center"/>
          </w:tcPr>
          <w:p w14:paraId="0C3B0F0E">
            <w:pPr>
              <w:pStyle w:val="44"/>
              <w:rPr>
                <w:color w:val="auto"/>
              </w:rPr>
            </w:pPr>
            <w:r>
              <w:rPr>
                <w:color w:val="auto"/>
              </w:rPr>
              <w:t>　</w:t>
            </w:r>
          </w:p>
        </w:tc>
      </w:tr>
    </w:tbl>
    <w:p w14:paraId="4C4A7041">
      <w:pPr>
        <w:pStyle w:val="6"/>
        <w:numPr>
          <w:ilvl w:val="3"/>
          <w:numId w:val="0"/>
        </w:numPr>
        <w:rPr>
          <w:color w:val="auto"/>
        </w:rPr>
      </w:pPr>
      <w:r>
        <w:rPr>
          <w:color w:val="auto"/>
        </w:rPr>
        <w:t>2.1.2.2 九龙工业园区C区区域规划工作开展情况</w:t>
      </w:r>
    </w:p>
    <w:p w14:paraId="1BDB158B">
      <w:pPr>
        <w:ind w:firstLine="480"/>
        <w:rPr>
          <w:color w:val="auto"/>
        </w:rPr>
      </w:pPr>
      <w:r>
        <w:rPr>
          <w:color w:val="auto"/>
        </w:rPr>
        <w:t>重庆九龙工业园区的C区，包括西彭组团O标准分区（部分）和L标准分区（部分），2019年12月，随着行政区划的调整，O、L标准分区内部分面积划归为重庆高新技术产业开发区和西彭工业园区行政管理，故本次扣除后评价总面积为797.10hm</w:t>
      </w:r>
      <w:r>
        <w:rPr>
          <w:color w:val="auto"/>
          <w:vertAlign w:val="superscript"/>
        </w:rPr>
        <w:t>2</w:t>
      </w:r>
      <w:r>
        <w:rPr>
          <w:color w:val="auto"/>
        </w:rPr>
        <w:t>。</w:t>
      </w:r>
    </w:p>
    <w:p w14:paraId="41076E9A">
      <w:pPr>
        <w:ind w:firstLine="480"/>
        <w:rPr>
          <w:color w:val="auto"/>
        </w:rPr>
      </w:pPr>
      <w:r>
        <w:rPr>
          <w:color w:val="auto"/>
        </w:rPr>
        <w:t>西彭组团O标准分区功能定位为重庆主城陶家城市副中心的核心组成部分，是九龙坡区西部以生产型商务和综合服务配套为主导功能的中心城区；西彭组团L标准分区功能定位为重庆市主城区陶家城市副中心的重要产业功能组团，九龙坡区西部以发展装备制造业、汽摩制造业为主的重要工业片区。</w:t>
      </w:r>
    </w:p>
    <w:p w14:paraId="5DFF539C">
      <w:pPr>
        <w:ind w:firstLine="480"/>
        <w:rPr>
          <w:color w:val="auto"/>
        </w:rPr>
      </w:pPr>
      <w:r>
        <w:rPr>
          <w:color w:val="auto"/>
        </w:rPr>
        <w:t>关于重庆九龙工业园区（ 西彭组团O、L标准分区部分）涉及的各批复设立的控制性详细规划编制情况具体如下：</w:t>
      </w:r>
    </w:p>
    <w:p w14:paraId="584D0110">
      <w:pPr>
        <w:ind w:firstLine="480"/>
        <w:rPr>
          <w:color w:val="auto"/>
        </w:rPr>
      </w:pPr>
      <w:r>
        <w:rPr>
          <w:color w:val="auto"/>
        </w:rPr>
        <w:t>2006年5月10日，重庆市人民政府以渝府[2006]98号文， 关于同意将重庆高新技术产业开发区九龙工业园区和重庆市九龙工业园区进行整合，设立为重庆九龙工业园区，功能定位为：发展汽车和摩托车及零部件、精密机械、机电一体化产业。</w:t>
      </w:r>
    </w:p>
    <w:p w14:paraId="2079FAFE">
      <w:pPr>
        <w:ind w:firstLine="480"/>
        <w:rPr>
          <w:color w:val="auto"/>
        </w:rPr>
      </w:pPr>
      <w:r>
        <w:rPr>
          <w:color w:val="auto"/>
        </w:rPr>
        <w:t>2012年6月，重庆九龙工业园区委托深圳市城市规划设计研究院有限公司编制了《重庆市主城区西彭组团O标准分区（部分）控制性详细规划》，规划总用地面积506.68hm</w:t>
      </w:r>
      <w:r>
        <w:rPr>
          <w:color w:val="auto"/>
          <w:vertAlign w:val="superscript"/>
        </w:rPr>
        <w:t>2</w:t>
      </w:r>
      <w:r>
        <w:rPr>
          <w:color w:val="auto"/>
        </w:rPr>
        <w:t>，重庆市人民政府领导批示抄告单（渝规文[2012]182号）。</w:t>
      </w:r>
    </w:p>
    <w:p w14:paraId="5FEFBBC6">
      <w:pPr>
        <w:ind w:firstLine="480"/>
        <w:rPr>
          <w:color w:val="auto"/>
        </w:rPr>
      </w:pPr>
      <w:r>
        <w:rPr>
          <w:color w:val="auto"/>
        </w:rPr>
        <w:t>2011年12月，重庆九龙工业园区委托深圳市城市规划设计研究院有限公司编制了《重庆市主城区西彭组团L标准分区控制性详细规划》，规划总用地面积584.67hm2，重庆市人民政府领导批示抄告单（渝规文[2011]363号）。</w:t>
      </w:r>
    </w:p>
    <w:p w14:paraId="37AEE5B2">
      <w:pPr>
        <w:ind w:firstLine="480"/>
        <w:rPr>
          <w:color w:val="auto"/>
        </w:rPr>
      </w:pPr>
      <w:r>
        <w:rPr>
          <w:color w:val="auto"/>
        </w:rPr>
        <w:t>2019年12月，重庆市人民代表大会常务委员会关于重庆高新技术产业开发区行政管理事项的决定，陶家镇属于重庆高新区拓展园范围，重庆市人民代表大会常务委员会公告（[五届]第77号）。</w:t>
      </w:r>
    </w:p>
    <w:p w14:paraId="63DD2B32">
      <w:pPr>
        <w:ind w:firstLine="480"/>
        <w:rPr>
          <w:color w:val="auto"/>
        </w:rPr>
        <w:sectPr>
          <w:pgSz w:w="11905" w:h="16838"/>
          <w:pgMar w:top="1417" w:right="1417" w:bottom="1417" w:left="1587" w:header="850" w:footer="992" w:gutter="0"/>
          <w:cols w:space="0" w:num="1"/>
          <w:docGrid w:type="lines" w:linePitch="333" w:charSpace="0"/>
        </w:sectPr>
      </w:pPr>
      <w:r>
        <w:rPr>
          <w:color w:val="auto"/>
        </w:rPr>
        <w:t>经过数年规划设计编制，重庆九龙工业园区（ 西彭组团O、L标准分区部分）区域内已经实现控规全覆盖。</w:t>
      </w:r>
    </w:p>
    <w:p w14:paraId="69959CF3">
      <w:pPr>
        <w:ind w:firstLine="480"/>
        <w:rPr>
          <w:b/>
          <w:color w:val="auto"/>
        </w:rPr>
      </w:pPr>
      <w:r>
        <w:rPr>
          <w:color w:val="auto"/>
        </w:rPr>
        <w:drawing>
          <wp:anchor distT="0" distB="0" distL="114300" distR="114300" simplePos="0" relativeHeight="251661312" behindDoc="0" locked="0" layoutInCell="1" allowOverlap="1">
            <wp:simplePos x="0" y="0"/>
            <wp:positionH relativeFrom="column">
              <wp:posOffset>2550795</wp:posOffset>
            </wp:positionH>
            <wp:positionV relativeFrom="paragraph">
              <wp:posOffset>-140970</wp:posOffset>
            </wp:positionV>
            <wp:extent cx="3582035" cy="4929505"/>
            <wp:effectExtent l="0" t="0" r="18415" b="444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3"/>
                    <a:srcRect l="2046" t="6662" r="6062" b="3899"/>
                    <a:stretch>
                      <a:fillRect/>
                    </a:stretch>
                  </pic:blipFill>
                  <pic:spPr>
                    <a:xfrm>
                      <a:off x="0" y="0"/>
                      <a:ext cx="3582035" cy="4929505"/>
                    </a:xfrm>
                    <a:prstGeom prst="rect">
                      <a:avLst/>
                    </a:prstGeom>
                    <a:noFill/>
                    <a:ln>
                      <a:noFill/>
                    </a:ln>
                  </pic:spPr>
                </pic:pic>
              </a:graphicData>
            </a:graphic>
          </wp:anchor>
        </w:drawing>
      </w:r>
      <w:r>
        <w:rPr>
          <w:b/>
          <w:color w:val="auto"/>
        </w:rPr>
        <mc:AlternateContent>
          <mc:Choice Requires="wps">
            <w:drawing>
              <wp:anchor distT="0" distB="0" distL="114300" distR="114300" simplePos="0" relativeHeight="251666432" behindDoc="0" locked="0" layoutInCell="1" allowOverlap="1">
                <wp:simplePos x="0" y="0"/>
                <wp:positionH relativeFrom="column">
                  <wp:posOffset>6339205</wp:posOffset>
                </wp:positionH>
                <wp:positionV relativeFrom="paragraph">
                  <wp:posOffset>66040</wp:posOffset>
                </wp:positionV>
                <wp:extent cx="820420" cy="788670"/>
                <wp:effectExtent l="740410" t="9525" r="20320" b="249555"/>
                <wp:wrapNone/>
                <wp:docPr id="31" name="椭圆形标注 31"/>
                <wp:cNvGraphicFramePr/>
                <a:graphic xmlns:a="http://schemas.openxmlformats.org/drawingml/2006/main">
                  <a:graphicData uri="http://schemas.microsoft.com/office/word/2010/wordprocessingShape">
                    <wps:wsp>
                      <wps:cNvSpPr/>
                      <wps:spPr>
                        <a:xfrm>
                          <a:off x="0" y="0"/>
                          <a:ext cx="820420" cy="788670"/>
                        </a:xfrm>
                        <a:prstGeom prst="wedgeEllipseCallout">
                          <a:avLst>
                            <a:gd name="adj1" fmla="val -131968"/>
                            <a:gd name="adj2" fmla="val 75926"/>
                          </a:avLst>
                        </a:prstGeom>
                        <a:solidFill>
                          <a:srgbClr val="FF0000"/>
                        </a:solidFill>
                        <a:ln w="19050" cap="flat" cmpd="sng">
                          <a:solidFill>
                            <a:srgbClr val="00B050"/>
                          </a:solidFill>
                          <a:prstDash val="solid"/>
                          <a:miter/>
                          <a:headEnd type="none" w="med" len="med"/>
                          <a:tailEnd type="none" w="med" len="med"/>
                        </a:ln>
                      </wps:spPr>
                      <wps:txbx>
                        <w:txbxContent>
                          <w:p w14:paraId="6F6266F5">
                            <w:pPr>
                              <w:ind w:firstLine="0" w:firstLineChars="0"/>
                              <w:rPr>
                                <w:sz w:val="28"/>
                                <w:szCs w:val="28"/>
                              </w:rPr>
                            </w:pPr>
                            <w:r>
                              <w:rPr>
                                <w:rFonts w:hint="eastAsia"/>
                                <w:sz w:val="28"/>
                                <w:szCs w:val="28"/>
                              </w:rPr>
                              <w:t>A区</w:t>
                            </w:r>
                          </w:p>
                        </w:txbxContent>
                      </wps:txbx>
                      <wps:bodyPr upright="1"/>
                    </wps:wsp>
                  </a:graphicData>
                </a:graphic>
              </wp:anchor>
            </w:drawing>
          </mc:Choice>
          <mc:Fallback>
            <w:pict>
              <v:shape id="_x0000_s1026" o:spid="_x0000_s1026" o:spt="63" type="#_x0000_t63" style="position:absolute;left:0pt;margin-left:499.15pt;margin-top:5.2pt;height:62.1pt;width:64.6pt;z-index:251666432;mso-width-relative:page;mso-height-relative:page;" fillcolor="#FF0000" filled="t" stroked="t" coordsize="21600,21600" o:gfxdata="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l1fg9gAAAALAQAADwAAAAAAAAAB&#10;ACAAAAAiAAAAZHJzL2Rvd25yZXYueG1sUEsBAhQAFAAAAAgAh07iQA/3xZBJAgAAlgQAAA4AAAAA&#10;AAAAAQAgAAAAJwEAAGRycy9lMm9Eb2MueG1sUEsFBgAAAAAGAAYAWQEAAOIFAAAAAA==&#10;" adj="-17705,27200">
                <v:fill on="t" focussize="0,0"/>
                <v:stroke weight="1.5pt" color="#00B050" joinstyle="miter"/>
                <v:imagedata o:title=""/>
                <o:lock v:ext="edit" aspectratio="f"/>
                <v:textbox>
                  <w:txbxContent>
                    <w:p w14:paraId="6F6266F5">
                      <w:pPr>
                        <w:ind w:firstLine="0" w:firstLineChars="0"/>
                        <w:rPr>
                          <w:sz w:val="28"/>
                          <w:szCs w:val="28"/>
                        </w:rPr>
                      </w:pPr>
                      <w:r>
                        <w:rPr>
                          <w:rFonts w:hint="eastAsia"/>
                          <w:sz w:val="28"/>
                          <w:szCs w:val="28"/>
                        </w:rPr>
                        <w:t>A区</w:t>
                      </w:r>
                    </w:p>
                  </w:txbxContent>
                </v:textbox>
              </v:shape>
            </w:pict>
          </mc:Fallback>
        </mc:AlternateContent>
      </w:r>
    </w:p>
    <w:p w14:paraId="29C088C5">
      <w:pPr>
        <w:ind w:firstLine="482"/>
        <w:rPr>
          <w:b/>
          <w:color w:val="auto"/>
        </w:rPr>
      </w:pPr>
      <w:r>
        <w:rPr>
          <w:b/>
          <w:color w:val="auto"/>
        </w:rPr>
        <mc:AlternateContent>
          <mc:Choice Requires="wps">
            <w:drawing>
              <wp:anchor distT="0" distB="0" distL="114300" distR="114300" simplePos="0" relativeHeight="251668480" behindDoc="0" locked="0" layoutInCell="1" allowOverlap="1">
                <wp:simplePos x="0" y="0"/>
                <wp:positionH relativeFrom="column">
                  <wp:posOffset>1995805</wp:posOffset>
                </wp:positionH>
                <wp:positionV relativeFrom="paragraph">
                  <wp:posOffset>317500</wp:posOffset>
                </wp:positionV>
                <wp:extent cx="1208405" cy="1445895"/>
                <wp:effectExtent l="9525" t="9525" r="20320" b="1554480"/>
                <wp:wrapNone/>
                <wp:docPr id="28" name="椭圆形标注 28"/>
                <wp:cNvGraphicFramePr/>
                <a:graphic xmlns:a="http://schemas.openxmlformats.org/drawingml/2006/main">
                  <a:graphicData uri="http://schemas.microsoft.com/office/word/2010/wordprocessingShape">
                    <wps:wsp>
                      <wps:cNvSpPr/>
                      <wps:spPr>
                        <a:xfrm>
                          <a:off x="0" y="0"/>
                          <a:ext cx="1208405" cy="1445895"/>
                        </a:xfrm>
                        <a:prstGeom prst="wedgeEllipseCallout">
                          <a:avLst>
                            <a:gd name="adj1" fmla="val 38125"/>
                            <a:gd name="adj2" fmla="val 151056"/>
                          </a:avLst>
                        </a:prstGeom>
                        <a:solidFill>
                          <a:srgbClr val="66FF33"/>
                        </a:solidFill>
                        <a:ln w="19050" cap="flat" cmpd="sng">
                          <a:solidFill>
                            <a:srgbClr val="FF0000"/>
                          </a:solidFill>
                          <a:prstDash val="solid"/>
                          <a:miter/>
                          <a:headEnd type="none" w="med" len="med"/>
                          <a:tailEnd type="none" w="med" len="med"/>
                        </a:ln>
                      </wps:spPr>
                      <wps:txbx>
                        <w:txbxContent>
                          <w:p w14:paraId="6C09F3D3">
                            <w:pPr>
                              <w:spacing w:line="240" w:lineRule="auto"/>
                              <w:ind w:firstLine="0" w:firstLineChars="0"/>
                              <w:rPr>
                                <w:sz w:val="28"/>
                                <w:szCs w:val="28"/>
                              </w:rPr>
                            </w:pPr>
                            <w:r>
                              <w:rPr>
                                <w:rFonts w:hint="eastAsia"/>
                                <w:sz w:val="28"/>
                                <w:szCs w:val="28"/>
                              </w:rPr>
                              <w:t>C区，本次评价区域范围</w:t>
                            </w:r>
                          </w:p>
                        </w:txbxContent>
                      </wps:txbx>
                      <wps:bodyPr upright="1"/>
                    </wps:wsp>
                  </a:graphicData>
                </a:graphic>
              </wp:anchor>
            </w:drawing>
          </mc:Choice>
          <mc:Fallback>
            <w:pict>
              <v:shape id="_x0000_s1026" o:spid="_x0000_s1026" o:spt="63" type="#_x0000_t63" style="position:absolute;left:0pt;margin-left:157.15pt;margin-top:25pt;height:113.85pt;width:95.15pt;z-index:251668480;mso-width-relative:page;mso-height-relative:page;" fillcolor="#66FF33" filled="t" stroked="t" coordsize="21600,21600" o:gfxdata="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WOwbD2AAAAAoBAAAPAAAAAAAAAAEA&#10;IAAAACIAAABkcnMvZG93bnJldi54bWxQSwECFAAUAAAACACHTuJAZJH45EgCAACXBAAADgAAAAAA&#10;AAABACAAAAAnAQAAZHJzL2Uyb0RvYy54bWxQSwUGAAAAAAYABgBZAQAA4QUAAAAA&#10;" adj="19035,43428">
                <v:fill on="t" focussize="0,0"/>
                <v:stroke weight="1.5pt" color="#FF0000" joinstyle="miter"/>
                <v:imagedata o:title=""/>
                <o:lock v:ext="edit" aspectratio="f"/>
                <v:textbox>
                  <w:txbxContent>
                    <w:p w14:paraId="6C09F3D3">
                      <w:pPr>
                        <w:spacing w:line="240" w:lineRule="auto"/>
                        <w:ind w:firstLine="0" w:firstLineChars="0"/>
                        <w:rPr>
                          <w:sz w:val="28"/>
                          <w:szCs w:val="28"/>
                        </w:rPr>
                      </w:pPr>
                      <w:r>
                        <w:rPr>
                          <w:rFonts w:hint="eastAsia"/>
                          <w:sz w:val="28"/>
                          <w:szCs w:val="28"/>
                        </w:rPr>
                        <w:t>C区，本次评价区域范围</w:t>
                      </w:r>
                    </w:p>
                  </w:txbxContent>
                </v:textbox>
              </v:shape>
            </w:pict>
          </mc:Fallback>
        </mc:AlternateContent>
      </w:r>
      <w:r>
        <w:rPr>
          <w:b/>
          <w:color w:val="auto"/>
        </w:rPr>
        <mc:AlternateContent>
          <mc:Choice Requires="wps">
            <w:drawing>
              <wp:anchor distT="0" distB="0" distL="114300" distR="114300" simplePos="0" relativeHeight="251667456" behindDoc="0" locked="0" layoutInCell="1" allowOverlap="1">
                <wp:simplePos x="0" y="0"/>
                <wp:positionH relativeFrom="column">
                  <wp:posOffset>3609975</wp:posOffset>
                </wp:positionH>
                <wp:positionV relativeFrom="paragraph">
                  <wp:posOffset>25400</wp:posOffset>
                </wp:positionV>
                <wp:extent cx="810895" cy="787400"/>
                <wp:effectExtent l="9525" t="9525" r="589280" b="593725"/>
                <wp:wrapNone/>
                <wp:docPr id="27" name="椭圆形标注 27"/>
                <wp:cNvGraphicFramePr/>
                <a:graphic xmlns:a="http://schemas.openxmlformats.org/drawingml/2006/main">
                  <a:graphicData uri="http://schemas.microsoft.com/office/word/2010/wordprocessingShape">
                    <wps:wsp>
                      <wps:cNvSpPr/>
                      <wps:spPr>
                        <a:xfrm>
                          <a:off x="0" y="0"/>
                          <a:ext cx="810895" cy="787400"/>
                        </a:xfrm>
                        <a:prstGeom prst="wedgeEllipseCallout">
                          <a:avLst>
                            <a:gd name="adj1" fmla="val 115468"/>
                            <a:gd name="adj2" fmla="val 118144"/>
                          </a:avLst>
                        </a:prstGeom>
                        <a:solidFill>
                          <a:srgbClr val="C209C7"/>
                        </a:solidFill>
                        <a:ln w="19050" cap="flat" cmpd="sng">
                          <a:solidFill>
                            <a:srgbClr val="00B050"/>
                          </a:solidFill>
                          <a:prstDash val="solid"/>
                          <a:miter/>
                          <a:headEnd type="none" w="med" len="med"/>
                          <a:tailEnd type="none" w="med" len="med"/>
                        </a:ln>
                      </wps:spPr>
                      <wps:txbx>
                        <w:txbxContent>
                          <w:p w14:paraId="7B8D6431">
                            <w:pPr>
                              <w:ind w:firstLine="0" w:firstLineChars="0"/>
                              <w:rPr>
                                <w:sz w:val="28"/>
                                <w:szCs w:val="28"/>
                              </w:rPr>
                            </w:pPr>
                            <w:r>
                              <w:rPr>
                                <w:rFonts w:hint="eastAsia"/>
                                <w:sz w:val="28"/>
                                <w:szCs w:val="28"/>
                              </w:rPr>
                              <w:t>B区</w:t>
                            </w:r>
                          </w:p>
                        </w:txbxContent>
                      </wps:txbx>
                      <wps:bodyPr upright="1"/>
                    </wps:wsp>
                  </a:graphicData>
                </a:graphic>
              </wp:anchor>
            </w:drawing>
          </mc:Choice>
          <mc:Fallback>
            <w:pict>
              <v:shape id="_x0000_s1026" o:spid="_x0000_s1026" o:spt="63" type="#_x0000_t63" style="position:absolute;left:0pt;margin-left:284.25pt;margin-top:2pt;height:62pt;width:63.85pt;z-index:251667456;mso-width-relative:page;mso-height-relative:page;" fillcolor="#C209C7" filled="t" stroked="t" coordsize="21600,21600" o:gfxdata="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lVqovYAAAACQEAAA8AAAAAAAAA&#10;AQAgAAAAIgAAAGRycy9kb3ducmV2LnhtbFBLAQIUABQAAAAIAIdO4kA7zF+3SgIAAJYEAAAOAAAA&#10;AAAAAAEAIAAAACcBAABkcnMvZTJvRG9jLnhtbFBLBQYAAAAABgAGAFkBAADjBQAAAAA=&#10;" adj="35741,36319">
                <v:fill on="t" focussize="0,0"/>
                <v:stroke weight="1.5pt" color="#00B050" joinstyle="miter"/>
                <v:imagedata o:title=""/>
                <o:lock v:ext="edit" aspectratio="f"/>
                <v:textbox>
                  <w:txbxContent>
                    <w:p w14:paraId="7B8D6431">
                      <w:pPr>
                        <w:ind w:firstLine="0" w:firstLineChars="0"/>
                        <w:rPr>
                          <w:sz w:val="28"/>
                          <w:szCs w:val="28"/>
                        </w:rPr>
                      </w:pPr>
                      <w:r>
                        <w:rPr>
                          <w:rFonts w:hint="eastAsia"/>
                          <w:sz w:val="28"/>
                          <w:szCs w:val="28"/>
                        </w:rPr>
                        <w:t>B区</w:t>
                      </w:r>
                    </w:p>
                  </w:txbxContent>
                </v:textbox>
              </v:shape>
            </w:pict>
          </mc:Fallback>
        </mc:AlternateContent>
      </w:r>
    </w:p>
    <w:p w14:paraId="22477AA8">
      <w:pPr>
        <w:ind w:firstLine="482"/>
        <w:rPr>
          <w:b/>
          <w:color w:val="auto"/>
        </w:rPr>
      </w:pPr>
    </w:p>
    <w:p w14:paraId="5EF30803">
      <w:pPr>
        <w:ind w:firstLine="480"/>
        <w:rPr>
          <w:b/>
          <w:color w:val="auto"/>
        </w:rPr>
      </w:pPr>
      <w:r>
        <w:rPr>
          <w:color w:val="auto"/>
        </w:rPr>
        <w:drawing>
          <wp:anchor distT="0" distB="0" distL="114300" distR="114300" simplePos="0" relativeHeight="251669504" behindDoc="0" locked="0" layoutInCell="1" allowOverlap="1">
            <wp:simplePos x="0" y="0"/>
            <wp:positionH relativeFrom="column">
              <wp:posOffset>-309245</wp:posOffset>
            </wp:positionH>
            <wp:positionV relativeFrom="paragraph">
              <wp:posOffset>190500</wp:posOffset>
            </wp:positionV>
            <wp:extent cx="1955165" cy="2678430"/>
            <wp:effectExtent l="0" t="0" r="6985" b="7620"/>
            <wp:wrapNone/>
            <wp:docPr id="26" name="图片 16" descr="O标准分区（部分）控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O标准分区（部分）控规"/>
                    <pic:cNvPicPr>
                      <a:picLocks noChangeAspect="1"/>
                    </pic:cNvPicPr>
                  </pic:nvPicPr>
                  <pic:blipFill>
                    <a:blip r:embed="rId14"/>
                    <a:stretch>
                      <a:fillRect/>
                    </a:stretch>
                  </pic:blipFill>
                  <pic:spPr>
                    <a:xfrm>
                      <a:off x="0" y="0"/>
                      <a:ext cx="1955165" cy="2678430"/>
                    </a:xfrm>
                    <a:prstGeom prst="rect">
                      <a:avLst/>
                    </a:prstGeom>
                    <a:noFill/>
                    <a:ln>
                      <a:noFill/>
                    </a:ln>
                  </pic:spPr>
                </pic:pic>
              </a:graphicData>
            </a:graphic>
          </wp:anchor>
        </w:drawing>
      </w:r>
    </w:p>
    <w:p w14:paraId="486616D5">
      <w:pPr>
        <w:ind w:firstLine="480"/>
        <w:rPr>
          <w:b/>
          <w:color w:val="auto"/>
        </w:rPr>
      </w:pPr>
      <w:r>
        <w:rPr>
          <w:color w:val="auto"/>
        </w:rPr>
        <w:drawing>
          <wp:anchor distT="0" distB="0" distL="114300" distR="114300" simplePos="0" relativeHeight="251670528" behindDoc="0" locked="0" layoutInCell="1" allowOverlap="1">
            <wp:simplePos x="0" y="0"/>
            <wp:positionH relativeFrom="column">
              <wp:posOffset>6635115</wp:posOffset>
            </wp:positionH>
            <wp:positionV relativeFrom="paragraph">
              <wp:posOffset>186055</wp:posOffset>
            </wp:positionV>
            <wp:extent cx="2088515" cy="2678430"/>
            <wp:effectExtent l="0" t="0" r="6985" b="7620"/>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5"/>
                    <a:stretch>
                      <a:fillRect/>
                    </a:stretch>
                  </pic:blipFill>
                  <pic:spPr>
                    <a:xfrm>
                      <a:off x="0" y="0"/>
                      <a:ext cx="2088515" cy="2678430"/>
                    </a:xfrm>
                    <a:prstGeom prst="rect">
                      <a:avLst/>
                    </a:prstGeom>
                    <a:noFill/>
                    <a:ln>
                      <a:noFill/>
                    </a:ln>
                  </pic:spPr>
                </pic:pic>
              </a:graphicData>
            </a:graphic>
          </wp:anchor>
        </w:drawing>
      </w:r>
    </w:p>
    <w:p w14:paraId="1DFE0E7F">
      <w:pPr>
        <w:ind w:firstLine="482"/>
        <w:rPr>
          <w:b/>
          <w:color w:val="auto"/>
        </w:rPr>
      </w:pPr>
      <w:r>
        <w:rPr>
          <w:b/>
          <w:color w:val="auto"/>
        </w:rPr>
        <w:t xml:space="preserve">                    </w:t>
      </w:r>
    </w:p>
    <w:p w14:paraId="5EDB6EC1">
      <w:pPr>
        <w:ind w:firstLine="482"/>
        <w:rPr>
          <w:b/>
          <w:color w:val="auto"/>
        </w:rPr>
      </w:pPr>
    </w:p>
    <w:p w14:paraId="57C71441">
      <w:pPr>
        <w:ind w:firstLine="482"/>
        <w:rPr>
          <w:b/>
          <w:color w:val="auto"/>
        </w:rPr>
      </w:pPr>
    </w:p>
    <w:p w14:paraId="2E320F11">
      <w:pPr>
        <w:ind w:firstLine="482"/>
        <w:rPr>
          <w:b/>
          <w:color w:val="auto"/>
        </w:rPr>
      </w:pPr>
    </w:p>
    <w:p w14:paraId="5065AA28">
      <w:pPr>
        <w:ind w:firstLine="482"/>
        <w:rPr>
          <w:b/>
          <w:color w:val="auto"/>
        </w:rPr>
      </w:pPr>
    </w:p>
    <w:p w14:paraId="0F2A7822">
      <w:pPr>
        <w:ind w:firstLine="480"/>
        <w:rPr>
          <w:b/>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1645920</wp:posOffset>
                </wp:positionH>
                <wp:positionV relativeFrom="paragraph">
                  <wp:posOffset>178435</wp:posOffset>
                </wp:positionV>
                <wp:extent cx="1245235" cy="154940"/>
                <wp:effectExtent l="0" t="64135" r="12065" b="28575"/>
                <wp:wrapSquare wrapText="bothSides"/>
                <wp:docPr id="24" name="肘形连接符 24"/>
                <wp:cNvGraphicFramePr/>
                <a:graphic xmlns:a="http://schemas.openxmlformats.org/drawingml/2006/main">
                  <a:graphicData uri="http://schemas.microsoft.com/office/word/2010/wordprocessingShape">
                    <wps:wsp>
                      <wps:cNvCnPr/>
                      <wps:spPr>
                        <a:xfrm rot="10800000">
                          <a:off x="0" y="0"/>
                          <a:ext cx="1245235" cy="154940"/>
                        </a:xfrm>
                        <a:prstGeom prst="bentConnector3">
                          <a:avLst>
                            <a:gd name="adj1" fmla="val 49972"/>
                          </a:avLst>
                        </a:prstGeom>
                        <a:ln w="28575" cap="flat" cmpd="sng">
                          <a:solidFill>
                            <a:srgbClr val="00B0F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29.6pt;margin-top:14.05pt;height:12.2pt;width:98.05pt;mso-wrap-distance-bottom:0pt;mso-wrap-distance-left:9pt;mso-wrap-distance-right:9pt;mso-wrap-distance-top:0pt;rotation:11796480f;z-index:251664384;mso-width-relative:page;mso-height-relative:page;" filled="f" stroked="t" coordsize="21600,21600" o:gfxdata="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Y5fw2AAAAAkBAAAPAAAAAAAAAAEAIAAAACIAAABkcnMvZG93bnJldi54bWxQSwEC&#10;FAAUAAAACACHTuJA7agWhS0CAAAxBAAADgAAAAAAAAABACAAAAAnAQAAZHJzL2Uyb0RvYy54bWxQ&#10;SwUGAAAAAAYABgBZAQAAxgUAAAAA&#10;" adj="10794">
                <v:fill on="f" focussize="0,0"/>
                <v:stroke weight="2.25pt" color="#00B0F0" joinstyle="miter" endarrow="open"/>
                <v:imagedata o:title=""/>
                <o:lock v:ext="edit" aspectratio="f"/>
                <w10:wrap type="square"/>
              </v:shape>
            </w:pict>
          </mc:Fallback>
        </mc:AlternateContent>
      </w:r>
    </w:p>
    <w:p w14:paraId="5BAE859D">
      <w:pPr>
        <w:ind w:firstLine="482"/>
        <w:rPr>
          <w:b/>
          <w:color w:val="auto"/>
        </w:rPr>
      </w:pPr>
      <w:r>
        <w:rPr>
          <w:b/>
          <w:color w:val="auto"/>
        </w:rPr>
        <mc:AlternateContent>
          <mc:Choice Requires="wps">
            <w:drawing>
              <wp:anchor distT="0" distB="0" distL="114300" distR="114300" simplePos="0" relativeHeight="251665408" behindDoc="0" locked="0" layoutInCell="1" allowOverlap="1">
                <wp:simplePos x="0" y="0"/>
                <wp:positionH relativeFrom="column">
                  <wp:posOffset>3319145</wp:posOffset>
                </wp:positionH>
                <wp:positionV relativeFrom="paragraph">
                  <wp:posOffset>269875</wp:posOffset>
                </wp:positionV>
                <wp:extent cx="3303905" cy="198755"/>
                <wp:effectExtent l="0" t="64135" r="10795" b="22860"/>
                <wp:wrapSquare wrapText="bothSides"/>
                <wp:docPr id="23" name="肘形连接符 23"/>
                <wp:cNvGraphicFramePr/>
                <a:graphic xmlns:a="http://schemas.openxmlformats.org/drawingml/2006/main">
                  <a:graphicData uri="http://schemas.microsoft.com/office/word/2010/wordprocessingShape">
                    <wps:wsp>
                      <wps:cNvCnPr/>
                      <wps:spPr>
                        <a:xfrm flipV="1">
                          <a:off x="0" y="0"/>
                          <a:ext cx="3303905" cy="198755"/>
                        </a:xfrm>
                        <a:prstGeom prst="bentConnector3">
                          <a:avLst>
                            <a:gd name="adj1" fmla="val 49991"/>
                          </a:avLst>
                        </a:prstGeom>
                        <a:ln w="28575" cap="flat" cmpd="sng">
                          <a:solidFill>
                            <a:srgbClr val="00B0F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61.35pt;margin-top:21.25pt;height:15.65pt;width:260.15pt;mso-wrap-distance-bottom:0pt;mso-wrap-distance-left:9pt;mso-wrap-distance-right:9pt;mso-wrap-distance-top:0pt;z-index:251665408;mso-width-relative:page;mso-height-relative:page;" filled="f" stroked="t" coordsize="21600,21600" o:gfxdata="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OicdgAAAAKAQAADwAAAAAAAAABACAAAAAiAAAAZHJzL2Rvd25yZXYueG1sUEsBAhQA&#10;FAAAAAgAh07iQNuzrhErAgAALAQAAA4AAAAAAAAAAQAgAAAAJwEAAGRycy9lMm9Eb2MueG1sUEsF&#10;BgAAAAAGAAYAWQEAAMQFAAAAAA==&#10;" adj="10798">
                <v:fill on="f" focussize="0,0"/>
                <v:stroke weight="2.25pt" color="#00B0F0" joinstyle="miter" endarrow="open"/>
                <v:imagedata o:title=""/>
                <o:lock v:ext="edit" aspectratio="f"/>
                <w10:wrap type="square"/>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1679575</wp:posOffset>
                </wp:positionH>
                <wp:positionV relativeFrom="paragraph">
                  <wp:posOffset>245110</wp:posOffset>
                </wp:positionV>
                <wp:extent cx="839470" cy="362585"/>
                <wp:effectExtent l="0" t="0" r="0" b="0"/>
                <wp:wrapNone/>
                <wp:docPr id="22" name="直接箭头连接符 22"/>
                <wp:cNvGraphicFramePr/>
                <a:graphic xmlns:a="http://schemas.openxmlformats.org/drawingml/2006/main">
                  <a:graphicData uri="http://schemas.microsoft.com/office/word/2010/wordprocessingShape">
                    <wps:wsp>
                      <wps:cNvCnPr>
                        <a:cxnSpLocks noChangeShapeType="1"/>
                      </wps:cNvCnPr>
                      <wps:spPr bwMode="auto">
                        <a:xfrm flipH="1">
                          <a:off x="0" y="0"/>
                          <a:ext cx="839470" cy="362585"/>
                        </a:xfrm>
                        <a:prstGeom prst="straightConnector1">
                          <a:avLst/>
                        </a:prstGeom>
                        <a:noFill/>
                        <a:ln>
                          <a:noFill/>
                        </a:ln>
                        <a:effectLst/>
                      </wps:spPr>
                      <wps:bodyPr/>
                    </wps:wsp>
                  </a:graphicData>
                </a:graphic>
              </wp:anchor>
            </w:drawing>
          </mc:Choice>
          <mc:Fallback>
            <w:pict>
              <v:shape id="_x0000_s1026" o:spid="_x0000_s1026" o:spt="32" type="#_x0000_t32" style="position:absolute;left:0pt;flip:x;margin-left:132.25pt;margin-top:19.3pt;height:28.55pt;width:66.1pt;z-index:251662336;mso-width-relative:page;mso-height-relative:page;" filled="f" stroked="f" coordsize="21600,21600" o:gfxdata="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OXhvdcAAAAJ&#10;AQAADwAAAAAAAAABACAAAAAiAAAAZHJzL2Rvd25yZXYueG1sUEsBAhQAFAAAAAgAh07iQKoCn3Pk&#10;AQAAoAMAAA4AAAAAAAAAAQAgAAAAJgEAAGRycy9lMm9Eb2MueG1sUEsFBgAAAAAGAAYAWQEAAHwF&#10;AAAAAA==&#10;">
                <v:fill on="f" focussize="0,0"/>
                <v:stroke on="f"/>
                <v:imagedata o:title=""/>
                <o:lock v:ext="edit" aspectratio="f"/>
              </v:shape>
            </w:pict>
          </mc:Fallback>
        </mc:AlternateContent>
      </w:r>
    </w:p>
    <w:p w14:paraId="1C0FBBDF">
      <w:pPr>
        <w:tabs>
          <w:tab w:val="left" w:pos="1185"/>
        </w:tabs>
        <w:spacing w:line="240" w:lineRule="auto"/>
        <w:ind w:firstLine="241" w:firstLineChars="100"/>
        <w:rPr>
          <w:b/>
          <w:color w:val="auto"/>
        </w:rPr>
      </w:pPr>
      <w:r>
        <w:rPr>
          <w:b/>
          <w:color w:val="auto"/>
        </w:rPr>
        <w:t>O标准分区</w:t>
      </w:r>
    </w:p>
    <w:p w14:paraId="62ADBBA6">
      <w:pPr>
        <w:tabs>
          <w:tab w:val="left" w:pos="1185"/>
        </w:tabs>
        <w:spacing w:line="240" w:lineRule="auto"/>
        <w:ind w:firstLine="241" w:firstLineChars="100"/>
        <w:rPr>
          <w:b/>
          <w:color w:val="auto"/>
        </w:rPr>
      </w:pPr>
      <w:r>
        <w:rPr>
          <w:b/>
          <w:color w:val="auto"/>
        </w:rPr>
        <w:t>（部分）控规</w:t>
      </w:r>
      <w:r>
        <w:rPr>
          <w:color w:val="auto"/>
        </w:rPr>
        <mc:AlternateContent>
          <mc:Choice Requires="wps">
            <w:drawing>
              <wp:anchor distT="0" distB="0" distL="114300" distR="114300" simplePos="0" relativeHeight="251663360" behindDoc="0" locked="0" layoutInCell="1" allowOverlap="1">
                <wp:simplePos x="0" y="0"/>
                <wp:positionH relativeFrom="column">
                  <wp:posOffset>1698625</wp:posOffset>
                </wp:positionH>
                <wp:positionV relativeFrom="paragraph">
                  <wp:posOffset>233045</wp:posOffset>
                </wp:positionV>
                <wp:extent cx="1001395" cy="504825"/>
                <wp:effectExtent l="0" t="0" r="0" b="0"/>
                <wp:wrapNone/>
                <wp:docPr id="21" name="直接箭头连接符 21"/>
                <wp:cNvGraphicFramePr/>
                <a:graphic xmlns:a="http://schemas.openxmlformats.org/drawingml/2006/main">
                  <a:graphicData uri="http://schemas.microsoft.com/office/word/2010/wordprocessingShape">
                    <wps:wsp>
                      <wps:cNvCnPr>
                        <a:cxnSpLocks noChangeShapeType="1"/>
                      </wps:cNvCnPr>
                      <wps:spPr bwMode="auto">
                        <a:xfrm flipH="1" flipV="1">
                          <a:off x="0" y="0"/>
                          <a:ext cx="1001395" cy="504825"/>
                        </a:xfrm>
                        <a:prstGeom prst="straightConnector1">
                          <a:avLst/>
                        </a:prstGeom>
                        <a:noFill/>
                        <a:ln>
                          <a:noFill/>
                        </a:ln>
                        <a:effectLst/>
                      </wps:spPr>
                      <wps:bodyPr/>
                    </wps:wsp>
                  </a:graphicData>
                </a:graphic>
              </wp:anchor>
            </w:drawing>
          </mc:Choice>
          <mc:Fallback>
            <w:pict>
              <v:shape id="_x0000_s1026" o:spid="_x0000_s1026" o:spt="32" type="#_x0000_t32" style="position:absolute;left:0pt;flip:x y;margin-left:133.75pt;margin-top:18.35pt;height:39.75pt;width:78.85pt;z-index:251663360;mso-width-relative:page;mso-height-relative:page;" filled="f" stroked="f" coordsize="21600,21600" o:gfxdata="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vBKjNsAAAAKAQAADwAAAAAAAAABACAAAAAiAAAAZHJzL2Rvd25yZXYueG1sUEsBAhQAFAAAAAgA&#10;h07iQLkyXkPpAQAAqwMAAA4AAAAAAAAAAQAgAAAAKgEAAGRycy9lMm9Eb2MueG1sUEsFBgAAAAAG&#10;AAYAWQEAAIUFAAAAAA==&#10;">
                <v:fill on="f" focussize="0,0"/>
                <v:stroke on="f"/>
                <v:imagedata o:title=""/>
                <o:lock v:ext="edit" aspectratio="f"/>
              </v:shape>
            </w:pict>
          </mc:Fallback>
        </mc:AlternateContent>
      </w:r>
      <w:r>
        <w:rPr>
          <w:b/>
          <w:color w:val="auto"/>
        </w:rPr>
        <w:t xml:space="preserve">                                                                                                      </w:t>
      </w:r>
    </w:p>
    <w:p w14:paraId="575A43BF">
      <w:pPr>
        <w:tabs>
          <w:tab w:val="left" w:pos="1185"/>
        </w:tabs>
        <w:spacing w:line="240" w:lineRule="auto"/>
        <w:ind w:firstLine="482"/>
        <w:rPr>
          <w:b/>
          <w:color w:val="auto"/>
        </w:rPr>
      </w:pPr>
      <w:r>
        <w:rPr>
          <w:b/>
          <w:color w:val="auto"/>
        </w:rPr>
        <w:t xml:space="preserve">                                                                                             L标准分区</w:t>
      </w:r>
    </w:p>
    <w:p w14:paraId="6E7A2486">
      <w:pPr>
        <w:tabs>
          <w:tab w:val="left" w:pos="1185"/>
        </w:tabs>
        <w:spacing w:line="240" w:lineRule="auto"/>
        <w:ind w:firstLine="11213" w:firstLineChars="4654"/>
        <w:rPr>
          <w:b/>
          <w:color w:val="auto"/>
        </w:rPr>
      </w:pPr>
      <w:r>
        <w:rPr>
          <w:b/>
          <w:color w:val="auto"/>
        </w:rPr>
        <w:t xml:space="preserve">控制性规划                                                                                                                                                                                </w:t>
      </w:r>
    </w:p>
    <w:p w14:paraId="2A36F90C">
      <w:pPr>
        <w:tabs>
          <w:tab w:val="left" w:pos="1185"/>
        </w:tabs>
        <w:spacing w:line="240" w:lineRule="auto"/>
        <w:ind w:firstLine="482"/>
        <w:rPr>
          <w:b/>
          <w:color w:val="auto"/>
        </w:rPr>
      </w:pPr>
      <w:r>
        <w:rPr>
          <w:b/>
          <w:color w:val="auto"/>
        </w:rPr>
        <w:t xml:space="preserve">                                                                                                                                                                                   </w:t>
      </w:r>
    </w:p>
    <w:p w14:paraId="130CD936">
      <w:pPr>
        <w:ind w:firstLine="1424" w:firstLineChars="591"/>
        <w:rPr>
          <w:color w:val="auto"/>
        </w:rPr>
      </w:pPr>
      <w:r>
        <w:rPr>
          <w:b/>
          <w:color w:val="auto"/>
        </w:rPr>
        <w:t>图1.1-1            区域评价范围与西彭组团O标准分区、L标准分区控规结合图</w:t>
      </w:r>
    </w:p>
    <w:p w14:paraId="61BC6629">
      <w:pPr>
        <w:ind w:firstLine="480"/>
        <w:rPr>
          <w:color w:val="auto"/>
        </w:rPr>
        <w:sectPr>
          <w:pgSz w:w="16838" w:h="11905" w:orient="landscape"/>
          <w:pgMar w:top="1587" w:right="1417" w:bottom="1417" w:left="1417" w:header="850" w:footer="992" w:gutter="0"/>
          <w:cols w:space="0" w:num="1"/>
          <w:docGrid w:type="lines" w:linePitch="333" w:charSpace="0"/>
        </w:sectPr>
      </w:pPr>
    </w:p>
    <w:p w14:paraId="23071B97">
      <w:pPr>
        <w:ind w:firstLine="480"/>
        <w:rPr>
          <w:b/>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5255260</wp:posOffset>
                </wp:positionH>
                <wp:positionV relativeFrom="paragraph">
                  <wp:posOffset>-85725</wp:posOffset>
                </wp:positionV>
                <wp:extent cx="688340" cy="558165"/>
                <wp:effectExtent l="36830" t="9525" r="17780" b="670560"/>
                <wp:wrapNone/>
                <wp:docPr id="52" name="椭圆形标注 52"/>
                <wp:cNvGraphicFramePr/>
                <a:graphic xmlns:a="http://schemas.openxmlformats.org/drawingml/2006/main">
                  <a:graphicData uri="http://schemas.microsoft.com/office/word/2010/wordprocessingShape">
                    <wps:wsp>
                      <wps:cNvSpPr/>
                      <wps:spPr>
                        <a:xfrm>
                          <a:off x="0" y="0"/>
                          <a:ext cx="688340" cy="558165"/>
                        </a:xfrm>
                        <a:prstGeom prst="wedgeEllipseCallout">
                          <a:avLst>
                            <a:gd name="adj1" fmla="val -50921"/>
                            <a:gd name="adj2" fmla="val 156597"/>
                          </a:avLst>
                        </a:prstGeom>
                        <a:solidFill>
                          <a:srgbClr val="FF0000"/>
                        </a:solidFill>
                        <a:ln w="19050" cap="flat" cmpd="sng">
                          <a:solidFill>
                            <a:srgbClr val="00B050"/>
                          </a:solidFill>
                          <a:prstDash val="solid"/>
                          <a:miter/>
                          <a:headEnd type="none" w="med" len="med"/>
                          <a:tailEnd type="none" w="med" len="med"/>
                        </a:ln>
                      </wps:spPr>
                      <wps:txbx>
                        <w:txbxContent>
                          <w:p w14:paraId="3A852A96">
                            <w:pPr>
                              <w:ind w:firstLine="0" w:firstLineChars="0"/>
                              <w:rPr>
                                <w:sz w:val="28"/>
                                <w:szCs w:val="28"/>
                              </w:rPr>
                            </w:pPr>
                            <w:r>
                              <w:rPr>
                                <w:rFonts w:hint="eastAsia"/>
                                <w:sz w:val="28"/>
                                <w:szCs w:val="28"/>
                              </w:rPr>
                              <w:t>A区</w:t>
                            </w:r>
                          </w:p>
                        </w:txbxContent>
                      </wps:txbx>
                      <wps:bodyPr upright="1"/>
                    </wps:wsp>
                  </a:graphicData>
                </a:graphic>
              </wp:anchor>
            </w:drawing>
          </mc:Choice>
          <mc:Fallback>
            <w:pict>
              <v:shape id="_x0000_s1026" o:spid="_x0000_s1026" o:spt="63" type="#_x0000_t63" style="position:absolute;left:0pt;margin-left:413.8pt;margin-top:-6.75pt;height:43.95pt;width:54.2pt;z-index:251674624;mso-width-relative:page;mso-height-relative:page;" fillcolor="#FF0000" filled="t" stroked="t" coordsize="21600,21600" o:gfxdata="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1HYNDaAAAACgEAAA8AAAAAAAAA&#10;AQAgAAAAIgAAAGRycy9kb3ducmV2LnhtbFBLAQIUABQAAAAIAIdO4kApeyouSAIAAJYEAAAOAAAA&#10;AAAAAAEAIAAAACkBAABkcnMvZTJvRG9jLnhtbFBLBQYAAAAABgAGAFkBAADjBQAAAAA=&#10;" adj="-199,44625">
                <v:fill on="t" focussize="0,0"/>
                <v:stroke weight="1.5pt" color="#00B050" joinstyle="miter"/>
                <v:imagedata o:title=""/>
                <o:lock v:ext="edit" aspectratio="f"/>
                <v:textbox>
                  <w:txbxContent>
                    <w:p w14:paraId="3A852A96">
                      <w:pPr>
                        <w:ind w:firstLine="0" w:firstLineChars="0"/>
                        <w:rPr>
                          <w:sz w:val="28"/>
                          <w:szCs w:val="28"/>
                        </w:rPr>
                      </w:pPr>
                      <w:r>
                        <w:rPr>
                          <w:rFonts w:hint="eastAsia"/>
                          <w:sz w:val="28"/>
                          <w:szCs w:val="28"/>
                        </w:rPr>
                        <w:t>A区</w:t>
                      </w:r>
                    </w:p>
                  </w:txbxContent>
                </v:textbox>
              </v:shape>
            </w:pict>
          </mc:Fallback>
        </mc:AlternateContent>
      </w:r>
      <w:r>
        <w:rPr>
          <w:color w:val="auto"/>
        </w:rPr>
        <w:drawing>
          <wp:anchor distT="0" distB="0" distL="114300" distR="114300" simplePos="0" relativeHeight="251673600" behindDoc="0" locked="0" layoutInCell="1" allowOverlap="1">
            <wp:simplePos x="0" y="0"/>
            <wp:positionH relativeFrom="column">
              <wp:posOffset>1608455</wp:posOffset>
            </wp:positionH>
            <wp:positionV relativeFrom="paragraph">
              <wp:posOffset>-173355</wp:posOffset>
            </wp:positionV>
            <wp:extent cx="4479290" cy="5201920"/>
            <wp:effectExtent l="9525" t="9525" r="26035" b="27305"/>
            <wp:wrapNone/>
            <wp:docPr id="51" name="图片 1" descr="说明: D:\1精佳工作内容2019.9\10九龙坡区域水保2020.8.4\8二期（A、B区）\附图1-1--重庆九龙园园区区位关系图 布局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说明: D:\1精佳工作内容2019.9\10九龙坡区域水保2020.8.4\8二期（A、B区）\附图1-1--重庆九龙园园区区位关系图 布局1 (1).jpg"/>
                    <pic:cNvPicPr>
                      <a:picLocks noChangeAspect="1"/>
                    </pic:cNvPicPr>
                  </pic:nvPicPr>
                  <pic:blipFill>
                    <a:blip r:embed="rId16"/>
                    <a:stretch>
                      <a:fillRect/>
                    </a:stretch>
                  </pic:blipFill>
                  <pic:spPr>
                    <a:xfrm>
                      <a:off x="0" y="0"/>
                      <a:ext cx="4479290" cy="5201920"/>
                    </a:xfrm>
                    <a:prstGeom prst="rect">
                      <a:avLst/>
                    </a:prstGeom>
                    <a:noFill/>
                    <a:ln w="3175" cap="flat" cmpd="sng">
                      <a:solidFill>
                        <a:srgbClr val="000000"/>
                      </a:solidFill>
                      <a:prstDash val="solid"/>
                      <a:miter/>
                      <a:headEnd type="none" w="med" len="med"/>
                      <a:tailEnd type="none" w="med" len="med"/>
                    </a:ln>
                  </pic:spPr>
                </pic:pic>
              </a:graphicData>
            </a:graphic>
          </wp:anchor>
        </w:drawing>
      </w:r>
    </w:p>
    <w:p w14:paraId="207E635A">
      <w:pPr>
        <w:tabs>
          <w:tab w:val="left" w:pos="1185"/>
        </w:tabs>
        <w:spacing w:line="240" w:lineRule="auto"/>
        <w:ind w:firstLine="480"/>
        <w:rPr>
          <w:b/>
          <w:color w:val="auto"/>
        </w:rPr>
      </w:pPr>
      <w:r>
        <w:rPr>
          <w:color w:val="auto"/>
        </w:rPr>
        <mc:AlternateContent>
          <mc:Choice Requires="wps">
            <w:drawing>
              <wp:anchor distT="0" distB="0" distL="114300" distR="114300" simplePos="0" relativeHeight="251675648" behindDoc="0" locked="0" layoutInCell="1" allowOverlap="1">
                <wp:simplePos x="0" y="0"/>
                <wp:positionH relativeFrom="column">
                  <wp:posOffset>3495040</wp:posOffset>
                </wp:positionH>
                <wp:positionV relativeFrom="paragraph">
                  <wp:posOffset>76835</wp:posOffset>
                </wp:positionV>
                <wp:extent cx="687705" cy="644525"/>
                <wp:effectExtent l="9525" t="9525" r="521970" b="508000"/>
                <wp:wrapNone/>
                <wp:docPr id="50" name="椭圆形标注 50"/>
                <wp:cNvGraphicFramePr/>
                <a:graphic xmlns:a="http://schemas.openxmlformats.org/drawingml/2006/main">
                  <a:graphicData uri="http://schemas.microsoft.com/office/word/2010/wordprocessingShape">
                    <wps:wsp>
                      <wps:cNvSpPr/>
                      <wps:spPr>
                        <a:xfrm>
                          <a:off x="0" y="0"/>
                          <a:ext cx="687705" cy="644525"/>
                        </a:xfrm>
                        <a:prstGeom prst="wedgeEllipseCallout">
                          <a:avLst>
                            <a:gd name="adj1" fmla="val 115468"/>
                            <a:gd name="adj2" fmla="val 118176"/>
                          </a:avLst>
                        </a:prstGeom>
                        <a:solidFill>
                          <a:srgbClr val="C209C7"/>
                        </a:solidFill>
                        <a:ln w="19050" cap="flat" cmpd="sng">
                          <a:solidFill>
                            <a:srgbClr val="00B050"/>
                          </a:solidFill>
                          <a:prstDash val="solid"/>
                          <a:miter/>
                          <a:headEnd type="none" w="med" len="med"/>
                          <a:tailEnd type="none" w="med" len="med"/>
                        </a:ln>
                      </wps:spPr>
                      <wps:txbx>
                        <w:txbxContent>
                          <w:p w14:paraId="39660481">
                            <w:pPr>
                              <w:spacing w:line="360" w:lineRule="auto"/>
                              <w:ind w:firstLine="0" w:firstLineChars="0"/>
                              <w:rPr>
                                <w:sz w:val="28"/>
                                <w:szCs w:val="28"/>
                              </w:rPr>
                            </w:pPr>
                            <w:r>
                              <w:rPr>
                                <w:rFonts w:hint="eastAsia"/>
                                <w:sz w:val="28"/>
                                <w:szCs w:val="28"/>
                              </w:rPr>
                              <w:t>B区区</w:t>
                            </w:r>
                          </w:p>
                        </w:txbxContent>
                      </wps:txbx>
                      <wps:bodyPr upright="1"/>
                    </wps:wsp>
                  </a:graphicData>
                </a:graphic>
              </wp:anchor>
            </w:drawing>
          </mc:Choice>
          <mc:Fallback>
            <w:pict>
              <v:shape id="_x0000_s1026" o:spid="_x0000_s1026" o:spt="63" type="#_x0000_t63" style="position:absolute;left:0pt;margin-left:275.2pt;margin-top:6.05pt;height:50.75pt;width:54.15pt;z-index:251675648;mso-width-relative:page;mso-height-relative:page;" fillcolor="#C209C7" filled="t" stroked="t" coordsize="21600,21600" o:gfxdata="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Fu65tkAAAAKAQAADwAAAAAAAAAB&#10;ACAAAAAiAAAAZHJzL2Rvd25yZXYueG1sUEsBAhQAFAAAAAgAh07iQBBNREZIAgAAlgQAAA4AAAAA&#10;AAAAAQAgAAAAKAEAAGRycy9lMm9Eb2MueG1sUEsFBgAAAAAGAAYAWQEAAOIFAAAAAA==&#10;" adj="35741,36326">
                <v:fill on="t" focussize="0,0"/>
                <v:stroke weight="1.5pt" color="#00B050" joinstyle="miter"/>
                <v:imagedata o:title=""/>
                <o:lock v:ext="edit" aspectratio="f"/>
                <v:textbox>
                  <w:txbxContent>
                    <w:p w14:paraId="39660481">
                      <w:pPr>
                        <w:spacing w:line="360" w:lineRule="auto"/>
                        <w:ind w:firstLine="0" w:firstLineChars="0"/>
                        <w:rPr>
                          <w:sz w:val="28"/>
                          <w:szCs w:val="28"/>
                        </w:rPr>
                      </w:pPr>
                      <w:r>
                        <w:rPr>
                          <w:rFonts w:hint="eastAsia"/>
                          <w:sz w:val="28"/>
                          <w:szCs w:val="28"/>
                        </w:rPr>
                        <w:t>B区区</w:t>
                      </w:r>
                    </w:p>
                  </w:txbxContent>
                </v:textbox>
              </v:shape>
            </w:pict>
          </mc:Fallback>
        </mc:AlternateContent>
      </w:r>
      <w:r>
        <w:rPr>
          <w:color w:val="auto"/>
        </w:rPr>
        <mc:AlternateContent>
          <mc:Choice Requires="wps">
            <w:drawing>
              <wp:anchor distT="0" distB="0" distL="114300" distR="114300" simplePos="0" relativeHeight="251679744" behindDoc="0" locked="0" layoutInCell="1" allowOverlap="1">
                <wp:simplePos x="0" y="0"/>
                <wp:positionH relativeFrom="column">
                  <wp:posOffset>6351905</wp:posOffset>
                </wp:positionH>
                <wp:positionV relativeFrom="paragraph">
                  <wp:posOffset>76835</wp:posOffset>
                </wp:positionV>
                <wp:extent cx="2360930" cy="762635"/>
                <wp:effectExtent l="4445" t="4445" r="15875" b="13970"/>
                <wp:wrapNone/>
                <wp:docPr id="49" name="文本框 49"/>
                <wp:cNvGraphicFramePr/>
                <a:graphic xmlns:a="http://schemas.openxmlformats.org/drawingml/2006/main">
                  <a:graphicData uri="http://schemas.microsoft.com/office/word/2010/wordprocessingShape">
                    <wps:wsp>
                      <wps:cNvSpPr txBox="1"/>
                      <wps:spPr>
                        <a:xfrm>
                          <a:off x="0" y="0"/>
                          <a:ext cx="2360930" cy="762635"/>
                        </a:xfrm>
                        <a:prstGeom prst="rect">
                          <a:avLst/>
                        </a:prstGeom>
                        <a:noFill/>
                        <a:ln w="3175" cap="flat" cmpd="sng">
                          <a:solidFill>
                            <a:srgbClr val="000000"/>
                          </a:solidFill>
                          <a:prstDash val="solid"/>
                          <a:miter/>
                          <a:headEnd type="none" w="med" len="med"/>
                          <a:tailEnd type="none" w="med" len="med"/>
                        </a:ln>
                      </wps:spPr>
                      <wps:txbx>
                        <w:txbxContent>
                          <w:p w14:paraId="1EF9D8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A区涉及1个规划：</w:t>
                            </w:r>
                          </w:p>
                          <w:p w14:paraId="1226F6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A区控制性详细规划（调整）</w:t>
                            </w:r>
                          </w:p>
                        </w:txbxContent>
                      </wps:txbx>
                      <wps:bodyPr upright="1"/>
                    </wps:wsp>
                  </a:graphicData>
                </a:graphic>
              </wp:anchor>
            </w:drawing>
          </mc:Choice>
          <mc:Fallback>
            <w:pict>
              <v:shape id="_x0000_s1026" o:spid="_x0000_s1026" o:spt="202" type="#_x0000_t202" style="position:absolute;left:0pt;margin-left:500.15pt;margin-top:6.05pt;height:60.05pt;width:185.9pt;z-index:251679744;mso-width-relative:page;mso-height-relative:page;" filled="f" stroked="t" coordsize="21600,21600" o:gfxdata="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Cz2NYAAAAMAQAADwAAAAAAAAABACAAAAAiAAAAZHJz&#10;L2Rvd25yZXYueG1sUEsBAhQAFAAAAAgAh07iQHLXjTkGAgAADwQAAA4AAAAAAAAAAQAgAAAAJQEA&#10;AGRycy9lMm9Eb2MueG1sUEsFBgAAAAAGAAYAWQEAAJ0FAAAAAA==&#10;">
                <v:fill on="f" focussize="0,0"/>
                <v:stroke weight="0.25pt" color="#000000" joinstyle="miter"/>
                <v:imagedata o:title=""/>
                <o:lock v:ext="edit" aspectratio="f"/>
                <v:textbox>
                  <w:txbxContent>
                    <w:p w14:paraId="1EF9D8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A区涉及1个规划：</w:t>
                      </w:r>
                    </w:p>
                    <w:p w14:paraId="1226F6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A区控制性详细规划（调整）</w:t>
                      </w:r>
                    </w:p>
                  </w:txbxContent>
                </v:textbox>
              </v:shape>
            </w:pict>
          </mc:Fallback>
        </mc:AlternateContent>
      </w:r>
    </w:p>
    <w:p w14:paraId="218E8BF0">
      <w:pPr>
        <w:ind w:firstLine="482"/>
        <w:rPr>
          <w:b/>
          <w:color w:val="auto"/>
        </w:rPr>
      </w:pPr>
    </w:p>
    <w:p w14:paraId="0D982F61">
      <w:pPr>
        <w:ind w:firstLine="480"/>
        <w:rPr>
          <w:b/>
          <w:color w:val="auto"/>
        </w:rPr>
      </w:pPr>
      <w:r>
        <w:rPr>
          <w:color w:val="auto"/>
        </w:rPr>
        <mc:AlternateContent>
          <mc:Choice Requires="wps">
            <w:drawing>
              <wp:anchor distT="0" distB="0" distL="114300" distR="114300" simplePos="0" relativeHeight="251677696" behindDoc="0" locked="0" layoutInCell="1" allowOverlap="1">
                <wp:simplePos x="0" y="0"/>
                <wp:positionH relativeFrom="column">
                  <wp:posOffset>5112385</wp:posOffset>
                </wp:positionH>
                <wp:positionV relativeFrom="paragraph">
                  <wp:posOffset>-2540</wp:posOffset>
                </wp:positionV>
                <wp:extent cx="1263650" cy="157480"/>
                <wp:effectExtent l="0" t="64135" r="12700" b="26035"/>
                <wp:wrapSquare wrapText="bothSides"/>
                <wp:docPr id="48" name="肘形连接符 48"/>
                <wp:cNvGraphicFramePr/>
                <a:graphic xmlns:a="http://schemas.openxmlformats.org/drawingml/2006/main">
                  <a:graphicData uri="http://schemas.microsoft.com/office/word/2010/wordprocessingShape">
                    <wps:wsp>
                      <wps:cNvCnPr/>
                      <wps:spPr>
                        <a:xfrm flipV="1">
                          <a:off x="0" y="0"/>
                          <a:ext cx="1263650" cy="157480"/>
                        </a:xfrm>
                        <a:prstGeom prst="bentConnector3">
                          <a:avLst>
                            <a:gd name="adj1" fmla="val 39296"/>
                          </a:avLst>
                        </a:prstGeom>
                        <a:ln w="28575" cap="flat" cmpd="sng">
                          <a:solidFill>
                            <a:srgbClr val="00B0F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402.55pt;margin-top:-0.2pt;height:12.4pt;width:99.5pt;mso-wrap-distance-bottom:0pt;mso-wrap-distance-left:9pt;mso-wrap-distance-right:9pt;mso-wrap-distance-top:0pt;z-index:251677696;mso-width-relative:page;mso-height-relative:page;" filled="f" stroked="t" coordsize="21600,21600" o:gfxdata="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4rT6zVAAAACQEAAA8AAAAAAAAAAQAgAAAAIgAAAGRycy9kb3ducmV2LnhtbFBLAQIUABQA&#10;AAAIAIdO4kAPuzvkLAIAACwEAAAOAAAAAAAAAAEAIAAAACQBAABkcnMvZTJvRG9jLnhtbFBLBQYA&#10;AAAABgAGAFkBAADCBQAAAAA=&#10;" adj="8488">
                <v:fill on="f" focussize="0,0"/>
                <v:stroke weight="2.25pt" color="#00B0F0" joinstyle="miter" endarrow="open"/>
                <v:imagedata o:title=""/>
                <o:lock v:ext="edit" aspectratio="f"/>
                <w10:wrap type="square"/>
              </v:shape>
            </w:pict>
          </mc:Fallback>
        </mc:AlternateContent>
      </w:r>
    </w:p>
    <w:p w14:paraId="4DB74CC9">
      <w:pPr>
        <w:ind w:firstLine="480"/>
        <w:rPr>
          <w:b/>
          <w:color w:val="auto"/>
        </w:rPr>
      </w:pPr>
      <w:r>
        <w:rPr>
          <w:color w:val="auto"/>
        </w:rPr>
        <mc:AlternateContent>
          <mc:Choice Requires="wps">
            <w:drawing>
              <wp:anchor distT="0" distB="0" distL="114300" distR="114300" simplePos="0" relativeHeight="251680768" behindDoc="0" locked="0" layoutInCell="1" allowOverlap="1">
                <wp:simplePos x="0" y="0"/>
                <wp:positionH relativeFrom="column">
                  <wp:posOffset>6356985</wp:posOffset>
                </wp:positionH>
                <wp:positionV relativeFrom="paragraph">
                  <wp:posOffset>78105</wp:posOffset>
                </wp:positionV>
                <wp:extent cx="2355850" cy="3689350"/>
                <wp:effectExtent l="5080" t="4445" r="20320" b="20955"/>
                <wp:wrapNone/>
                <wp:docPr id="47" name="文本框 47"/>
                <wp:cNvGraphicFramePr/>
                <a:graphic xmlns:a="http://schemas.openxmlformats.org/drawingml/2006/main">
                  <a:graphicData uri="http://schemas.microsoft.com/office/word/2010/wordprocessingShape">
                    <wps:wsp>
                      <wps:cNvSpPr txBox="1"/>
                      <wps:spPr>
                        <a:xfrm>
                          <a:off x="0" y="0"/>
                          <a:ext cx="2355850" cy="3689350"/>
                        </a:xfrm>
                        <a:prstGeom prst="rect">
                          <a:avLst/>
                        </a:prstGeom>
                        <a:noFill/>
                        <a:ln w="3175" cap="flat" cmpd="sng">
                          <a:solidFill>
                            <a:srgbClr val="000000"/>
                          </a:solidFill>
                          <a:prstDash val="solid"/>
                          <a:miter/>
                          <a:headEnd type="none" w="med" len="med"/>
                          <a:tailEnd type="none" w="med" len="med"/>
                        </a:ln>
                      </wps:spPr>
                      <wps:txbx>
                        <w:txbxContent>
                          <w:p w14:paraId="4B086A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B区涉及</w:t>
                            </w:r>
                            <w:r>
                              <w:rPr>
                                <w:rFonts w:hint="eastAsia"/>
                                <w:b/>
                                <w:color w:val="000000" w:themeColor="text1"/>
                                <w14:textFill>
                                  <w14:solidFill>
                                    <w14:schemeClr w14:val="tx1"/>
                                  </w14:solidFill>
                                </w14:textFill>
                              </w:rPr>
                              <w:t>9个</w:t>
                            </w:r>
                            <w:r>
                              <w:rPr>
                                <w:rFonts w:hint="eastAsia"/>
                                <w:color w:val="000000" w:themeColor="text1"/>
                                <w14:textFill>
                                  <w14:solidFill>
                                    <w14:schemeClr w14:val="tx1"/>
                                  </w14:solidFill>
                                </w14:textFill>
                              </w:rPr>
                              <w:t>规划：</w:t>
                            </w:r>
                          </w:p>
                          <w:p w14:paraId="75EA83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中梁山组团D标准分区；</w:t>
                            </w:r>
                          </w:p>
                          <w:p w14:paraId="1AA2E0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中梁山组团E标准分区；</w:t>
                            </w:r>
                          </w:p>
                          <w:p w14:paraId="12006E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中梁山组团F标准分区；</w:t>
                            </w:r>
                          </w:p>
                          <w:p w14:paraId="082F88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中梁山组团G标准分区；</w:t>
                            </w:r>
                          </w:p>
                          <w:p w14:paraId="11FED7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中梁山组团H标准分区；</w:t>
                            </w:r>
                          </w:p>
                          <w:p w14:paraId="6DACE8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中梁山组团J标准分区；</w:t>
                            </w:r>
                          </w:p>
                          <w:p w14:paraId="276EC6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大渡口D标准分区；</w:t>
                            </w:r>
                          </w:p>
                          <w:p w14:paraId="3B2E3A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大渡口组团I标准分区；</w:t>
                            </w:r>
                          </w:p>
                          <w:p w14:paraId="22FB419D">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中梁山组团IKL标准分区及大渡口组团KO标准分区。</w:t>
                            </w:r>
                          </w:p>
                        </w:txbxContent>
                      </wps:txbx>
                      <wps:bodyPr upright="1"/>
                    </wps:wsp>
                  </a:graphicData>
                </a:graphic>
              </wp:anchor>
            </w:drawing>
          </mc:Choice>
          <mc:Fallback>
            <w:pict>
              <v:shape id="_x0000_s1026" o:spid="_x0000_s1026" o:spt="202" type="#_x0000_t202" style="position:absolute;left:0pt;margin-left:500.55pt;margin-top:6.15pt;height:290.5pt;width:185.5pt;z-index:251680768;mso-width-relative:page;mso-height-relative:page;" filled="f" stroked="t" coordsize="21600,21600" o:gfxdata="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&#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wSuh2AAAAAwBAAAPAAAAAAAAAAEAIAAAACIAAABk&#10;cnMvZG93bnJldi54bWxQSwECFAAUAAAACACHTuJAwIo9QQYCAAAQBAAADgAAAAAAAAABACAAAAAn&#10;AQAAZHJzL2Uyb0RvYy54bWxQSwUGAAAAAAYABgBZAQAAnwUAAAAA&#10;">
                <v:fill on="f" focussize="0,0"/>
                <v:stroke weight="0.25pt" color="#000000" joinstyle="miter"/>
                <v:imagedata o:title=""/>
                <o:lock v:ext="edit" aspectratio="f"/>
                <v:textbox>
                  <w:txbxContent>
                    <w:p w14:paraId="4B086A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B区涉及</w:t>
                      </w:r>
                      <w:r>
                        <w:rPr>
                          <w:rFonts w:hint="eastAsia"/>
                          <w:b/>
                          <w:color w:val="000000" w:themeColor="text1"/>
                          <w14:textFill>
                            <w14:solidFill>
                              <w14:schemeClr w14:val="tx1"/>
                            </w14:solidFill>
                          </w14:textFill>
                        </w:rPr>
                        <w:t>9个</w:t>
                      </w:r>
                      <w:r>
                        <w:rPr>
                          <w:rFonts w:hint="eastAsia"/>
                          <w:color w:val="000000" w:themeColor="text1"/>
                          <w14:textFill>
                            <w14:solidFill>
                              <w14:schemeClr w14:val="tx1"/>
                            </w14:solidFill>
                          </w14:textFill>
                        </w:rPr>
                        <w:t>规划：</w:t>
                      </w:r>
                    </w:p>
                    <w:p w14:paraId="75EA83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中梁山组团D标准分区；</w:t>
                      </w:r>
                    </w:p>
                    <w:p w14:paraId="1AA2E0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中梁山组团E标准分区；</w:t>
                      </w:r>
                    </w:p>
                    <w:p w14:paraId="12006E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中梁山组团F标准分区；</w:t>
                      </w:r>
                    </w:p>
                    <w:p w14:paraId="082F88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中梁山组团G标准分区；</w:t>
                      </w:r>
                    </w:p>
                    <w:p w14:paraId="11FED7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中梁山组团H标准分区；</w:t>
                      </w:r>
                    </w:p>
                    <w:p w14:paraId="6DACE8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中梁山组团J标准分区；</w:t>
                      </w:r>
                    </w:p>
                    <w:p w14:paraId="276EC6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大渡口D标准分区；</w:t>
                      </w:r>
                    </w:p>
                    <w:p w14:paraId="3B2E3A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大渡口组团I标准分区；</w:t>
                      </w:r>
                    </w:p>
                    <w:p w14:paraId="22FB419D">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中梁山组团IKL标准分区及大渡口组团KO标准分区。</w:t>
                      </w:r>
                    </w:p>
                  </w:txbxContent>
                </v:textbox>
              </v:shape>
            </w:pict>
          </mc:Fallback>
        </mc:AlternateContent>
      </w:r>
    </w:p>
    <w:p w14:paraId="42A8D756">
      <w:pPr>
        <w:ind w:firstLine="480"/>
        <w:rPr>
          <w:b/>
          <w:color w:val="auto"/>
        </w:rPr>
      </w:pPr>
      <w:r>
        <w:rPr>
          <w:color w:val="auto"/>
        </w:rPr>
        <mc:AlternateContent>
          <mc:Choice Requires="wps">
            <w:drawing>
              <wp:anchor distT="0" distB="0" distL="114300" distR="114300" simplePos="0" relativeHeight="251678720" behindDoc="0" locked="0" layoutInCell="1" allowOverlap="1">
                <wp:simplePos x="0" y="0"/>
                <wp:positionH relativeFrom="column">
                  <wp:posOffset>4679315</wp:posOffset>
                </wp:positionH>
                <wp:positionV relativeFrom="paragraph">
                  <wp:posOffset>60960</wp:posOffset>
                </wp:positionV>
                <wp:extent cx="1671955" cy="151130"/>
                <wp:effectExtent l="0" t="64135" r="4445" b="32385"/>
                <wp:wrapSquare wrapText="bothSides"/>
                <wp:docPr id="44" name="肘形连接符 44"/>
                <wp:cNvGraphicFramePr/>
                <a:graphic xmlns:a="http://schemas.openxmlformats.org/drawingml/2006/main">
                  <a:graphicData uri="http://schemas.microsoft.com/office/word/2010/wordprocessingShape">
                    <wps:wsp>
                      <wps:cNvCnPr/>
                      <wps:spPr>
                        <a:xfrm flipV="1">
                          <a:off x="0" y="0"/>
                          <a:ext cx="1671955" cy="151130"/>
                        </a:xfrm>
                        <a:prstGeom prst="bentConnector3">
                          <a:avLst>
                            <a:gd name="adj1" fmla="val 49981"/>
                          </a:avLst>
                        </a:prstGeom>
                        <a:ln w="28575" cap="flat" cmpd="sng">
                          <a:solidFill>
                            <a:srgbClr val="00B0F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368.45pt;margin-top:4.8pt;height:11.9pt;width:131.65pt;mso-wrap-distance-bottom:0pt;mso-wrap-distance-left:9pt;mso-wrap-distance-right:9pt;mso-wrap-distance-top:0pt;z-index:251678720;mso-width-relative:page;mso-height-relative:page;" filled="f" stroked="t" coordsize="21600,21600" o:gfxdata="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vu5Q9gAAAAJAQAADwAAAAAAAAABACAAAAAiAAAAZHJzL2Rvd25yZXYueG1sUEsBAhQA&#10;FAAAAAgAh07iQNHtNVsrAgAALAQAAA4AAAAAAAAAAQAgAAAAJwEAAGRycy9lMm9Eb2MueG1sUEsF&#10;BgAAAAAGAAYAWQEAAMQFAAAAAA==&#10;" adj="10796">
                <v:fill on="f" focussize="0,0"/>
                <v:stroke weight="2.25pt" color="#00B0F0" joinstyle="miter" endarrow="open"/>
                <v:imagedata o:title=""/>
                <o:lock v:ext="edit" aspectratio="f"/>
                <w10:wrap type="square"/>
              </v:shape>
            </w:pict>
          </mc:Fallback>
        </mc:AlternateContent>
      </w:r>
    </w:p>
    <w:p w14:paraId="356E7DCB">
      <w:pPr>
        <w:ind w:firstLine="480"/>
        <w:rPr>
          <w:b/>
          <w:color w:val="auto"/>
        </w:rPr>
      </w:pPr>
      <w:r>
        <w:rPr>
          <w:color w:val="auto"/>
        </w:rPr>
        <mc:AlternateContent>
          <mc:Choice Requires="wps">
            <w:drawing>
              <wp:anchor distT="0" distB="0" distL="114300" distR="114300" simplePos="0" relativeHeight="251676672" behindDoc="0" locked="0" layoutInCell="1" allowOverlap="1">
                <wp:simplePos x="0" y="0"/>
                <wp:positionH relativeFrom="column">
                  <wp:posOffset>1452880</wp:posOffset>
                </wp:positionH>
                <wp:positionV relativeFrom="paragraph">
                  <wp:posOffset>218440</wp:posOffset>
                </wp:positionV>
                <wp:extent cx="687070" cy="643890"/>
                <wp:effectExtent l="5715" t="13970" r="316865" b="504190"/>
                <wp:wrapNone/>
                <wp:docPr id="41" name="椭圆形标注 41"/>
                <wp:cNvGraphicFramePr/>
                <a:graphic xmlns:a="http://schemas.openxmlformats.org/drawingml/2006/main">
                  <a:graphicData uri="http://schemas.microsoft.com/office/word/2010/wordprocessingShape">
                    <wps:wsp>
                      <wps:cNvSpPr/>
                      <wps:spPr>
                        <a:xfrm rot="-1548913">
                          <a:off x="0" y="0"/>
                          <a:ext cx="687070" cy="643890"/>
                        </a:xfrm>
                        <a:prstGeom prst="wedgeEllipseCallout">
                          <a:avLst>
                            <a:gd name="adj1" fmla="val 31676"/>
                            <a:gd name="adj2" fmla="val 145472"/>
                          </a:avLst>
                        </a:prstGeom>
                        <a:solidFill>
                          <a:srgbClr val="66FF33"/>
                        </a:solidFill>
                        <a:ln w="19050" cap="flat" cmpd="sng">
                          <a:solidFill>
                            <a:srgbClr val="FF0000"/>
                          </a:solidFill>
                          <a:prstDash val="solid"/>
                          <a:miter/>
                          <a:headEnd type="none" w="med" len="med"/>
                          <a:tailEnd type="none" w="med" len="med"/>
                        </a:ln>
                      </wps:spPr>
                      <wps:txbx>
                        <w:txbxContent>
                          <w:p w14:paraId="60920D10">
                            <w:pPr>
                              <w:spacing w:line="240" w:lineRule="auto"/>
                              <w:ind w:firstLine="0" w:firstLineChars="0"/>
                              <w:rPr>
                                <w:sz w:val="28"/>
                                <w:szCs w:val="28"/>
                              </w:rPr>
                            </w:pPr>
                            <w:r>
                              <w:rPr>
                                <w:rFonts w:hint="eastAsia"/>
                                <w:sz w:val="28"/>
                                <w:szCs w:val="28"/>
                              </w:rPr>
                              <w:t>C</w:t>
                            </w:r>
                          </w:p>
                        </w:txbxContent>
                      </wps:txbx>
                      <wps:bodyPr upright="1"/>
                    </wps:wsp>
                  </a:graphicData>
                </a:graphic>
              </wp:anchor>
            </w:drawing>
          </mc:Choice>
          <mc:Fallback>
            <w:pict>
              <v:shape id="_x0000_s1026" o:spid="_x0000_s1026" o:spt="63" type="#_x0000_t63" style="position:absolute;left:0pt;margin-left:114.4pt;margin-top:17.2pt;height:50.7pt;width:54.1pt;rotation:-1691826f;z-index:251676672;mso-width-relative:page;mso-height-relative:page;" fillcolor="#66FF33" filled="t" stroked="t" coordsize="21600,21600" o:gfxdata="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r5qwd2QAAAAoBAAAP&#10;AAAAAAAAAAEAIAAAACIAAABkcnMvZG93bnJldi54bWxQSwECFAAUAAAACACHTuJAdzq3w1ACAACk&#10;BAAADgAAAAAAAAABACAAAAAoAQAAZHJzL2Uyb0RvYy54bWxQSwUGAAAAAAYABgBZAQAA6gUAAAAA&#10;" adj="17642,42222">
                <v:fill on="t" focussize="0,0"/>
                <v:stroke weight="1.5pt" color="#FF0000" joinstyle="miter"/>
                <v:imagedata o:title=""/>
                <o:lock v:ext="edit" aspectratio="f"/>
                <v:textbox>
                  <w:txbxContent>
                    <w:p w14:paraId="60920D10">
                      <w:pPr>
                        <w:spacing w:line="240" w:lineRule="auto"/>
                        <w:ind w:firstLine="0" w:firstLineChars="0"/>
                        <w:rPr>
                          <w:sz w:val="28"/>
                          <w:szCs w:val="28"/>
                        </w:rPr>
                      </w:pPr>
                      <w:r>
                        <w:rPr>
                          <w:rFonts w:hint="eastAsia"/>
                          <w:sz w:val="28"/>
                          <w:szCs w:val="28"/>
                        </w:rPr>
                        <w:t>C</w:t>
                      </w:r>
                    </w:p>
                  </w:txbxContent>
                </v:textbox>
              </v:shape>
            </w:pict>
          </mc:Fallback>
        </mc:AlternateContent>
      </w:r>
      <w:r>
        <w:rPr>
          <w:b/>
          <w:color w:val="auto"/>
        </w:rPr>
        <w:t xml:space="preserve">                    </w:t>
      </w:r>
    </w:p>
    <w:p w14:paraId="5060E941">
      <w:pPr>
        <w:ind w:firstLine="482"/>
        <w:rPr>
          <w:b/>
          <w:color w:val="auto"/>
        </w:rPr>
      </w:pPr>
    </w:p>
    <w:p w14:paraId="6821E796">
      <w:pPr>
        <w:ind w:firstLine="482"/>
        <w:rPr>
          <w:b/>
          <w:color w:val="auto"/>
        </w:rPr>
      </w:pPr>
    </w:p>
    <w:p w14:paraId="75DD8127">
      <w:pPr>
        <w:ind w:firstLine="482"/>
        <w:rPr>
          <w:b/>
          <w:color w:val="auto"/>
        </w:rPr>
      </w:pPr>
    </w:p>
    <w:p w14:paraId="4E57C452">
      <w:pPr>
        <w:ind w:firstLine="482"/>
        <w:rPr>
          <w:b/>
          <w:color w:val="auto"/>
        </w:rPr>
      </w:pPr>
    </w:p>
    <w:p w14:paraId="380F4637">
      <w:pPr>
        <w:ind w:firstLine="482"/>
        <w:rPr>
          <w:b/>
          <w:color w:val="auto"/>
        </w:rPr>
      </w:pPr>
    </w:p>
    <w:p w14:paraId="17FDBC96">
      <w:pPr>
        <w:ind w:firstLine="482"/>
        <w:rPr>
          <w:b/>
          <w:color w:val="auto"/>
        </w:rPr>
      </w:pPr>
    </w:p>
    <w:p w14:paraId="4194446C">
      <w:pPr>
        <w:ind w:firstLine="480"/>
        <w:rPr>
          <w:b/>
          <w:color w:val="auto"/>
        </w:rPr>
      </w:pPr>
      <w:r>
        <w:rPr>
          <w:color w:val="auto"/>
        </w:rPr>
        <mc:AlternateContent>
          <mc:Choice Requires="wps">
            <w:drawing>
              <wp:anchor distT="0" distB="0" distL="114300" distR="114300" simplePos="0" relativeHeight="251671552" behindDoc="0" locked="0" layoutInCell="1" allowOverlap="1">
                <wp:simplePos x="0" y="0"/>
                <wp:positionH relativeFrom="column">
                  <wp:posOffset>1679575</wp:posOffset>
                </wp:positionH>
                <wp:positionV relativeFrom="paragraph">
                  <wp:posOffset>245110</wp:posOffset>
                </wp:positionV>
                <wp:extent cx="839470" cy="362585"/>
                <wp:effectExtent l="0" t="0" r="0" b="0"/>
                <wp:wrapNone/>
                <wp:docPr id="38" name="直接箭头连接符 38"/>
                <wp:cNvGraphicFramePr/>
                <a:graphic xmlns:a="http://schemas.openxmlformats.org/drawingml/2006/main">
                  <a:graphicData uri="http://schemas.microsoft.com/office/word/2010/wordprocessingShape">
                    <wps:wsp>
                      <wps:cNvCnPr>
                        <a:cxnSpLocks noChangeShapeType="1"/>
                      </wps:cNvCnPr>
                      <wps:spPr bwMode="auto">
                        <a:xfrm flipH="1">
                          <a:off x="0" y="0"/>
                          <a:ext cx="839470" cy="362585"/>
                        </a:xfrm>
                        <a:prstGeom prst="straightConnector1">
                          <a:avLst/>
                        </a:prstGeom>
                        <a:noFill/>
                        <a:ln>
                          <a:noFill/>
                        </a:ln>
                        <a:effectLst/>
                      </wps:spPr>
                      <wps:bodyPr/>
                    </wps:wsp>
                  </a:graphicData>
                </a:graphic>
              </wp:anchor>
            </w:drawing>
          </mc:Choice>
          <mc:Fallback>
            <w:pict>
              <v:shape id="_x0000_s1026" o:spid="_x0000_s1026" o:spt="32" type="#_x0000_t32" style="position:absolute;left:0pt;flip:x;margin-left:132.25pt;margin-top:19.3pt;height:28.55pt;width:66.1pt;z-index:251671552;mso-width-relative:page;mso-height-relative:page;" filled="f" stroked="f" coordsize="21600,21600" o:gfxdata="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OXhvdcAAAAJ&#10;AQAADwAAAAAAAAABACAAAAAiAAAAZHJzL2Rvd25yZXYueG1sUEsBAhQAFAAAAAgAh07iQCPt0lnk&#10;AQAAoAMAAA4AAAAAAAAAAQAgAAAAJgEAAGRycy9lMm9Eb2MueG1sUEsFBgAAAAAGAAYAWQEAAHwF&#10;AAAAAA==&#10;">
                <v:fill on="f" focussize="0,0"/>
                <v:stroke on="f"/>
                <v:imagedata o:title=""/>
                <o:lock v:ext="edit" aspectratio="f"/>
              </v:shape>
            </w:pict>
          </mc:Fallback>
        </mc:AlternateContent>
      </w:r>
    </w:p>
    <w:p w14:paraId="3ABD5E4C">
      <w:pPr>
        <w:tabs>
          <w:tab w:val="left" w:pos="1185"/>
        </w:tabs>
        <w:spacing w:line="240" w:lineRule="auto"/>
        <w:ind w:firstLine="240" w:firstLineChars="100"/>
        <w:rPr>
          <w:b/>
          <w:color w:val="auto"/>
        </w:rPr>
      </w:pPr>
      <w:r>
        <w:rPr>
          <w:color w:val="auto"/>
        </w:rPr>
        <mc:AlternateContent>
          <mc:Choice Requires="wps">
            <w:drawing>
              <wp:anchor distT="0" distB="0" distL="114300" distR="114300" simplePos="0" relativeHeight="251672576" behindDoc="0" locked="0" layoutInCell="1" allowOverlap="1">
                <wp:simplePos x="0" y="0"/>
                <wp:positionH relativeFrom="column">
                  <wp:posOffset>1698625</wp:posOffset>
                </wp:positionH>
                <wp:positionV relativeFrom="paragraph">
                  <wp:posOffset>233045</wp:posOffset>
                </wp:positionV>
                <wp:extent cx="1001395" cy="504825"/>
                <wp:effectExtent l="0" t="0" r="0" b="0"/>
                <wp:wrapNone/>
                <wp:docPr id="37" name="直接箭头连接符 37"/>
                <wp:cNvGraphicFramePr/>
                <a:graphic xmlns:a="http://schemas.openxmlformats.org/drawingml/2006/main">
                  <a:graphicData uri="http://schemas.microsoft.com/office/word/2010/wordprocessingShape">
                    <wps:wsp>
                      <wps:cNvCnPr>
                        <a:cxnSpLocks noChangeShapeType="1"/>
                      </wps:cNvCnPr>
                      <wps:spPr bwMode="auto">
                        <a:xfrm flipH="1" flipV="1">
                          <a:off x="0" y="0"/>
                          <a:ext cx="1001395" cy="504825"/>
                        </a:xfrm>
                        <a:prstGeom prst="straightConnector1">
                          <a:avLst/>
                        </a:prstGeom>
                        <a:noFill/>
                        <a:ln>
                          <a:noFill/>
                        </a:ln>
                        <a:effectLst/>
                      </wps:spPr>
                      <wps:bodyPr/>
                    </wps:wsp>
                  </a:graphicData>
                </a:graphic>
              </wp:anchor>
            </w:drawing>
          </mc:Choice>
          <mc:Fallback>
            <w:pict>
              <v:shape id="_x0000_s1026" o:spid="_x0000_s1026" o:spt="32" type="#_x0000_t32" style="position:absolute;left:0pt;flip:x y;margin-left:133.75pt;margin-top:18.35pt;height:39.75pt;width:78.85pt;z-index:251672576;mso-width-relative:page;mso-height-relative:page;" filled="f" stroked="f" coordsize="21600,21600" o:gfxdata="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8EqM2wAAAAoBAAAPAAAAAAAAAAEAIAAAACIAAABkcnMvZG93bnJldi54bWxQSwECFAAUAAAACACH&#10;TuJAhgW2G+gBAACrAwAADgAAAAAAAAABACAAAAAqAQAAZHJzL2Uyb0RvYy54bWxQSwUGAAAAAAYA&#10;BgBZAQAAhAUAAAAA&#10;">
                <v:fill on="f" focussize="0,0"/>
                <v:stroke on="f"/>
                <v:imagedata o:title=""/>
                <o:lock v:ext="edit" aspectratio="f"/>
              </v:shape>
            </w:pict>
          </mc:Fallback>
        </mc:AlternateContent>
      </w:r>
      <w:r>
        <w:rPr>
          <w:b/>
          <w:color w:val="auto"/>
        </w:rPr>
        <w:t xml:space="preserve">                                                                                                      </w:t>
      </w:r>
    </w:p>
    <w:p w14:paraId="2FE9B123">
      <w:pPr>
        <w:tabs>
          <w:tab w:val="left" w:pos="1185"/>
        </w:tabs>
        <w:spacing w:line="240" w:lineRule="auto"/>
        <w:ind w:firstLine="482"/>
        <w:rPr>
          <w:b/>
          <w:color w:val="auto"/>
        </w:rPr>
      </w:pPr>
      <w:r>
        <w:rPr>
          <w:b/>
          <w:color w:val="auto"/>
        </w:rPr>
        <w:t xml:space="preserve">                                                                                            </w:t>
      </w:r>
    </w:p>
    <w:p w14:paraId="522D76C3">
      <w:pPr>
        <w:tabs>
          <w:tab w:val="left" w:pos="1185"/>
        </w:tabs>
        <w:spacing w:line="240" w:lineRule="auto"/>
        <w:ind w:firstLine="11213" w:firstLineChars="4654"/>
        <w:rPr>
          <w:b/>
          <w:color w:val="auto"/>
        </w:rPr>
      </w:pPr>
      <w:r>
        <w:rPr>
          <w:b/>
          <w:color w:val="auto"/>
        </w:rPr>
        <w:t xml:space="preserve">                                                                                                                                                                                                                                             </w:t>
      </w:r>
    </w:p>
    <w:p w14:paraId="367B9B2C">
      <w:pPr>
        <w:ind w:firstLine="1424" w:firstLineChars="591"/>
        <w:rPr>
          <w:color w:val="auto"/>
        </w:rPr>
      </w:pPr>
      <w:r>
        <w:rPr>
          <w:b/>
          <w:color w:val="auto"/>
        </w:rPr>
        <w:t>图2.1-1                         重庆九龙工业园区（A、B区）控规整合图</w:t>
      </w:r>
    </w:p>
    <w:p w14:paraId="7E2459BF">
      <w:pPr>
        <w:ind w:firstLine="480"/>
        <w:rPr>
          <w:color w:val="auto"/>
        </w:rPr>
        <w:sectPr>
          <w:pgSz w:w="16838" w:h="11905" w:orient="landscape"/>
          <w:pgMar w:top="1587" w:right="1417" w:bottom="1417" w:left="1417" w:header="850" w:footer="992" w:gutter="0"/>
          <w:cols w:space="0" w:num="1"/>
          <w:docGrid w:type="lines" w:linePitch="333" w:charSpace="0"/>
        </w:sectPr>
      </w:pPr>
    </w:p>
    <w:p w14:paraId="068EF303">
      <w:pPr>
        <w:pStyle w:val="6"/>
        <w:numPr>
          <w:ilvl w:val="3"/>
          <w:numId w:val="0"/>
        </w:numPr>
        <w:rPr>
          <w:color w:val="auto"/>
        </w:rPr>
      </w:pPr>
      <w:r>
        <w:rPr>
          <w:color w:val="auto"/>
        </w:rPr>
        <w:t>2.1.2.3规划环评及区域水保审批情况</w:t>
      </w:r>
    </w:p>
    <w:p w14:paraId="051FDAE6">
      <w:pPr>
        <w:ind w:firstLine="480"/>
        <w:rPr>
          <w:color w:val="auto"/>
        </w:rPr>
      </w:pPr>
      <w:r>
        <w:rPr>
          <w:color w:val="auto"/>
        </w:rPr>
        <w:t>2017年12月7日，重庆市九龙工业园区B区规划环境影响报告书取得了重庆市环保局下达的审查函（渝环函〔2017〕995号）。</w:t>
      </w:r>
    </w:p>
    <w:p w14:paraId="10AB94B6">
      <w:pPr>
        <w:ind w:firstLine="480"/>
        <w:rPr>
          <w:color w:val="auto"/>
        </w:rPr>
      </w:pPr>
      <w:r>
        <w:rPr>
          <w:color w:val="auto"/>
        </w:rPr>
        <w:t>2017年12月29日，重庆市九龙园工业区C区规划环境影响报告书取得了重庆市环保局下达的审查函（渝环函〔2017〕1130号）。</w:t>
      </w:r>
    </w:p>
    <w:p w14:paraId="7909DBB8">
      <w:pPr>
        <w:ind w:firstLine="480"/>
        <w:rPr>
          <w:color w:val="auto"/>
        </w:rPr>
      </w:pPr>
      <w:r>
        <w:rPr>
          <w:color w:val="auto"/>
        </w:rPr>
        <w:t>2019年6月25日，重庆市九龙工业园区B3区规划（修编）环境影响报告书取得了重庆市环保局下达的审查函（渝环函〔2019〕765号）。</w:t>
      </w:r>
    </w:p>
    <w:p w14:paraId="3B2EDA20">
      <w:pPr>
        <w:ind w:firstLine="480"/>
        <w:rPr>
          <w:color w:val="auto"/>
        </w:rPr>
      </w:pPr>
      <w:r>
        <w:rPr>
          <w:color w:val="auto"/>
        </w:rPr>
        <w:t>2020年7月9日，重庆市九龙园工业区C区规划补充环境影响报告书取得了重庆市环保局下达的审查函（渝环函〔2020〕464号）。</w:t>
      </w:r>
    </w:p>
    <w:p w14:paraId="1399DED8">
      <w:pPr>
        <w:topLinePunct/>
        <w:ind w:firstLine="480"/>
        <w:rPr>
          <w:color w:val="auto"/>
          <w:szCs w:val="28"/>
        </w:rPr>
      </w:pPr>
      <w:r>
        <w:rPr>
          <w:color w:val="auto"/>
          <w:szCs w:val="28"/>
        </w:rPr>
        <w:t>2020年12月26日，重庆市水利局下达了《关于重庆九龙工业园区（西彭组团O、L标准分区部分）区域水土保持方案准予行政许可的决定》（渝水许可〔2020〕92号）的文件。</w:t>
      </w:r>
    </w:p>
    <w:p w14:paraId="2862651A">
      <w:pPr>
        <w:topLinePunct/>
        <w:ind w:firstLine="480"/>
        <w:rPr>
          <w:color w:val="auto"/>
          <w:szCs w:val="28"/>
        </w:rPr>
      </w:pPr>
      <w:r>
        <w:rPr>
          <w:color w:val="auto"/>
          <w:szCs w:val="28"/>
        </w:rPr>
        <w:t>2021年5月21日，重庆市水利局下达了《关于重庆九龙工业园区（A区、B区）区域水土保持方案准予行政许可的决定》（渝水许可〔2021〕42号）的文件。</w:t>
      </w:r>
    </w:p>
    <w:p w14:paraId="5A8A4A9F">
      <w:pPr>
        <w:pStyle w:val="4"/>
        <w:numPr>
          <w:ilvl w:val="1"/>
          <w:numId w:val="0"/>
        </w:numPr>
        <w:spacing w:before="166" w:after="166"/>
        <w:rPr>
          <w:color w:val="auto"/>
        </w:rPr>
      </w:pPr>
      <w:bookmarkStart w:id="18" w:name="_Toc2333"/>
      <w:bookmarkStart w:id="19" w:name="_Toc31356"/>
      <w:r>
        <w:rPr>
          <w:color w:val="auto"/>
        </w:rPr>
        <w:t>2.2区域基本情况</w:t>
      </w:r>
      <w:bookmarkEnd w:id="18"/>
      <w:bookmarkEnd w:id="19"/>
    </w:p>
    <w:p w14:paraId="41FA07A7">
      <w:pPr>
        <w:pStyle w:val="5"/>
        <w:numPr>
          <w:ilvl w:val="0"/>
          <w:numId w:val="0"/>
        </w:numPr>
        <w:spacing w:before="166" w:after="166"/>
        <w:rPr>
          <w:color w:val="auto"/>
        </w:rPr>
      </w:pPr>
      <w:r>
        <w:rPr>
          <w:color w:val="auto"/>
        </w:rPr>
        <w:t>2.2.1 地理位置</w:t>
      </w:r>
    </w:p>
    <w:p w14:paraId="3727B02B">
      <w:pPr>
        <w:topLinePunct/>
        <w:ind w:firstLine="480"/>
        <w:rPr>
          <w:color w:val="auto"/>
        </w:rPr>
      </w:pPr>
      <w:r>
        <w:rPr>
          <w:color w:val="auto"/>
        </w:rPr>
        <w:t>重庆九龙工业园区（A、B、C区）地理坐标为东经106°20′49″～106°22′07″，北纬29°19′30″～29°23′50″，规划总面积2116.08hm</w:t>
      </w:r>
      <w:r>
        <w:rPr>
          <w:color w:val="auto"/>
          <w:vertAlign w:val="superscript"/>
        </w:rPr>
        <w:t>2</w:t>
      </w:r>
      <w:r>
        <w:rPr>
          <w:color w:val="auto"/>
        </w:rPr>
        <w:t>。</w:t>
      </w:r>
    </w:p>
    <w:p w14:paraId="4C2C67D8">
      <w:pPr>
        <w:topLinePunct/>
        <w:ind w:firstLine="480"/>
        <w:rPr>
          <w:color w:val="auto"/>
        </w:rPr>
      </w:pPr>
      <w:r>
        <w:rPr>
          <w:color w:val="auto"/>
        </w:rPr>
        <w:t>A区位于九龙坡区九龙街道，涵盖巴国城、彩云湖、盘龙、盘龙新城4个区域，包括彩云湖公园以南，兴龙路以北，314县道以西的地域，规划总面积421.06hm</w:t>
      </w:r>
      <w:r>
        <w:rPr>
          <w:color w:val="auto"/>
          <w:vertAlign w:val="superscript"/>
        </w:rPr>
        <w:t>2</w:t>
      </w:r>
      <w:r>
        <w:rPr>
          <w:color w:val="auto"/>
        </w:rPr>
        <w:t>。</w:t>
      </w:r>
    </w:p>
    <w:p w14:paraId="75322C08">
      <w:pPr>
        <w:ind w:firstLine="480"/>
        <w:rPr>
          <w:color w:val="auto"/>
        </w:rPr>
      </w:pPr>
      <w:r>
        <w:rPr>
          <w:color w:val="auto"/>
        </w:rPr>
        <w:t>B区位于九龙坡区中梁山街道和华岩镇境内，包括9个规划分区的部分用地，其中：中梁山组团D标准分区、中梁山组团E标准分区、中梁山组团F标准分区、中梁山组团G标准分区、中梁山组团H标准分区、中梁山组团J标准分区、大渡口D标准分区、大渡口组团I标准分区8个规划用地位于中梁山街道的华岩新村、华龙家园、田坝村和华岩镇的康苑、华福家园、福苑、华福雅苑共计7个社区的用地范围内；中梁山组团IKL标准分区及大渡口组团KO标准分区，位于华岩镇的石龙村、西铁村和西站村用地范围内，B区规划总面积897.92hm</w:t>
      </w:r>
      <w:r>
        <w:rPr>
          <w:color w:val="auto"/>
          <w:vertAlign w:val="superscript"/>
        </w:rPr>
        <w:t>2</w:t>
      </w:r>
      <w:r>
        <w:rPr>
          <w:color w:val="auto"/>
        </w:rPr>
        <w:t>。</w:t>
      </w:r>
    </w:p>
    <w:p w14:paraId="27BBD40B">
      <w:pPr>
        <w:topLinePunct/>
        <w:ind w:firstLine="480"/>
        <w:rPr>
          <w:color w:val="auto"/>
        </w:rPr>
      </w:pPr>
      <w:r>
        <w:rPr>
          <w:color w:val="auto"/>
        </w:rPr>
        <w:t>C区（O、L标准分区）位于重庆市九龙坡区陶家镇等，其中O标准分区位于陶家镇境内，北靠九龙坡区R标准分区，紧邻三百梯水库，南至九龙坡区J、L标准分区，西接江津双福片区，东抵中梁山，规划总面积约442.25hm</w:t>
      </w:r>
      <w:r>
        <w:rPr>
          <w:color w:val="auto"/>
          <w:vertAlign w:val="superscript"/>
        </w:rPr>
        <w:t>2</w:t>
      </w:r>
      <w:r>
        <w:rPr>
          <w:color w:val="auto"/>
        </w:rPr>
        <w:t>；L标准分区位于陶家镇境内，北接O标准分区，南至马家院子，紧邻大溪河，西临J标准分区，东抵中梁山，规划总面积约354.85hm</w:t>
      </w:r>
      <w:r>
        <w:rPr>
          <w:color w:val="auto"/>
          <w:vertAlign w:val="superscript"/>
        </w:rPr>
        <w:t>2</w:t>
      </w:r>
      <w:r>
        <w:rPr>
          <w:color w:val="auto"/>
        </w:rPr>
        <w:t>。</w:t>
      </w:r>
    </w:p>
    <w:p w14:paraId="1B9FDCB1">
      <w:pPr>
        <w:pStyle w:val="5"/>
        <w:numPr>
          <w:ilvl w:val="0"/>
          <w:numId w:val="0"/>
        </w:numPr>
        <w:spacing w:before="166" w:after="166"/>
        <w:rPr>
          <w:color w:val="auto"/>
        </w:rPr>
      </w:pPr>
      <w:r>
        <w:rPr>
          <w:color w:val="auto"/>
        </w:rPr>
        <w:t>2.2.2功能定位与规模</w:t>
      </w:r>
    </w:p>
    <w:p w14:paraId="3C27D683">
      <w:pPr>
        <w:pStyle w:val="6"/>
        <w:numPr>
          <w:ilvl w:val="3"/>
          <w:numId w:val="0"/>
        </w:numPr>
        <w:rPr>
          <w:color w:val="auto"/>
        </w:rPr>
      </w:pPr>
      <w:r>
        <w:rPr>
          <w:color w:val="auto"/>
        </w:rPr>
        <w:t>2.2.2.1 A区功能定位与规模</w:t>
      </w:r>
    </w:p>
    <w:p w14:paraId="3BBCC052">
      <w:pPr>
        <w:topLinePunct/>
        <w:ind w:firstLine="480"/>
        <w:rPr>
          <w:color w:val="auto"/>
        </w:rPr>
      </w:pPr>
      <w:r>
        <w:rPr>
          <w:color w:val="auto"/>
        </w:rPr>
        <w:t>九龙工业园区（A区）位于九龙坡区九龙镇，该规划区配套完善的，功能定位为以高新技术产业开发为主的综合科技新城。</w:t>
      </w:r>
    </w:p>
    <w:p w14:paraId="3275B688">
      <w:pPr>
        <w:topLinePunct/>
        <w:ind w:firstLine="480"/>
        <w:rPr>
          <w:color w:val="auto"/>
        </w:rPr>
      </w:pPr>
      <w:r>
        <w:rPr>
          <w:color w:val="auto"/>
        </w:rPr>
        <w:t>该区域评价（与规划保持一致）用地面积421.06hm</w:t>
      </w:r>
      <w:r>
        <w:rPr>
          <w:color w:val="auto"/>
          <w:vertAlign w:val="superscript"/>
        </w:rPr>
        <w:t>2</w:t>
      </w:r>
      <w:r>
        <w:rPr>
          <w:color w:val="auto"/>
        </w:rPr>
        <w:t>，规划建设用地403.70hm</w:t>
      </w:r>
      <w:r>
        <w:rPr>
          <w:color w:val="auto"/>
          <w:vertAlign w:val="superscript"/>
        </w:rPr>
        <w:t>2</w:t>
      </w:r>
      <w:r>
        <w:rPr>
          <w:color w:val="auto"/>
        </w:rPr>
        <w:t>，占总用地96%；非建设用地17.36hm</w:t>
      </w:r>
      <w:r>
        <w:rPr>
          <w:color w:val="auto"/>
          <w:vertAlign w:val="superscript"/>
        </w:rPr>
        <w:t>2</w:t>
      </w:r>
      <w:r>
        <w:rPr>
          <w:color w:val="auto"/>
        </w:rPr>
        <w:t>，占总用地4%。</w:t>
      </w:r>
    </w:p>
    <w:p w14:paraId="2D2AEDF8">
      <w:pPr>
        <w:topLinePunct/>
        <w:ind w:firstLine="480"/>
        <w:rPr>
          <w:color w:val="auto"/>
        </w:rPr>
      </w:pPr>
      <w:r>
        <w:rPr>
          <w:color w:val="auto"/>
        </w:rPr>
        <w:t>其中规划建设用地中，居住用地96.24hm</w:t>
      </w:r>
      <w:r>
        <w:rPr>
          <w:color w:val="auto"/>
          <w:vertAlign w:val="superscript"/>
        </w:rPr>
        <w:t>2</w:t>
      </w:r>
      <w:r>
        <w:rPr>
          <w:color w:val="auto"/>
        </w:rPr>
        <w:t>，占建设用地23.84%，工业用地22.62hm</w:t>
      </w:r>
      <w:r>
        <w:rPr>
          <w:color w:val="auto"/>
          <w:vertAlign w:val="superscript"/>
        </w:rPr>
        <w:t>2</w:t>
      </w:r>
      <w:r>
        <w:rPr>
          <w:color w:val="auto"/>
        </w:rPr>
        <w:t>，占建设用地5.60%，公共管理与公共服务设施用地21.18hm</w:t>
      </w:r>
      <w:r>
        <w:rPr>
          <w:color w:val="auto"/>
          <w:vertAlign w:val="superscript"/>
        </w:rPr>
        <w:t>2</w:t>
      </w:r>
      <w:r>
        <w:rPr>
          <w:color w:val="auto"/>
        </w:rPr>
        <w:t>，占建设用地5.25%，商业服务业设施用地89.26hm</w:t>
      </w:r>
      <w:r>
        <w:rPr>
          <w:color w:val="auto"/>
          <w:vertAlign w:val="superscript"/>
        </w:rPr>
        <w:t>2</w:t>
      </w:r>
      <w:r>
        <w:rPr>
          <w:color w:val="auto"/>
        </w:rPr>
        <w:t>，占建设用地22.11%，道路与交通设施用地94.65hm</w:t>
      </w:r>
      <w:r>
        <w:rPr>
          <w:color w:val="auto"/>
          <w:vertAlign w:val="superscript"/>
        </w:rPr>
        <w:t>2</w:t>
      </w:r>
      <w:r>
        <w:rPr>
          <w:color w:val="auto"/>
        </w:rPr>
        <w:t>，占建设用地23.45%；公用设施用地8.14hm</w:t>
      </w:r>
      <w:r>
        <w:rPr>
          <w:color w:val="auto"/>
          <w:vertAlign w:val="superscript"/>
        </w:rPr>
        <w:t>2</w:t>
      </w:r>
      <w:r>
        <w:rPr>
          <w:color w:val="auto"/>
        </w:rPr>
        <w:t>，占建设用地2.02%；绿地与广场用地71.61hm</w:t>
      </w:r>
      <w:r>
        <w:rPr>
          <w:color w:val="auto"/>
          <w:vertAlign w:val="superscript"/>
        </w:rPr>
        <w:t>2</w:t>
      </w:r>
      <w:r>
        <w:rPr>
          <w:color w:val="auto"/>
        </w:rPr>
        <w:t>，占建设用地17.74%；非建设用地均为水域用地，规划面积17.36hm</w:t>
      </w:r>
      <w:r>
        <w:rPr>
          <w:color w:val="auto"/>
          <w:vertAlign w:val="superscript"/>
        </w:rPr>
        <w:t>2</w:t>
      </w:r>
      <w:r>
        <w:rPr>
          <w:color w:val="auto"/>
        </w:rPr>
        <w:t>。</w:t>
      </w:r>
    </w:p>
    <w:p w14:paraId="620BFB11">
      <w:pPr>
        <w:topLinePunct/>
        <w:ind w:firstLine="0" w:firstLineChars="0"/>
        <w:jc w:val="left"/>
        <w:rPr>
          <w:b/>
          <w:bCs/>
          <w:color w:val="auto"/>
          <w:kern w:val="0"/>
          <w:lang w:bidi="en-US"/>
        </w:rPr>
      </w:pPr>
      <w:r>
        <w:rPr>
          <w:b/>
          <w:bCs/>
          <w:color w:val="auto"/>
          <w:kern w:val="0"/>
          <w:lang w:bidi="en-US"/>
        </w:rPr>
        <w:t>表2.2-1              九龙工业园区（A区）技术经济指标</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1"/>
        <w:gridCol w:w="974"/>
        <w:gridCol w:w="2551"/>
        <w:gridCol w:w="1419"/>
        <w:gridCol w:w="1417"/>
        <w:gridCol w:w="1495"/>
      </w:tblGrid>
      <w:tr w14:paraId="5330B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2" w:type="pct"/>
            <w:noWrap/>
            <w:vAlign w:val="center"/>
          </w:tcPr>
          <w:p w14:paraId="7767C069">
            <w:pPr>
              <w:pStyle w:val="44"/>
              <w:rPr>
                <w:color w:val="auto"/>
              </w:rPr>
            </w:pPr>
            <w:r>
              <w:rPr>
                <w:color w:val="auto"/>
              </w:rPr>
              <w:t>序号</w:t>
            </w:r>
          </w:p>
        </w:tc>
        <w:tc>
          <w:tcPr>
            <w:tcW w:w="1933" w:type="pct"/>
            <w:gridSpan w:val="2"/>
            <w:vAlign w:val="center"/>
          </w:tcPr>
          <w:p w14:paraId="4ADFFA95">
            <w:pPr>
              <w:pStyle w:val="44"/>
              <w:rPr>
                <w:color w:val="auto"/>
              </w:rPr>
            </w:pPr>
            <w:r>
              <w:rPr>
                <w:color w:val="auto"/>
              </w:rPr>
              <w:t>用地名称</w:t>
            </w:r>
          </w:p>
        </w:tc>
        <w:tc>
          <w:tcPr>
            <w:tcW w:w="778" w:type="pct"/>
            <w:vAlign w:val="center"/>
          </w:tcPr>
          <w:p w14:paraId="13BA39AF">
            <w:pPr>
              <w:pStyle w:val="44"/>
              <w:rPr>
                <w:color w:val="auto"/>
              </w:rPr>
            </w:pPr>
            <w:r>
              <w:rPr>
                <w:color w:val="auto"/>
              </w:rPr>
              <w:t>用地代码</w:t>
            </w:r>
          </w:p>
        </w:tc>
        <w:tc>
          <w:tcPr>
            <w:tcW w:w="777" w:type="pct"/>
            <w:vAlign w:val="center"/>
          </w:tcPr>
          <w:p w14:paraId="7EF424D2">
            <w:pPr>
              <w:pStyle w:val="44"/>
              <w:rPr>
                <w:color w:val="auto"/>
              </w:rPr>
            </w:pPr>
            <w:r>
              <w:rPr>
                <w:color w:val="auto"/>
              </w:rPr>
              <w:t>面积（公顷）</w:t>
            </w:r>
          </w:p>
        </w:tc>
        <w:tc>
          <w:tcPr>
            <w:tcW w:w="820" w:type="pct"/>
            <w:vAlign w:val="center"/>
          </w:tcPr>
          <w:p w14:paraId="380F648F">
            <w:pPr>
              <w:pStyle w:val="44"/>
              <w:rPr>
                <w:color w:val="auto"/>
              </w:rPr>
            </w:pPr>
            <w:r>
              <w:rPr>
                <w:color w:val="auto"/>
              </w:rPr>
              <w:t>占城市建设用地（%）</w:t>
            </w:r>
          </w:p>
        </w:tc>
      </w:tr>
      <w:tr w14:paraId="2BC0C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4A4873D2">
            <w:pPr>
              <w:pStyle w:val="44"/>
              <w:rPr>
                <w:color w:val="auto"/>
              </w:rPr>
            </w:pPr>
            <w:r>
              <w:rPr>
                <w:color w:val="auto"/>
              </w:rPr>
              <w:t>1</w:t>
            </w:r>
          </w:p>
        </w:tc>
        <w:tc>
          <w:tcPr>
            <w:tcW w:w="1933" w:type="pct"/>
            <w:gridSpan w:val="2"/>
            <w:vAlign w:val="center"/>
          </w:tcPr>
          <w:p w14:paraId="508EE0F9">
            <w:pPr>
              <w:pStyle w:val="44"/>
              <w:rPr>
                <w:color w:val="auto"/>
              </w:rPr>
            </w:pPr>
            <w:r>
              <w:rPr>
                <w:color w:val="auto"/>
              </w:rPr>
              <w:t>居住用地</w:t>
            </w:r>
          </w:p>
        </w:tc>
        <w:tc>
          <w:tcPr>
            <w:tcW w:w="778" w:type="pct"/>
            <w:vAlign w:val="center"/>
          </w:tcPr>
          <w:p w14:paraId="3B578D77">
            <w:pPr>
              <w:pStyle w:val="44"/>
              <w:rPr>
                <w:color w:val="auto"/>
              </w:rPr>
            </w:pPr>
            <w:r>
              <w:rPr>
                <w:color w:val="auto"/>
              </w:rPr>
              <w:t>R</w:t>
            </w:r>
          </w:p>
        </w:tc>
        <w:tc>
          <w:tcPr>
            <w:tcW w:w="777" w:type="pct"/>
            <w:vAlign w:val="center"/>
          </w:tcPr>
          <w:p w14:paraId="64753C12">
            <w:pPr>
              <w:pStyle w:val="44"/>
              <w:rPr>
                <w:color w:val="auto"/>
              </w:rPr>
            </w:pPr>
            <w:r>
              <w:rPr>
                <w:color w:val="auto"/>
              </w:rPr>
              <w:t xml:space="preserve">96.24 </w:t>
            </w:r>
          </w:p>
        </w:tc>
        <w:tc>
          <w:tcPr>
            <w:tcW w:w="820" w:type="pct"/>
            <w:vAlign w:val="center"/>
          </w:tcPr>
          <w:p w14:paraId="348776EA">
            <w:pPr>
              <w:pStyle w:val="44"/>
              <w:rPr>
                <w:color w:val="auto"/>
              </w:rPr>
            </w:pPr>
            <w:r>
              <w:rPr>
                <w:color w:val="auto"/>
              </w:rPr>
              <w:t xml:space="preserve">23.84 </w:t>
            </w:r>
          </w:p>
        </w:tc>
      </w:tr>
      <w:tr w14:paraId="77BD4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607F2B81">
            <w:pPr>
              <w:pStyle w:val="44"/>
              <w:rPr>
                <w:color w:val="auto"/>
              </w:rPr>
            </w:pPr>
          </w:p>
        </w:tc>
        <w:tc>
          <w:tcPr>
            <w:tcW w:w="534" w:type="pct"/>
            <w:vAlign w:val="center"/>
          </w:tcPr>
          <w:p w14:paraId="0193EF60">
            <w:pPr>
              <w:pStyle w:val="44"/>
              <w:rPr>
                <w:color w:val="auto"/>
              </w:rPr>
            </w:pPr>
            <w:r>
              <w:rPr>
                <w:color w:val="auto"/>
              </w:rPr>
              <w:t>其中</w:t>
            </w:r>
          </w:p>
        </w:tc>
        <w:tc>
          <w:tcPr>
            <w:tcW w:w="1399" w:type="pct"/>
            <w:vAlign w:val="center"/>
          </w:tcPr>
          <w:p w14:paraId="0E905723">
            <w:pPr>
              <w:pStyle w:val="44"/>
              <w:rPr>
                <w:color w:val="auto"/>
              </w:rPr>
            </w:pPr>
            <w:r>
              <w:rPr>
                <w:color w:val="auto"/>
              </w:rPr>
              <w:t>二类居住用地</w:t>
            </w:r>
          </w:p>
        </w:tc>
        <w:tc>
          <w:tcPr>
            <w:tcW w:w="778" w:type="pct"/>
            <w:vAlign w:val="center"/>
          </w:tcPr>
          <w:p w14:paraId="52AC13F8">
            <w:pPr>
              <w:pStyle w:val="44"/>
              <w:rPr>
                <w:color w:val="auto"/>
              </w:rPr>
            </w:pPr>
            <w:r>
              <w:rPr>
                <w:color w:val="auto"/>
              </w:rPr>
              <w:t>R2</w:t>
            </w:r>
          </w:p>
        </w:tc>
        <w:tc>
          <w:tcPr>
            <w:tcW w:w="777" w:type="pct"/>
            <w:vAlign w:val="center"/>
          </w:tcPr>
          <w:p w14:paraId="7142215E">
            <w:pPr>
              <w:pStyle w:val="44"/>
              <w:rPr>
                <w:color w:val="auto"/>
              </w:rPr>
            </w:pPr>
            <w:r>
              <w:rPr>
                <w:color w:val="auto"/>
              </w:rPr>
              <w:t xml:space="preserve">96.24 </w:t>
            </w:r>
          </w:p>
        </w:tc>
        <w:tc>
          <w:tcPr>
            <w:tcW w:w="820" w:type="pct"/>
            <w:vAlign w:val="center"/>
          </w:tcPr>
          <w:p w14:paraId="625885AB">
            <w:pPr>
              <w:pStyle w:val="44"/>
              <w:rPr>
                <w:color w:val="auto"/>
              </w:rPr>
            </w:pPr>
            <w:r>
              <w:rPr>
                <w:color w:val="auto"/>
              </w:rPr>
              <w:t>　</w:t>
            </w:r>
          </w:p>
        </w:tc>
      </w:tr>
      <w:tr w14:paraId="7F312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2D780DB2">
            <w:pPr>
              <w:pStyle w:val="44"/>
              <w:rPr>
                <w:color w:val="auto"/>
              </w:rPr>
            </w:pPr>
            <w:r>
              <w:rPr>
                <w:color w:val="auto"/>
              </w:rPr>
              <w:t>2</w:t>
            </w:r>
          </w:p>
        </w:tc>
        <w:tc>
          <w:tcPr>
            <w:tcW w:w="1933" w:type="pct"/>
            <w:gridSpan w:val="2"/>
            <w:noWrap/>
            <w:vAlign w:val="center"/>
          </w:tcPr>
          <w:p w14:paraId="7EBB111A">
            <w:pPr>
              <w:pStyle w:val="44"/>
              <w:rPr>
                <w:color w:val="auto"/>
              </w:rPr>
            </w:pPr>
            <w:r>
              <w:rPr>
                <w:color w:val="auto"/>
              </w:rPr>
              <w:t>工业用地</w:t>
            </w:r>
          </w:p>
        </w:tc>
        <w:tc>
          <w:tcPr>
            <w:tcW w:w="778" w:type="pct"/>
            <w:noWrap/>
            <w:vAlign w:val="center"/>
          </w:tcPr>
          <w:p w14:paraId="4BA37D26">
            <w:pPr>
              <w:pStyle w:val="44"/>
              <w:rPr>
                <w:color w:val="auto"/>
              </w:rPr>
            </w:pPr>
            <w:r>
              <w:rPr>
                <w:color w:val="auto"/>
              </w:rPr>
              <w:t>M</w:t>
            </w:r>
          </w:p>
        </w:tc>
        <w:tc>
          <w:tcPr>
            <w:tcW w:w="777" w:type="pct"/>
            <w:vAlign w:val="center"/>
          </w:tcPr>
          <w:p w14:paraId="5667A42A">
            <w:pPr>
              <w:pStyle w:val="44"/>
              <w:rPr>
                <w:color w:val="auto"/>
              </w:rPr>
            </w:pPr>
            <w:r>
              <w:rPr>
                <w:color w:val="auto"/>
              </w:rPr>
              <w:t>22.62</w:t>
            </w:r>
          </w:p>
        </w:tc>
        <w:tc>
          <w:tcPr>
            <w:tcW w:w="820" w:type="pct"/>
            <w:vAlign w:val="center"/>
          </w:tcPr>
          <w:p w14:paraId="16A61766">
            <w:pPr>
              <w:pStyle w:val="44"/>
              <w:rPr>
                <w:color w:val="auto"/>
              </w:rPr>
            </w:pPr>
            <w:r>
              <w:rPr>
                <w:color w:val="auto"/>
              </w:rPr>
              <w:t xml:space="preserve">5.60 </w:t>
            </w:r>
          </w:p>
        </w:tc>
      </w:tr>
      <w:tr w14:paraId="20546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7ACA15B9">
            <w:pPr>
              <w:pStyle w:val="44"/>
              <w:rPr>
                <w:color w:val="auto"/>
              </w:rPr>
            </w:pPr>
          </w:p>
        </w:tc>
        <w:tc>
          <w:tcPr>
            <w:tcW w:w="534" w:type="pct"/>
            <w:noWrap/>
            <w:vAlign w:val="center"/>
          </w:tcPr>
          <w:p w14:paraId="752F8908">
            <w:pPr>
              <w:pStyle w:val="44"/>
              <w:rPr>
                <w:color w:val="auto"/>
              </w:rPr>
            </w:pPr>
            <w:r>
              <w:rPr>
                <w:color w:val="auto"/>
              </w:rPr>
              <w:t>其中</w:t>
            </w:r>
          </w:p>
        </w:tc>
        <w:tc>
          <w:tcPr>
            <w:tcW w:w="1399" w:type="pct"/>
            <w:noWrap/>
            <w:vAlign w:val="center"/>
          </w:tcPr>
          <w:p w14:paraId="4CB4149C">
            <w:pPr>
              <w:pStyle w:val="44"/>
              <w:rPr>
                <w:color w:val="auto"/>
              </w:rPr>
            </w:pPr>
            <w:r>
              <w:rPr>
                <w:color w:val="auto"/>
              </w:rPr>
              <w:t>一类工业用地</w:t>
            </w:r>
          </w:p>
        </w:tc>
        <w:tc>
          <w:tcPr>
            <w:tcW w:w="778" w:type="pct"/>
            <w:noWrap/>
            <w:vAlign w:val="center"/>
          </w:tcPr>
          <w:p w14:paraId="1066A7A1">
            <w:pPr>
              <w:pStyle w:val="44"/>
              <w:rPr>
                <w:color w:val="auto"/>
              </w:rPr>
            </w:pPr>
            <w:r>
              <w:rPr>
                <w:color w:val="auto"/>
              </w:rPr>
              <w:t>M1</w:t>
            </w:r>
          </w:p>
        </w:tc>
        <w:tc>
          <w:tcPr>
            <w:tcW w:w="777" w:type="pct"/>
            <w:vAlign w:val="center"/>
          </w:tcPr>
          <w:p w14:paraId="3B2CBD22">
            <w:pPr>
              <w:pStyle w:val="44"/>
              <w:rPr>
                <w:color w:val="auto"/>
              </w:rPr>
            </w:pPr>
            <w:r>
              <w:rPr>
                <w:color w:val="auto"/>
              </w:rPr>
              <w:t>22.62</w:t>
            </w:r>
          </w:p>
        </w:tc>
        <w:tc>
          <w:tcPr>
            <w:tcW w:w="820" w:type="pct"/>
            <w:vAlign w:val="center"/>
          </w:tcPr>
          <w:p w14:paraId="597B03B4">
            <w:pPr>
              <w:pStyle w:val="44"/>
              <w:rPr>
                <w:color w:val="auto"/>
              </w:rPr>
            </w:pPr>
            <w:r>
              <w:rPr>
                <w:color w:val="auto"/>
              </w:rPr>
              <w:t>　</w:t>
            </w:r>
          </w:p>
        </w:tc>
      </w:tr>
      <w:tr w14:paraId="180FB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7291E512">
            <w:pPr>
              <w:pStyle w:val="44"/>
              <w:rPr>
                <w:color w:val="auto"/>
              </w:rPr>
            </w:pPr>
            <w:r>
              <w:rPr>
                <w:color w:val="auto"/>
              </w:rPr>
              <w:t>3</w:t>
            </w:r>
          </w:p>
        </w:tc>
        <w:tc>
          <w:tcPr>
            <w:tcW w:w="1933" w:type="pct"/>
            <w:gridSpan w:val="2"/>
            <w:noWrap/>
            <w:vAlign w:val="center"/>
          </w:tcPr>
          <w:p w14:paraId="293A97A5">
            <w:pPr>
              <w:pStyle w:val="44"/>
              <w:rPr>
                <w:color w:val="auto"/>
              </w:rPr>
            </w:pPr>
            <w:r>
              <w:rPr>
                <w:color w:val="auto"/>
              </w:rPr>
              <w:t>公共管理与公共服务用地</w:t>
            </w:r>
          </w:p>
        </w:tc>
        <w:tc>
          <w:tcPr>
            <w:tcW w:w="778" w:type="pct"/>
            <w:vAlign w:val="center"/>
          </w:tcPr>
          <w:p w14:paraId="2CAC021F">
            <w:pPr>
              <w:pStyle w:val="44"/>
              <w:rPr>
                <w:color w:val="auto"/>
              </w:rPr>
            </w:pPr>
            <w:r>
              <w:rPr>
                <w:color w:val="auto"/>
              </w:rPr>
              <w:t>A</w:t>
            </w:r>
          </w:p>
        </w:tc>
        <w:tc>
          <w:tcPr>
            <w:tcW w:w="777" w:type="pct"/>
            <w:vAlign w:val="center"/>
          </w:tcPr>
          <w:p w14:paraId="77E83351">
            <w:pPr>
              <w:pStyle w:val="44"/>
              <w:rPr>
                <w:color w:val="auto"/>
              </w:rPr>
            </w:pPr>
            <w:r>
              <w:rPr>
                <w:color w:val="auto"/>
              </w:rPr>
              <w:t xml:space="preserve">21.18 </w:t>
            </w:r>
          </w:p>
        </w:tc>
        <w:tc>
          <w:tcPr>
            <w:tcW w:w="820" w:type="pct"/>
            <w:vAlign w:val="center"/>
          </w:tcPr>
          <w:p w14:paraId="5FFB61C7">
            <w:pPr>
              <w:pStyle w:val="44"/>
              <w:rPr>
                <w:color w:val="auto"/>
              </w:rPr>
            </w:pPr>
            <w:r>
              <w:rPr>
                <w:color w:val="auto"/>
              </w:rPr>
              <w:t xml:space="preserve">5.25 </w:t>
            </w:r>
          </w:p>
        </w:tc>
      </w:tr>
      <w:tr w14:paraId="16037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0A103F19">
            <w:pPr>
              <w:pStyle w:val="44"/>
              <w:rPr>
                <w:color w:val="auto"/>
              </w:rPr>
            </w:pPr>
          </w:p>
        </w:tc>
        <w:tc>
          <w:tcPr>
            <w:tcW w:w="534" w:type="pct"/>
            <w:vMerge w:val="restart"/>
            <w:noWrap/>
            <w:vAlign w:val="center"/>
          </w:tcPr>
          <w:p w14:paraId="1BFEBADF">
            <w:pPr>
              <w:pStyle w:val="44"/>
              <w:rPr>
                <w:color w:val="auto"/>
              </w:rPr>
            </w:pPr>
            <w:r>
              <w:rPr>
                <w:color w:val="auto"/>
              </w:rPr>
              <w:t>其中</w:t>
            </w:r>
          </w:p>
        </w:tc>
        <w:tc>
          <w:tcPr>
            <w:tcW w:w="1399" w:type="pct"/>
            <w:noWrap/>
            <w:vAlign w:val="center"/>
          </w:tcPr>
          <w:p w14:paraId="096A07AF">
            <w:pPr>
              <w:pStyle w:val="44"/>
              <w:rPr>
                <w:color w:val="auto"/>
              </w:rPr>
            </w:pPr>
            <w:r>
              <w:rPr>
                <w:color w:val="auto"/>
              </w:rPr>
              <w:t>行政办公用地</w:t>
            </w:r>
          </w:p>
        </w:tc>
        <w:tc>
          <w:tcPr>
            <w:tcW w:w="778" w:type="pct"/>
            <w:vAlign w:val="center"/>
          </w:tcPr>
          <w:p w14:paraId="16049830">
            <w:pPr>
              <w:pStyle w:val="44"/>
              <w:rPr>
                <w:color w:val="auto"/>
              </w:rPr>
            </w:pPr>
            <w:r>
              <w:rPr>
                <w:color w:val="auto"/>
              </w:rPr>
              <w:t>A1</w:t>
            </w:r>
          </w:p>
        </w:tc>
        <w:tc>
          <w:tcPr>
            <w:tcW w:w="777" w:type="pct"/>
            <w:vAlign w:val="center"/>
          </w:tcPr>
          <w:p w14:paraId="32DA32DE">
            <w:pPr>
              <w:pStyle w:val="44"/>
              <w:rPr>
                <w:color w:val="auto"/>
              </w:rPr>
            </w:pPr>
            <w:r>
              <w:rPr>
                <w:color w:val="auto"/>
              </w:rPr>
              <w:t xml:space="preserve">5.05 </w:t>
            </w:r>
          </w:p>
        </w:tc>
        <w:tc>
          <w:tcPr>
            <w:tcW w:w="820" w:type="pct"/>
            <w:vAlign w:val="center"/>
          </w:tcPr>
          <w:p w14:paraId="171B72FD">
            <w:pPr>
              <w:pStyle w:val="44"/>
              <w:rPr>
                <w:color w:val="auto"/>
              </w:rPr>
            </w:pPr>
            <w:r>
              <w:rPr>
                <w:color w:val="auto"/>
              </w:rPr>
              <w:t>　</w:t>
            </w:r>
          </w:p>
        </w:tc>
      </w:tr>
      <w:tr w14:paraId="3FCD4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08B67570">
            <w:pPr>
              <w:pStyle w:val="44"/>
              <w:rPr>
                <w:color w:val="auto"/>
              </w:rPr>
            </w:pPr>
          </w:p>
        </w:tc>
        <w:tc>
          <w:tcPr>
            <w:tcW w:w="534" w:type="pct"/>
            <w:vMerge w:val="continue"/>
            <w:vAlign w:val="center"/>
          </w:tcPr>
          <w:p w14:paraId="16535B0F">
            <w:pPr>
              <w:pStyle w:val="44"/>
              <w:rPr>
                <w:color w:val="auto"/>
              </w:rPr>
            </w:pPr>
          </w:p>
        </w:tc>
        <w:tc>
          <w:tcPr>
            <w:tcW w:w="1399" w:type="pct"/>
            <w:vAlign w:val="center"/>
          </w:tcPr>
          <w:p w14:paraId="5270E70D">
            <w:pPr>
              <w:pStyle w:val="44"/>
              <w:rPr>
                <w:color w:val="auto"/>
              </w:rPr>
            </w:pPr>
            <w:r>
              <w:rPr>
                <w:color w:val="auto"/>
              </w:rPr>
              <w:t>教育科研用地</w:t>
            </w:r>
          </w:p>
        </w:tc>
        <w:tc>
          <w:tcPr>
            <w:tcW w:w="778" w:type="pct"/>
            <w:vAlign w:val="center"/>
          </w:tcPr>
          <w:p w14:paraId="442CD29A">
            <w:pPr>
              <w:pStyle w:val="44"/>
              <w:rPr>
                <w:color w:val="auto"/>
              </w:rPr>
            </w:pPr>
            <w:r>
              <w:rPr>
                <w:color w:val="auto"/>
              </w:rPr>
              <w:t>A3</w:t>
            </w:r>
          </w:p>
        </w:tc>
        <w:tc>
          <w:tcPr>
            <w:tcW w:w="777" w:type="pct"/>
            <w:vAlign w:val="center"/>
          </w:tcPr>
          <w:p w14:paraId="7667A3B5">
            <w:pPr>
              <w:pStyle w:val="44"/>
              <w:rPr>
                <w:color w:val="auto"/>
              </w:rPr>
            </w:pPr>
            <w:r>
              <w:rPr>
                <w:color w:val="auto"/>
              </w:rPr>
              <w:t xml:space="preserve">4.20 </w:t>
            </w:r>
          </w:p>
        </w:tc>
        <w:tc>
          <w:tcPr>
            <w:tcW w:w="820" w:type="pct"/>
            <w:vAlign w:val="center"/>
          </w:tcPr>
          <w:p w14:paraId="7ED4D2FE">
            <w:pPr>
              <w:pStyle w:val="44"/>
              <w:rPr>
                <w:color w:val="auto"/>
              </w:rPr>
            </w:pPr>
            <w:r>
              <w:rPr>
                <w:color w:val="auto"/>
              </w:rPr>
              <w:t>　</w:t>
            </w:r>
          </w:p>
        </w:tc>
      </w:tr>
      <w:tr w14:paraId="41605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61166A01">
            <w:pPr>
              <w:pStyle w:val="44"/>
              <w:rPr>
                <w:color w:val="auto"/>
              </w:rPr>
            </w:pPr>
          </w:p>
        </w:tc>
        <w:tc>
          <w:tcPr>
            <w:tcW w:w="534" w:type="pct"/>
            <w:vMerge w:val="continue"/>
            <w:vAlign w:val="center"/>
          </w:tcPr>
          <w:p w14:paraId="22E8FFB7">
            <w:pPr>
              <w:pStyle w:val="44"/>
              <w:rPr>
                <w:color w:val="auto"/>
              </w:rPr>
            </w:pPr>
          </w:p>
        </w:tc>
        <w:tc>
          <w:tcPr>
            <w:tcW w:w="1399" w:type="pct"/>
            <w:noWrap/>
            <w:vAlign w:val="center"/>
          </w:tcPr>
          <w:p w14:paraId="4DC8FDB1">
            <w:pPr>
              <w:pStyle w:val="44"/>
              <w:rPr>
                <w:color w:val="auto"/>
              </w:rPr>
            </w:pPr>
            <w:r>
              <w:rPr>
                <w:color w:val="auto"/>
              </w:rPr>
              <w:t>中小学用地</w:t>
            </w:r>
          </w:p>
        </w:tc>
        <w:tc>
          <w:tcPr>
            <w:tcW w:w="778" w:type="pct"/>
            <w:noWrap/>
            <w:vAlign w:val="center"/>
          </w:tcPr>
          <w:p w14:paraId="5F84D350">
            <w:pPr>
              <w:pStyle w:val="44"/>
              <w:rPr>
                <w:color w:val="auto"/>
              </w:rPr>
            </w:pPr>
            <w:r>
              <w:rPr>
                <w:color w:val="auto"/>
              </w:rPr>
              <w:t>A33</w:t>
            </w:r>
          </w:p>
        </w:tc>
        <w:tc>
          <w:tcPr>
            <w:tcW w:w="777" w:type="pct"/>
            <w:vAlign w:val="center"/>
          </w:tcPr>
          <w:p w14:paraId="50D1BF89">
            <w:pPr>
              <w:pStyle w:val="44"/>
              <w:rPr>
                <w:color w:val="auto"/>
              </w:rPr>
            </w:pPr>
            <w:r>
              <w:rPr>
                <w:color w:val="auto"/>
              </w:rPr>
              <w:t xml:space="preserve">9.44 </w:t>
            </w:r>
          </w:p>
        </w:tc>
        <w:tc>
          <w:tcPr>
            <w:tcW w:w="820" w:type="pct"/>
            <w:vAlign w:val="center"/>
          </w:tcPr>
          <w:p w14:paraId="7FD6CDFE">
            <w:pPr>
              <w:pStyle w:val="44"/>
              <w:rPr>
                <w:color w:val="auto"/>
              </w:rPr>
            </w:pPr>
            <w:r>
              <w:rPr>
                <w:color w:val="auto"/>
              </w:rPr>
              <w:t>　</w:t>
            </w:r>
          </w:p>
        </w:tc>
      </w:tr>
      <w:tr w14:paraId="205A9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11C9079C">
            <w:pPr>
              <w:pStyle w:val="44"/>
              <w:rPr>
                <w:color w:val="auto"/>
              </w:rPr>
            </w:pPr>
          </w:p>
        </w:tc>
        <w:tc>
          <w:tcPr>
            <w:tcW w:w="534" w:type="pct"/>
            <w:vMerge w:val="continue"/>
            <w:vAlign w:val="center"/>
          </w:tcPr>
          <w:p w14:paraId="44FC3979">
            <w:pPr>
              <w:pStyle w:val="44"/>
              <w:rPr>
                <w:color w:val="auto"/>
              </w:rPr>
            </w:pPr>
          </w:p>
        </w:tc>
        <w:tc>
          <w:tcPr>
            <w:tcW w:w="1399" w:type="pct"/>
            <w:noWrap/>
            <w:vAlign w:val="center"/>
          </w:tcPr>
          <w:p w14:paraId="1A2FA714">
            <w:pPr>
              <w:pStyle w:val="44"/>
              <w:rPr>
                <w:color w:val="auto"/>
              </w:rPr>
            </w:pPr>
            <w:r>
              <w:rPr>
                <w:color w:val="auto"/>
              </w:rPr>
              <w:t>医疗卫生用地</w:t>
            </w:r>
          </w:p>
        </w:tc>
        <w:tc>
          <w:tcPr>
            <w:tcW w:w="778" w:type="pct"/>
            <w:noWrap/>
            <w:vAlign w:val="center"/>
          </w:tcPr>
          <w:p w14:paraId="3CFD8902">
            <w:pPr>
              <w:pStyle w:val="44"/>
              <w:rPr>
                <w:color w:val="auto"/>
              </w:rPr>
            </w:pPr>
            <w:r>
              <w:rPr>
                <w:color w:val="auto"/>
              </w:rPr>
              <w:t>A5</w:t>
            </w:r>
          </w:p>
        </w:tc>
        <w:tc>
          <w:tcPr>
            <w:tcW w:w="777" w:type="pct"/>
            <w:noWrap/>
            <w:vAlign w:val="center"/>
          </w:tcPr>
          <w:p w14:paraId="5D15AB2A">
            <w:pPr>
              <w:pStyle w:val="44"/>
              <w:rPr>
                <w:color w:val="auto"/>
              </w:rPr>
            </w:pPr>
            <w:r>
              <w:rPr>
                <w:color w:val="auto"/>
              </w:rPr>
              <w:t>2.49</w:t>
            </w:r>
          </w:p>
        </w:tc>
        <w:tc>
          <w:tcPr>
            <w:tcW w:w="820" w:type="pct"/>
            <w:vAlign w:val="center"/>
          </w:tcPr>
          <w:p w14:paraId="57DA0B59">
            <w:pPr>
              <w:pStyle w:val="44"/>
              <w:rPr>
                <w:color w:val="auto"/>
              </w:rPr>
            </w:pPr>
            <w:r>
              <w:rPr>
                <w:color w:val="auto"/>
              </w:rPr>
              <w:t>　</w:t>
            </w:r>
          </w:p>
        </w:tc>
      </w:tr>
      <w:tr w14:paraId="25CB5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7A5F8F37">
            <w:pPr>
              <w:pStyle w:val="44"/>
              <w:rPr>
                <w:color w:val="auto"/>
              </w:rPr>
            </w:pPr>
            <w:r>
              <w:rPr>
                <w:color w:val="auto"/>
              </w:rPr>
              <w:t>4</w:t>
            </w:r>
          </w:p>
        </w:tc>
        <w:tc>
          <w:tcPr>
            <w:tcW w:w="1933" w:type="pct"/>
            <w:gridSpan w:val="2"/>
            <w:noWrap/>
            <w:vAlign w:val="center"/>
          </w:tcPr>
          <w:p w14:paraId="76E482C8">
            <w:pPr>
              <w:pStyle w:val="44"/>
              <w:rPr>
                <w:color w:val="auto"/>
              </w:rPr>
            </w:pPr>
            <w:r>
              <w:rPr>
                <w:color w:val="auto"/>
              </w:rPr>
              <w:t>商业服务业设施用地</w:t>
            </w:r>
          </w:p>
        </w:tc>
        <w:tc>
          <w:tcPr>
            <w:tcW w:w="778" w:type="pct"/>
            <w:vAlign w:val="center"/>
          </w:tcPr>
          <w:p w14:paraId="31EBE8B9">
            <w:pPr>
              <w:pStyle w:val="44"/>
              <w:rPr>
                <w:color w:val="auto"/>
              </w:rPr>
            </w:pPr>
            <w:r>
              <w:rPr>
                <w:color w:val="auto"/>
              </w:rPr>
              <w:t>B</w:t>
            </w:r>
          </w:p>
        </w:tc>
        <w:tc>
          <w:tcPr>
            <w:tcW w:w="777" w:type="pct"/>
            <w:noWrap/>
            <w:vAlign w:val="center"/>
          </w:tcPr>
          <w:p w14:paraId="3C9FAA55">
            <w:pPr>
              <w:pStyle w:val="44"/>
              <w:rPr>
                <w:color w:val="auto"/>
              </w:rPr>
            </w:pPr>
            <w:r>
              <w:rPr>
                <w:color w:val="auto"/>
              </w:rPr>
              <w:t xml:space="preserve">89.26 </w:t>
            </w:r>
          </w:p>
        </w:tc>
        <w:tc>
          <w:tcPr>
            <w:tcW w:w="820" w:type="pct"/>
            <w:vAlign w:val="center"/>
          </w:tcPr>
          <w:p w14:paraId="4416C2AA">
            <w:pPr>
              <w:pStyle w:val="44"/>
              <w:rPr>
                <w:color w:val="auto"/>
              </w:rPr>
            </w:pPr>
            <w:r>
              <w:rPr>
                <w:color w:val="auto"/>
              </w:rPr>
              <w:t>22.11</w:t>
            </w:r>
          </w:p>
        </w:tc>
      </w:tr>
      <w:tr w14:paraId="32F62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4CD56340">
            <w:pPr>
              <w:pStyle w:val="44"/>
              <w:rPr>
                <w:color w:val="auto"/>
              </w:rPr>
            </w:pPr>
          </w:p>
        </w:tc>
        <w:tc>
          <w:tcPr>
            <w:tcW w:w="534" w:type="pct"/>
            <w:vMerge w:val="restart"/>
            <w:noWrap/>
            <w:vAlign w:val="center"/>
          </w:tcPr>
          <w:p w14:paraId="78640672">
            <w:pPr>
              <w:pStyle w:val="44"/>
              <w:rPr>
                <w:color w:val="auto"/>
              </w:rPr>
            </w:pPr>
            <w:r>
              <w:rPr>
                <w:color w:val="auto"/>
              </w:rPr>
              <w:t>其中</w:t>
            </w:r>
          </w:p>
        </w:tc>
        <w:tc>
          <w:tcPr>
            <w:tcW w:w="1399" w:type="pct"/>
            <w:noWrap/>
            <w:vAlign w:val="center"/>
          </w:tcPr>
          <w:p w14:paraId="2F35E256">
            <w:pPr>
              <w:pStyle w:val="44"/>
              <w:rPr>
                <w:color w:val="auto"/>
              </w:rPr>
            </w:pPr>
            <w:r>
              <w:rPr>
                <w:color w:val="auto"/>
              </w:rPr>
              <w:t>商业用地</w:t>
            </w:r>
          </w:p>
        </w:tc>
        <w:tc>
          <w:tcPr>
            <w:tcW w:w="778" w:type="pct"/>
            <w:noWrap/>
            <w:vAlign w:val="center"/>
          </w:tcPr>
          <w:p w14:paraId="6CBAA810">
            <w:pPr>
              <w:pStyle w:val="44"/>
              <w:rPr>
                <w:color w:val="auto"/>
              </w:rPr>
            </w:pPr>
            <w:r>
              <w:rPr>
                <w:color w:val="auto"/>
              </w:rPr>
              <w:t>B1</w:t>
            </w:r>
          </w:p>
        </w:tc>
        <w:tc>
          <w:tcPr>
            <w:tcW w:w="777" w:type="pct"/>
            <w:vAlign w:val="center"/>
          </w:tcPr>
          <w:p w14:paraId="6023717E">
            <w:pPr>
              <w:pStyle w:val="44"/>
              <w:rPr>
                <w:color w:val="auto"/>
              </w:rPr>
            </w:pPr>
            <w:r>
              <w:rPr>
                <w:color w:val="auto"/>
              </w:rPr>
              <w:t xml:space="preserve">21.56 </w:t>
            </w:r>
          </w:p>
        </w:tc>
        <w:tc>
          <w:tcPr>
            <w:tcW w:w="820" w:type="pct"/>
            <w:vAlign w:val="center"/>
          </w:tcPr>
          <w:p w14:paraId="3B039330">
            <w:pPr>
              <w:pStyle w:val="44"/>
              <w:rPr>
                <w:color w:val="auto"/>
              </w:rPr>
            </w:pPr>
            <w:r>
              <w:rPr>
                <w:color w:val="auto"/>
              </w:rPr>
              <w:t>　</w:t>
            </w:r>
          </w:p>
        </w:tc>
      </w:tr>
      <w:tr w14:paraId="6F25E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46204120">
            <w:pPr>
              <w:pStyle w:val="44"/>
              <w:rPr>
                <w:color w:val="auto"/>
              </w:rPr>
            </w:pPr>
          </w:p>
        </w:tc>
        <w:tc>
          <w:tcPr>
            <w:tcW w:w="534" w:type="pct"/>
            <w:vMerge w:val="continue"/>
            <w:vAlign w:val="center"/>
          </w:tcPr>
          <w:p w14:paraId="2B024F54">
            <w:pPr>
              <w:pStyle w:val="44"/>
              <w:rPr>
                <w:color w:val="auto"/>
              </w:rPr>
            </w:pPr>
          </w:p>
        </w:tc>
        <w:tc>
          <w:tcPr>
            <w:tcW w:w="1399" w:type="pct"/>
            <w:noWrap/>
            <w:vAlign w:val="center"/>
          </w:tcPr>
          <w:p w14:paraId="526C95F4">
            <w:pPr>
              <w:pStyle w:val="44"/>
              <w:rPr>
                <w:color w:val="auto"/>
              </w:rPr>
            </w:pPr>
            <w:r>
              <w:rPr>
                <w:color w:val="auto"/>
              </w:rPr>
              <w:t>商住混合用地</w:t>
            </w:r>
          </w:p>
        </w:tc>
        <w:tc>
          <w:tcPr>
            <w:tcW w:w="778" w:type="pct"/>
            <w:noWrap/>
            <w:vAlign w:val="center"/>
          </w:tcPr>
          <w:p w14:paraId="45E8ED5C">
            <w:pPr>
              <w:pStyle w:val="44"/>
              <w:rPr>
                <w:color w:val="auto"/>
              </w:rPr>
            </w:pPr>
            <w:r>
              <w:rPr>
                <w:color w:val="auto"/>
              </w:rPr>
              <w:t>B1R2</w:t>
            </w:r>
          </w:p>
        </w:tc>
        <w:tc>
          <w:tcPr>
            <w:tcW w:w="777" w:type="pct"/>
            <w:vAlign w:val="center"/>
          </w:tcPr>
          <w:p w14:paraId="7B2C9A45">
            <w:pPr>
              <w:pStyle w:val="44"/>
              <w:rPr>
                <w:color w:val="auto"/>
              </w:rPr>
            </w:pPr>
            <w:r>
              <w:rPr>
                <w:color w:val="auto"/>
              </w:rPr>
              <w:t xml:space="preserve">67.70 </w:t>
            </w:r>
          </w:p>
        </w:tc>
        <w:tc>
          <w:tcPr>
            <w:tcW w:w="820" w:type="pct"/>
            <w:vAlign w:val="center"/>
          </w:tcPr>
          <w:p w14:paraId="2677B9B4">
            <w:pPr>
              <w:pStyle w:val="44"/>
              <w:rPr>
                <w:color w:val="auto"/>
              </w:rPr>
            </w:pPr>
            <w:r>
              <w:rPr>
                <w:color w:val="auto"/>
              </w:rPr>
              <w:t>　</w:t>
            </w:r>
          </w:p>
        </w:tc>
      </w:tr>
      <w:tr w14:paraId="74F9F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6E2A7301">
            <w:pPr>
              <w:pStyle w:val="44"/>
              <w:rPr>
                <w:color w:val="auto"/>
              </w:rPr>
            </w:pPr>
            <w:r>
              <w:rPr>
                <w:color w:val="auto"/>
              </w:rPr>
              <w:t>5</w:t>
            </w:r>
          </w:p>
        </w:tc>
        <w:tc>
          <w:tcPr>
            <w:tcW w:w="1933" w:type="pct"/>
            <w:gridSpan w:val="2"/>
            <w:noWrap/>
            <w:vAlign w:val="center"/>
          </w:tcPr>
          <w:p w14:paraId="27425F00">
            <w:pPr>
              <w:pStyle w:val="44"/>
              <w:rPr>
                <w:color w:val="auto"/>
              </w:rPr>
            </w:pPr>
            <w:r>
              <w:rPr>
                <w:color w:val="auto"/>
              </w:rPr>
              <w:t>道路与交通设施用地</w:t>
            </w:r>
          </w:p>
        </w:tc>
        <w:tc>
          <w:tcPr>
            <w:tcW w:w="778" w:type="pct"/>
            <w:noWrap/>
            <w:vAlign w:val="center"/>
          </w:tcPr>
          <w:p w14:paraId="4F3DC1B9">
            <w:pPr>
              <w:pStyle w:val="44"/>
              <w:rPr>
                <w:color w:val="auto"/>
              </w:rPr>
            </w:pPr>
            <w:r>
              <w:rPr>
                <w:color w:val="auto"/>
              </w:rPr>
              <w:t>S</w:t>
            </w:r>
          </w:p>
        </w:tc>
        <w:tc>
          <w:tcPr>
            <w:tcW w:w="777" w:type="pct"/>
            <w:vAlign w:val="center"/>
          </w:tcPr>
          <w:p w14:paraId="79B114DE">
            <w:pPr>
              <w:pStyle w:val="44"/>
              <w:rPr>
                <w:color w:val="auto"/>
              </w:rPr>
            </w:pPr>
            <w:r>
              <w:rPr>
                <w:color w:val="auto"/>
              </w:rPr>
              <w:t xml:space="preserve">94.65 </w:t>
            </w:r>
          </w:p>
        </w:tc>
        <w:tc>
          <w:tcPr>
            <w:tcW w:w="820" w:type="pct"/>
            <w:vAlign w:val="center"/>
          </w:tcPr>
          <w:p w14:paraId="6A149912">
            <w:pPr>
              <w:pStyle w:val="44"/>
              <w:rPr>
                <w:color w:val="auto"/>
              </w:rPr>
            </w:pPr>
            <w:r>
              <w:rPr>
                <w:color w:val="auto"/>
              </w:rPr>
              <w:t>23.45</w:t>
            </w:r>
          </w:p>
        </w:tc>
      </w:tr>
      <w:tr w14:paraId="595BF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0E80E860">
            <w:pPr>
              <w:pStyle w:val="44"/>
              <w:rPr>
                <w:color w:val="auto"/>
              </w:rPr>
            </w:pPr>
          </w:p>
        </w:tc>
        <w:tc>
          <w:tcPr>
            <w:tcW w:w="534" w:type="pct"/>
            <w:vMerge w:val="restart"/>
            <w:noWrap/>
            <w:vAlign w:val="center"/>
          </w:tcPr>
          <w:p w14:paraId="084A4992">
            <w:pPr>
              <w:pStyle w:val="44"/>
              <w:rPr>
                <w:color w:val="auto"/>
              </w:rPr>
            </w:pPr>
            <w:r>
              <w:rPr>
                <w:color w:val="auto"/>
              </w:rPr>
              <w:t>其中</w:t>
            </w:r>
          </w:p>
        </w:tc>
        <w:tc>
          <w:tcPr>
            <w:tcW w:w="1399" w:type="pct"/>
            <w:vAlign w:val="center"/>
          </w:tcPr>
          <w:p w14:paraId="7CAFB479">
            <w:pPr>
              <w:pStyle w:val="44"/>
              <w:rPr>
                <w:color w:val="auto"/>
              </w:rPr>
            </w:pPr>
            <w:r>
              <w:rPr>
                <w:color w:val="auto"/>
              </w:rPr>
              <w:t>城市道路用地</w:t>
            </w:r>
          </w:p>
        </w:tc>
        <w:tc>
          <w:tcPr>
            <w:tcW w:w="778" w:type="pct"/>
            <w:noWrap/>
            <w:vAlign w:val="center"/>
          </w:tcPr>
          <w:p w14:paraId="7F6594FC">
            <w:pPr>
              <w:pStyle w:val="44"/>
              <w:rPr>
                <w:color w:val="auto"/>
              </w:rPr>
            </w:pPr>
          </w:p>
        </w:tc>
        <w:tc>
          <w:tcPr>
            <w:tcW w:w="777" w:type="pct"/>
            <w:vAlign w:val="center"/>
          </w:tcPr>
          <w:p w14:paraId="6DBEE56F">
            <w:pPr>
              <w:pStyle w:val="44"/>
              <w:rPr>
                <w:color w:val="auto"/>
              </w:rPr>
            </w:pPr>
            <w:r>
              <w:rPr>
                <w:color w:val="auto"/>
              </w:rPr>
              <w:t xml:space="preserve">87.27 </w:t>
            </w:r>
          </w:p>
        </w:tc>
        <w:tc>
          <w:tcPr>
            <w:tcW w:w="820" w:type="pct"/>
            <w:vAlign w:val="center"/>
          </w:tcPr>
          <w:p w14:paraId="3C8C2677">
            <w:pPr>
              <w:pStyle w:val="44"/>
              <w:rPr>
                <w:color w:val="auto"/>
              </w:rPr>
            </w:pPr>
            <w:r>
              <w:rPr>
                <w:color w:val="auto"/>
              </w:rPr>
              <w:t>　</w:t>
            </w:r>
          </w:p>
        </w:tc>
      </w:tr>
      <w:tr w14:paraId="2698E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4DD01A7A">
            <w:pPr>
              <w:pStyle w:val="44"/>
              <w:rPr>
                <w:color w:val="auto"/>
              </w:rPr>
            </w:pPr>
          </w:p>
        </w:tc>
        <w:tc>
          <w:tcPr>
            <w:tcW w:w="534" w:type="pct"/>
            <w:vMerge w:val="continue"/>
            <w:vAlign w:val="center"/>
          </w:tcPr>
          <w:p w14:paraId="04CB4C46">
            <w:pPr>
              <w:pStyle w:val="44"/>
              <w:rPr>
                <w:color w:val="auto"/>
              </w:rPr>
            </w:pPr>
          </w:p>
        </w:tc>
        <w:tc>
          <w:tcPr>
            <w:tcW w:w="1399" w:type="pct"/>
            <w:vAlign w:val="center"/>
          </w:tcPr>
          <w:p w14:paraId="055D8481">
            <w:pPr>
              <w:pStyle w:val="44"/>
              <w:rPr>
                <w:color w:val="auto"/>
              </w:rPr>
            </w:pPr>
            <w:r>
              <w:rPr>
                <w:color w:val="auto"/>
              </w:rPr>
              <w:t>交通场站用地</w:t>
            </w:r>
          </w:p>
        </w:tc>
        <w:tc>
          <w:tcPr>
            <w:tcW w:w="778" w:type="pct"/>
            <w:noWrap/>
            <w:vAlign w:val="center"/>
          </w:tcPr>
          <w:p w14:paraId="27BEF5B8">
            <w:pPr>
              <w:pStyle w:val="44"/>
              <w:rPr>
                <w:color w:val="auto"/>
              </w:rPr>
            </w:pPr>
            <w:r>
              <w:rPr>
                <w:color w:val="auto"/>
              </w:rPr>
              <w:t>S41</w:t>
            </w:r>
          </w:p>
        </w:tc>
        <w:tc>
          <w:tcPr>
            <w:tcW w:w="777" w:type="pct"/>
            <w:vAlign w:val="center"/>
          </w:tcPr>
          <w:p w14:paraId="389B4AF4">
            <w:pPr>
              <w:pStyle w:val="44"/>
              <w:rPr>
                <w:color w:val="auto"/>
              </w:rPr>
            </w:pPr>
            <w:r>
              <w:rPr>
                <w:color w:val="auto"/>
              </w:rPr>
              <w:t xml:space="preserve">6.73 </w:t>
            </w:r>
          </w:p>
        </w:tc>
        <w:tc>
          <w:tcPr>
            <w:tcW w:w="820" w:type="pct"/>
            <w:vAlign w:val="center"/>
          </w:tcPr>
          <w:p w14:paraId="4FDBEF3E">
            <w:pPr>
              <w:pStyle w:val="44"/>
              <w:rPr>
                <w:color w:val="auto"/>
              </w:rPr>
            </w:pPr>
            <w:r>
              <w:rPr>
                <w:color w:val="auto"/>
              </w:rPr>
              <w:t>　</w:t>
            </w:r>
          </w:p>
        </w:tc>
      </w:tr>
      <w:tr w14:paraId="48AE09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3B4CB6F3">
            <w:pPr>
              <w:pStyle w:val="44"/>
              <w:rPr>
                <w:color w:val="auto"/>
              </w:rPr>
            </w:pPr>
          </w:p>
        </w:tc>
        <w:tc>
          <w:tcPr>
            <w:tcW w:w="534" w:type="pct"/>
            <w:vMerge w:val="continue"/>
            <w:vAlign w:val="center"/>
          </w:tcPr>
          <w:p w14:paraId="4BDA245A">
            <w:pPr>
              <w:pStyle w:val="44"/>
              <w:rPr>
                <w:color w:val="auto"/>
              </w:rPr>
            </w:pPr>
          </w:p>
        </w:tc>
        <w:tc>
          <w:tcPr>
            <w:tcW w:w="1399" w:type="pct"/>
            <w:noWrap/>
            <w:vAlign w:val="center"/>
          </w:tcPr>
          <w:p w14:paraId="26B70E7E">
            <w:pPr>
              <w:pStyle w:val="44"/>
              <w:rPr>
                <w:color w:val="auto"/>
              </w:rPr>
            </w:pPr>
            <w:r>
              <w:rPr>
                <w:color w:val="auto"/>
              </w:rPr>
              <w:t>区域交通设施用地</w:t>
            </w:r>
          </w:p>
        </w:tc>
        <w:tc>
          <w:tcPr>
            <w:tcW w:w="778" w:type="pct"/>
            <w:noWrap/>
            <w:vAlign w:val="center"/>
          </w:tcPr>
          <w:p w14:paraId="518F163B">
            <w:pPr>
              <w:pStyle w:val="44"/>
              <w:rPr>
                <w:color w:val="auto"/>
              </w:rPr>
            </w:pPr>
            <w:r>
              <w:rPr>
                <w:color w:val="auto"/>
              </w:rPr>
              <w:t>H2(G2)</w:t>
            </w:r>
          </w:p>
        </w:tc>
        <w:tc>
          <w:tcPr>
            <w:tcW w:w="777" w:type="pct"/>
            <w:vAlign w:val="center"/>
          </w:tcPr>
          <w:p w14:paraId="23279C73">
            <w:pPr>
              <w:pStyle w:val="44"/>
              <w:rPr>
                <w:color w:val="auto"/>
              </w:rPr>
            </w:pPr>
            <w:r>
              <w:rPr>
                <w:color w:val="auto"/>
              </w:rPr>
              <w:t xml:space="preserve">0.65 </w:t>
            </w:r>
          </w:p>
        </w:tc>
        <w:tc>
          <w:tcPr>
            <w:tcW w:w="820" w:type="pct"/>
            <w:vAlign w:val="center"/>
          </w:tcPr>
          <w:p w14:paraId="246F9D48">
            <w:pPr>
              <w:pStyle w:val="44"/>
              <w:rPr>
                <w:color w:val="auto"/>
              </w:rPr>
            </w:pPr>
            <w:r>
              <w:rPr>
                <w:color w:val="auto"/>
              </w:rPr>
              <w:t>　</w:t>
            </w:r>
          </w:p>
        </w:tc>
      </w:tr>
      <w:tr w14:paraId="5BF60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6F3D65A0">
            <w:pPr>
              <w:pStyle w:val="44"/>
              <w:rPr>
                <w:color w:val="auto"/>
              </w:rPr>
            </w:pPr>
            <w:r>
              <w:rPr>
                <w:color w:val="auto"/>
              </w:rPr>
              <w:t>6</w:t>
            </w:r>
          </w:p>
        </w:tc>
        <w:tc>
          <w:tcPr>
            <w:tcW w:w="1933" w:type="pct"/>
            <w:gridSpan w:val="2"/>
            <w:vAlign w:val="center"/>
          </w:tcPr>
          <w:p w14:paraId="7208D69B">
            <w:pPr>
              <w:pStyle w:val="44"/>
              <w:rPr>
                <w:color w:val="auto"/>
              </w:rPr>
            </w:pPr>
            <w:r>
              <w:rPr>
                <w:color w:val="auto"/>
              </w:rPr>
              <w:t>公用设施用地</w:t>
            </w:r>
          </w:p>
        </w:tc>
        <w:tc>
          <w:tcPr>
            <w:tcW w:w="778" w:type="pct"/>
            <w:vAlign w:val="center"/>
          </w:tcPr>
          <w:p w14:paraId="4D38A9CD">
            <w:pPr>
              <w:pStyle w:val="44"/>
              <w:rPr>
                <w:color w:val="auto"/>
              </w:rPr>
            </w:pPr>
            <w:r>
              <w:rPr>
                <w:color w:val="auto"/>
              </w:rPr>
              <w:t>U</w:t>
            </w:r>
          </w:p>
        </w:tc>
        <w:tc>
          <w:tcPr>
            <w:tcW w:w="777" w:type="pct"/>
            <w:vAlign w:val="center"/>
          </w:tcPr>
          <w:p w14:paraId="5517F1CA">
            <w:pPr>
              <w:pStyle w:val="44"/>
              <w:rPr>
                <w:color w:val="auto"/>
              </w:rPr>
            </w:pPr>
            <w:r>
              <w:rPr>
                <w:color w:val="auto"/>
              </w:rPr>
              <w:t xml:space="preserve">8.14 </w:t>
            </w:r>
          </w:p>
        </w:tc>
        <w:tc>
          <w:tcPr>
            <w:tcW w:w="820" w:type="pct"/>
            <w:vAlign w:val="center"/>
          </w:tcPr>
          <w:p w14:paraId="039B8442">
            <w:pPr>
              <w:pStyle w:val="44"/>
              <w:rPr>
                <w:color w:val="auto"/>
              </w:rPr>
            </w:pPr>
            <w:r>
              <w:rPr>
                <w:color w:val="auto"/>
              </w:rPr>
              <w:t>2.02</w:t>
            </w:r>
          </w:p>
        </w:tc>
      </w:tr>
      <w:tr w14:paraId="75542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1B282B09">
            <w:pPr>
              <w:pStyle w:val="44"/>
              <w:rPr>
                <w:color w:val="auto"/>
              </w:rPr>
            </w:pPr>
          </w:p>
        </w:tc>
        <w:tc>
          <w:tcPr>
            <w:tcW w:w="534" w:type="pct"/>
            <w:vMerge w:val="restart"/>
            <w:vAlign w:val="center"/>
          </w:tcPr>
          <w:p w14:paraId="0420301A">
            <w:pPr>
              <w:pStyle w:val="44"/>
              <w:rPr>
                <w:color w:val="auto"/>
              </w:rPr>
            </w:pPr>
            <w:r>
              <w:rPr>
                <w:color w:val="auto"/>
              </w:rPr>
              <w:t>其中</w:t>
            </w:r>
          </w:p>
        </w:tc>
        <w:tc>
          <w:tcPr>
            <w:tcW w:w="1399" w:type="pct"/>
            <w:vAlign w:val="center"/>
          </w:tcPr>
          <w:p w14:paraId="0460C584">
            <w:pPr>
              <w:pStyle w:val="44"/>
              <w:rPr>
                <w:color w:val="auto"/>
              </w:rPr>
            </w:pPr>
            <w:r>
              <w:rPr>
                <w:color w:val="auto"/>
              </w:rPr>
              <w:t>供应设施用地</w:t>
            </w:r>
          </w:p>
        </w:tc>
        <w:tc>
          <w:tcPr>
            <w:tcW w:w="778" w:type="pct"/>
            <w:vAlign w:val="center"/>
          </w:tcPr>
          <w:p w14:paraId="76941E5E">
            <w:pPr>
              <w:pStyle w:val="44"/>
              <w:rPr>
                <w:color w:val="auto"/>
              </w:rPr>
            </w:pPr>
            <w:r>
              <w:rPr>
                <w:color w:val="auto"/>
              </w:rPr>
              <w:t>U12</w:t>
            </w:r>
          </w:p>
        </w:tc>
        <w:tc>
          <w:tcPr>
            <w:tcW w:w="777" w:type="pct"/>
            <w:vAlign w:val="center"/>
          </w:tcPr>
          <w:p w14:paraId="6D4103D7">
            <w:pPr>
              <w:pStyle w:val="44"/>
              <w:rPr>
                <w:color w:val="auto"/>
              </w:rPr>
            </w:pPr>
            <w:r>
              <w:rPr>
                <w:color w:val="auto"/>
              </w:rPr>
              <w:t xml:space="preserve">1.66 </w:t>
            </w:r>
          </w:p>
        </w:tc>
        <w:tc>
          <w:tcPr>
            <w:tcW w:w="820" w:type="pct"/>
            <w:vAlign w:val="center"/>
          </w:tcPr>
          <w:p w14:paraId="64508A5F">
            <w:pPr>
              <w:pStyle w:val="44"/>
              <w:rPr>
                <w:color w:val="auto"/>
              </w:rPr>
            </w:pPr>
            <w:r>
              <w:rPr>
                <w:color w:val="auto"/>
              </w:rPr>
              <w:t>　</w:t>
            </w:r>
          </w:p>
        </w:tc>
      </w:tr>
      <w:tr w14:paraId="4C8340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4D054260">
            <w:pPr>
              <w:pStyle w:val="44"/>
              <w:rPr>
                <w:color w:val="auto"/>
              </w:rPr>
            </w:pPr>
          </w:p>
        </w:tc>
        <w:tc>
          <w:tcPr>
            <w:tcW w:w="534" w:type="pct"/>
            <w:vMerge w:val="continue"/>
            <w:vAlign w:val="center"/>
          </w:tcPr>
          <w:p w14:paraId="5192FAFF">
            <w:pPr>
              <w:pStyle w:val="44"/>
              <w:rPr>
                <w:color w:val="auto"/>
              </w:rPr>
            </w:pPr>
          </w:p>
        </w:tc>
        <w:tc>
          <w:tcPr>
            <w:tcW w:w="1399" w:type="pct"/>
            <w:vAlign w:val="center"/>
          </w:tcPr>
          <w:p w14:paraId="3E60F8F9">
            <w:pPr>
              <w:pStyle w:val="44"/>
              <w:rPr>
                <w:color w:val="auto"/>
              </w:rPr>
            </w:pPr>
            <w:r>
              <w:rPr>
                <w:color w:val="auto"/>
              </w:rPr>
              <w:t>环境设施用地</w:t>
            </w:r>
          </w:p>
        </w:tc>
        <w:tc>
          <w:tcPr>
            <w:tcW w:w="778" w:type="pct"/>
            <w:vAlign w:val="center"/>
          </w:tcPr>
          <w:p w14:paraId="036AD72F">
            <w:pPr>
              <w:pStyle w:val="44"/>
              <w:rPr>
                <w:color w:val="auto"/>
              </w:rPr>
            </w:pPr>
            <w:r>
              <w:rPr>
                <w:color w:val="auto"/>
              </w:rPr>
              <w:t>U22</w:t>
            </w:r>
          </w:p>
        </w:tc>
        <w:tc>
          <w:tcPr>
            <w:tcW w:w="777" w:type="pct"/>
            <w:vAlign w:val="center"/>
          </w:tcPr>
          <w:p w14:paraId="1C7C10F9">
            <w:pPr>
              <w:pStyle w:val="44"/>
              <w:rPr>
                <w:color w:val="auto"/>
              </w:rPr>
            </w:pPr>
            <w:r>
              <w:rPr>
                <w:color w:val="auto"/>
              </w:rPr>
              <w:t xml:space="preserve">4.91 </w:t>
            </w:r>
          </w:p>
        </w:tc>
        <w:tc>
          <w:tcPr>
            <w:tcW w:w="820" w:type="pct"/>
            <w:vAlign w:val="center"/>
          </w:tcPr>
          <w:p w14:paraId="7E64340A">
            <w:pPr>
              <w:pStyle w:val="44"/>
              <w:rPr>
                <w:color w:val="auto"/>
              </w:rPr>
            </w:pPr>
            <w:r>
              <w:rPr>
                <w:color w:val="auto"/>
              </w:rPr>
              <w:t>　</w:t>
            </w:r>
          </w:p>
        </w:tc>
      </w:tr>
      <w:tr w14:paraId="27285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14542BDD">
            <w:pPr>
              <w:pStyle w:val="44"/>
              <w:rPr>
                <w:color w:val="auto"/>
              </w:rPr>
            </w:pPr>
          </w:p>
        </w:tc>
        <w:tc>
          <w:tcPr>
            <w:tcW w:w="534" w:type="pct"/>
            <w:vMerge w:val="continue"/>
            <w:vAlign w:val="center"/>
          </w:tcPr>
          <w:p w14:paraId="0A7208AA">
            <w:pPr>
              <w:pStyle w:val="44"/>
              <w:rPr>
                <w:color w:val="auto"/>
              </w:rPr>
            </w:pPr>
          </w:p>
        </w:tc>
        <w:tc>
          <w:tcPr>
            <w:tcW w:w="1399" w:type="pct"/>
            <w:vAlign w:val="center"/>
          </w:tcPr>
          <w:p w14:paraId="7F4095E1">
            <w:pPr>
              <w:pStyle w:val="44"/>
              <w:rPr>
                <w:color w:val="auto"/>
              </w:rPr>
            </w:pPr>
            <w:r>
              <w:rPr>
                <w:color w:val="auto"/>
              </w:rPr>
              <w:t>消防用地</w:t>
            </w:r>
          </w:p>
        </w:tc>
        <w:tc>
          <w:tcPr>
            <w:tcW w:w="778" w:type="pct"/>
            <w:vAlign w:val="center"/>
          </w:tcPr>
          <w:p w14:paraId="2DF4D424">
            <w:pPr>
              <w:pStyle w:val="44"/>
              <w:rPr>
                <w:color w:val="auto"/>
              </w:rPr>
            </w:pPr>
            <w:r>
              <w:rPr>
                <w:color w:val="auto"/>
              </w:rPr>
              <w:t>U31</w:t>
            </w:r>
          </w:p>
        </w:tc>
        <w:tc>
          <w:tcPr>
            <w:tcW w:w="777" w:type="pct"/>
            <w:vAlign w:val="center"/>
          </w:tcPr>
          <w:p w14:paraId="512BE198">
            <w:pPr>
              <w:pStyle w:val="44"/>
              <w:rPr>
                <w:color w:val="auto"/>
              </w:rPr>
            </w:pPr>
            <w:r>
              <w:rPr>
                <w:color w:val="auto"/>
              </w:rPr>
              <w:t xml:space="preserve">0.50 </w:t>
            </w:r>
          </w:p>
        </w:tc>
        <w:tc>
          <w:tcPr>
            <w:tcW w:w="820" w:type="pct"/>
            <w:vAlign w:val="center"/>
          </w:tcPr>
          <w:p w14:paraId="1C4B6250">
            <w:pPr>
              <w:pStyle w:val="44"/>
              <w:rPr>
                <w:color w:val="auto"/>
              </w:rPr>
            </w:pPr>
            <w:r>
              <w:rPr>
                <w:color w:val="auto"/>
              </w:rPr>
              <w:t>　</w:t>
            </w:r>
          </w:p>
        </w:tc>
      </w:tr>
      <w:tr w14:paraId="4B614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5AACE29E">
            <w:pPr>
              <w:pStyle w:val="44"/>
              <w:rPr>
                <w:color w:val="auto"/>
              </w:rPr>
            </w:pPr>
          </w:p>
        </w:tc>
        <w:tc>
          <w:tcPr>
            <w:tcW w:w="534" w:type="pct"/>
            <w:vMerge w:val="continue"/>
            <w:vAlign w:val="center"/>
          </w:tcPr>
          <w:p w14:paraId="2B5D783E">
            <w:pPr>
              <w:pStyle w:val="44"/>
              <w:rPr>
                <w:color w:val="auto"/>
              </w:rPr>
            </w:pPr>
          </w:p>
        </w:tc>
        <w:tc>
          <w:tcPr>
            <w:tcW w:w="1399" w:type="pct"/>
            <w:vAlign w:val="center"/>
          </w:tcPr>
          <w:p w14:paraId="1D1E838B">
            <w:pPr>
              <w:pStyle w:val="44"/>
              <w:rPr>
                <w:color w:val="auto"/>
              </w:rPr>
            </w:pPr>
            <w:r>
              <w:rPr>
                <w:color w:val="auto"/>
              </w:rPr>
              <w:t>加油加气站用地</w:t>
            </w:r>
          </w:p>
        </w:tc>
        <w:tc>
          <w:tcPr>
            <w:tcW w:w="778" w:type="pct"/>
            <w:vAlign w:val="center"/>
          </w:tcPr>
          <w:p w14:paraId="0DC9288B">
            <w:pPr>
              <w:pStyle w:val="44"/>
              <w:rPr>
                <w:color w:val="auto"/>
              </w:rPr>
            </w:pPr>
            <w:r>
              <w:rPr>
                <w:color w:val="auto"/>
              </w:rPr>
              <w:t>B41</w:t>
            </w:r>
          </w:p>
        </w:tc>
        <w:tc>
          <w:tcPr>
            <w:tcW w:w="777" w:type="pct"/>
            <w:vAlign w:val="center"/>
          </w:tcPr>
          <w:p w14:paraId="2357860F">
            <w:pPr>
              <w:pStyle w:val="44"/>
              <w:rPr>
                <w:color w:val="auto"/>
              </w:rPr>
            </w:pPr>
            <w:r>
              <w:rPr>
                <w:color w:val="auto"/>
              </w:rPr>
              <w:t xml:space="preserve">1.07 </w:t>
            </w:r>
          </w:p>
        </w:tc>
        <w:tc>
          <w:tcPr>
            <w:tcW w:w="820" w:type="pct"/>
            <w:vAlign w:val="center"/>
          </w:tcPr>
          <w:p w14:paraId="71019245">
            <w:pPr>
              <w:pStyle w:val="44"/>
              <w:rPr>
                <w:color w:val="auto"/>
              </w:rPr>
            </w:pPr>
            <w:r>
              <w:rPr>
                <w:color w:val="auto"/>
              </w:rPr>
              <w:t>　</w:t>
            </w:r>
          </w:p>
        </w:tc>
      </w:tr>
      <w:tr w14:paraId="3D167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27BAFB27">
            <w:pPr>
              <w:pStyle w:val="44"/>
              <w:rPr>
                <w:color w:val="auto"/>
              </w:rPr>
            </w:pPr>
            <w:r>
              <w:rPr>
                <w:color w:val="auto"/>
              </w:rPr>
              <w:t>7</w:t>
            </w:r>
          </w:p>
        </w:tc>
        <w:tc>
          <w:tcPr>
            <w:tcW w:w="1933" w:type="pct"/>
            <w:gridSpan w:val="2"/>
            <w:vAlign w:val="center"/>
          </w:tcPr>
          <w:p w14:paraId="5BC64DE7">
            <w:pPr>
              <w:pStyle w:val="44"/>
              <w:rPr>
                <w:color w:val="auto"/>
              </w:rPr>
            </w:pPr>
            <w:r>
              <w:rPr>
                <w:color w:val="auto"/>
              </w:rPr>
              <w:t>绿地与广场用地</w:t>
            </w:r>
          </w:p>
        </w:tc>
        <w:tc>
          <w:tcPr>
            <w:tcW w:w="778" w:type="pct"/>
            <w:vAlign w:val="center"/>
          </w:tcPr>
          <w:p w14:paraId="421DC170">
            <w:pPr>
              <w:pStyle w:val="44"/>
              <w:rPr>
                <w:color w:val="auto"/>
              </w:rPr>
            </w:pPr>
            <w:r>
              <w:rPr>
                <w:color w:val="auto"/>
              </w:rPr>
              <w:t>G</w:t>
            </w:r>
          </w:p>
        </w:tc>
        <w:tc>
          <w:tcPr>
            <w:tcW w:w="777" w:type="pct"/>
            <w:vAlign w:val="center"/>
          </w:tcPr>
          <w:p w14:paraId="30BE06BA">
            <w:pPr>
              <w:pStyle w:val="44"/>
              <w:rPr>
                <w:color w:val="auto"/>
              </w:rPr>
            </w:pPr>
            <w:r>
              <w:rPr>
                <w:color w:val="auto"/>
              </w:rPr>
              <w:t xml:space="preserve">71.61 </w:t>
            </w:r>
          </w:p>
        </w:tc>
        <w:tc>
          <w:tcPr>
            <w:tcW w:w="820" w:type="pct"/>
            <w:vAlign w:val="center"/>
          </w:tcPr>
          <w:p w14:paraId="61ED2240">
            <w:pPr>
              <w:pStyle w:val="44"/>
              <w:rPr>
                <w:color w:val="auto"/>
              </w:rPr>
            </w:pPr>
            <w:r>
              <w:rPr>
                <w:color w:val="auto"/>
              </w:rPr>
              <w:t xml:space="preserve">17.74 </w:t>
            </w:r>
          </w:p>
        </w:tc>
      </w:tr>
      <w:tr w14:paraId="39898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185C0114">
            <w:pPr>
              <w:pStyle w:val="44"/>
              <w:rPr>
                <w:color w:val="auto"/>
              </w:rPr>
            </w:pPr>
          </w:p>
        </w:tc>
        <w:tc>
          <w:tcPr>
            <w:tcW w:w="534" w:type="pct"/>
            <w:vMerge w:val="restart"/>
            <w:vAlign w:val="center"/>
          </w:tcPr>
          <w:p w14:paraId="7E3A97E5">
            <w:pPr>
              <w:pStyle w:val="44"/>
              <w:rPr>
                <w:color w:val="auto"/>
              </w:rPr>
            </w:pPr>
            <w:r>
              <w:rPr>
                <w:color w:val="auto"/>
              </w:rPr>
              <w:t>其中</w:t>
            </w:r>
          </w:p>
        </w:tc>
        <w:tc>
          <w:tcPr>
            <w:tcW w:w="1399" w:type="pct"/>
            <w:vAlign w:val="center"/>
          </w:tcPr>
          <w:p w14:paraId="1D9A1B5F">
            <w:pPr>
              <w:pStyle w:val="44"/>
              <w:rPr>
                <w:color w:val="auto"/>
              </w:rPr>
            </w:pPr>
            <w:r>
              <w:rPr>
                <w:color w:val="auto"/>
              </w:rPr>
              <w:t>公园绿地</w:t>
            </w:r>
          </w:p>
        </w:tc>
        <w:tc>
          <w:tcPr>
            <w:tcW w:w="778" w:type="pct"/>
            <w:vAlign w:val="center"/>
          </w:tcPr>
          <w:p w14:paraId="3FAADA45">
            <w:pPr>
              <w:pStyle w:val="44"/>
              <w:rPr>
                <w:color w:val="auto"/>
              </w:rPr>
            </w:pPr>
            <w:r>
              <w:rPr>
                <w:color w:val="auto"/>
              </w:rPr>
              <w:t>G1</w:t>
            </w:r>
          </w:p>
        </w:tc>
        <w:tc>
          <w:tcPr>
            <w:tcW w:w="777" w:type="pct"/>
            <w:vAlign w:val="center"/>
          </w:tcPr>
          <w:p w14:paraId="1BBDEB40">
            <w:pPr>
              <w:pStyle w:val="44"/>
              <w:rPr>
                <w:color w:val="auto"/>
              </w:rPr>
            </w:pPr>
            <w:r>
              <w:rPr>
                <w:color w:val="auto"/>
              </w:rPr>
              <w:t xml:space="preserve">49.03 </w:t>
            </w:r>
          </w:p>
        </w:tc>
        <w:tc>
          <w:tcPr>
            <w:tcW w:w="820" w:type="pct"/>
            <w:vAlign w:val="center"/>
          </w:tcPr>
          <w:p w14:paraId="250DD1EE">
            <w:pPr>
              <w:pStyle w:val="44"/>
              <w:rPr>
                <w:color w:val="auto"/>
              </w:rPr>
            </w:pPr>
            <w:r>
              <w:rPr>
                <w:color w:val="auto"/>
              </w:rPr>
              <w:t>　</w:t>
            </w:r>
          </w:p>
        </w:tc>
      </w:tr>
      <w:tr w14:paraId="7B029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68ECF85D">
            <w:pPr>
              <w:pStyle w:val="44"/>
              <w:rPr>
                <w:color w:val="auto"/>
              </w:rPr>
            </w:pPr>
          </w:p>
        </w:tc>
        <w:tc>
          <w:tcPr>
            <w:tcW w:w="534" w:type="pct"/>
            <w:vMerge w:val="continue"/>
            <w:vAlign w:val="center"/>
          </w:tcPr>
          <w:p w14:paraId="1498D003">
            <w:pPr>
              <w:pStyle w:val="44"/>
              <w:rPr>
                <w:color w:val="auto"/>
              </w:rPr>
            </w:pPr>
          </w:p>
        </w:tc>
        <w:tc>
          <w:tcPr>
            <w:tcW w:w="1399" w:type="pct"/>
            <w:vAlign w:val="center"/>
          </w:tcPr>
          <w:p w14:paraId="1AC1D658">
            <w:pPr>
              <w:pStyle w:val="44"/>
              <w:rPr>
                <w:color w:val="auto"/>
              </w:rPr>
            </w:pPr>
            <w:r>
              <w:rPr>
                <w:color w:val="auto"/>
              </w:rPr>
              <w:t>防护绿地</w:t>
            </w:r>
          </w:p>
        </w:tc>
        <w:tc>
          <w:tcPr>
            <w:tcW w:w="778" w:type="pct"/>
            <w:vAlign w:val="center"/>
          </w:tcPr>
          <w:p w14:paraId="1F4841FF">
            <w:pPr>
              <w:pStyle w:val="44"/>
              <w:rPr>
                <w:color w:val="auto"/>
              </w:rPr>
            </w:pPr>
            <w:r>
              <w:rPr>
                <w:color w:val="auto"/>
              </w:rPr>
              <w:t>G2</w:t>
            </w:r>
          </w:p>
        </w:tc>
        <w:tc>
          <w:tcPr>
            <w:tcW w:w="777" w:type="pct"/>
            <w:vAlign w:val="center"/>
          </w:tcPr>
          <w:p w14:paraId="080236D5">
            <w:pPr>
              <w:pStyle w:val="44"/>
              <w:rPr>
                <w:color w:val="auto"/>
              </w:rPr>
            </w:pPr>
            <w:r>
              <w:rPr>
                <w:color w:val="auto"/>
              </w:rPr>
              <w:t xml:space="preserve">22.29 </w:t>
            </w:r>
          </w:p>
        </w:tc>
        <w:tc>
          <w:tcPr>
            <w:tcW w:w="820" w:type="pct"/>
            <w:vAlign w:val="center"/>
          </w:tcPr>
          <w:p w14:paraId="1E9781CD">
            <w:pPr>
              <w:pStyle w:val="44"/>
              <w:rPr>
                <w:color w:val="auto"/>
              </w:rPr>
            </w:pPr>
            <w:r>
              <w:rPr>
                <w:color w:val="auto"/>
              </w:rPr>
              <w:t>　</w:t>
            </w:r>
          </w:p>
        </w:tc>
      </w:tr>
      <w:tr w14:paraId="4FC20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58905C67">
            <w:pPr>
              <w:pStyle w:val="44"/>
              <w:rPr>
                <w:color w:val="auto"/>
              </w:rPr>
            </w:pPr>
          </w:p>
        </w:tc>
        <w:tc>
          <w:tcPr>
            <w:tcW w:w="534" w:type="pct"/>
            <w:vMerge w:val="continue"/>
            <w:vAlign w:val="center"/>
          </w:tcPr>
          <w:p w14:paraId="10B1B2DD">
            <w:pPr>
              <w:pStyle w:val="44"/>
              <w:rPr>
                <w:color w:val="auto"/>
              </w:rPr>
            </w:pPr>
          </w:p>
        </w:tc>
        <w:tc>
          <w:tcPr>
            <w:tcW w:w="1399" w:type="pct"/>
            <w:vAlign w:val="center"/>
          </w:tcPr>
          <w:p w14:paraId="57945F7A">
            <w:pPr>
              <w:pStyle w:val="44"/>
              <w:rPr>
                <w:color w:val="auto"/>
              </w:rPr>
            </w:pPr>
            <w:r>
              <w:rPr>
                <w:color w:val="auto"/>
              </w:rPr>
              <w:t>广场用地</w:t>
            </w:r>
          </w:p>
        </w:tc>
        <w:tc>
          <w:tcPr>
            <w:tcW w:w="778" w:type="pct"/>
            <w:vAlign w:val="center"/>
          </w:tcPr>
          <w:p w14:paraId="10E2FDBD">
            <w:pPr>
              <w:pStyle w:val="44"/>
              <w:rPr>
                <w:color w:val="auto"/>
              </w:rPr>
            </w:pPr>
            <w:r>
              <w:rPr>
                <w:color w:val="auto"/>
              </w:rPr>
              <w:t>G3</w:t>
            </w:r>
          </w:p>
        </w:tc>
        <w:tc>
          <w:tcPr>
            <w:tcW w:w="777" w:type="pct"/>
            <w:vAlign w:val="center"/>
          </w:tcPr>
          <w:p w14:paraId="24E96DB2">
            <w:pPr>
              <w:pStyle w:val="44"/>
              <w:rPr>
                <w:color w:val="auto"/>
              </w:rPr>
            </w:pPr>
            <w:r>
              <w:rPr>
                <w:color w:val="auto"/>
              </w:rPr>
              <w:t xml:space="preserve">0.29 </w:t>
            </w:r>
          </w:p>
        </w:tc>
        <w:tc>
          <w:tcPr>
            <w:tcW w:w="820" w:type="pct"/>
            <w:vAlign w:val="center"/>
          </w:tcPr>
          <w:p w14:paraId="2AFBA715">
            <w:pPr>
              <w:pStyle w:val="44"/>
              <w:rPr>
                <w:color w:val="auto"/>
              </w:rPr>
            </w:pPr>
            <w:r>
              <w:rPr>
                <w:color w:val="auto"/>
              </w:rPr>
              <w:t>　</w:t>
            </w:r>
          </w:p>
        </w:tc>
      </w:tr>
      <w:tr w14:paraId="7AFB4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noWrap/>
            <w:vAlign w:val="center"/>
          </w:tcPr>
          <w:p w14:paraId="0F785D02">
            <w:pPr>
              <w:pStyle w:val="44"/>
              <w:rPr>
                <w:color w:val="auto"/>
              </w:rPr>
            </w:pPr>
            <w:r>
              <w:rPr>
                <w:color w:val="auto"/>
              </w:rPr>
              <w:t>8</w:t>
            </w:r>
          </w:p>
        </w:tc>
        <w:tc>
          <w:tcPr>
            <w:tcW w:w="1933" w:type="pct"/>
            <w:gridSpan w:val="2"/>
            <w:noWrap/>
            <w:vAlign w:val="center"/>
          </w:tcPr>
          <w:p w14:paraId="4FB6E930">
            <w:pPr>
              <w:pStyle w:val="44"/>
              <w:rPr>
                <w:color w:val="auto"/>
              </w:rPr>
            </w:pPr>
            <w:r>
              <w:rPr>
                <w:color w:val="auto"/>
              </w:rPr>
              <w:t>总建设用地</w:t>
            </w:r>
          </w:p>
        </w:tc>
        <w:tc>
          <w:tcPr>
            <w:tcW w:w="778" w:type="pct"/>
            <w:noWrap/>
            <w:vAlign w:val="center"/>
          </w:tcPr>
          <w:p w14:paraId="743E0611">
            <w:pPr>
              <w:pStyle w:val="44"/>
              <w:rPr>
                <w:color w:val="auto"/>
              </w:rPr>
            </w:pPr>
            <w:r>
              <w:rPr>
                <w:color w:val="auto"/>
              </w:rPr>
              <w:t>　</w:t>
            </w:r>
          </w:p>
        </w:tc>
        <w:tc>
          <w:tcPr>
            <w:tcW w:w="777" w:type="pct"/>
            <w:noWrap/>
            <w:vAlign w:val="center"/>
          </w:tcPr>
          <w:p w14:paraId="4F0AA468">
            <w:pPr>
              <w:pStyle w:val="44"/>
              <w:rPr>
                <w:color w:val="auto"/>
              </w:rPr>
            </w:pPr>
            <w:r>
              <w:rPr>
                <w:color w:val="auto"/>
              </w:rPr>
              <w:t>403.70</w:t>
            </w:r>
          </w:p>
        </w:tc>
        <w:tc>
          <w:tcPr>
            <w:tcW w:w="820" w:type="pct"/>
            <w:vAlign w:val="center"/>
          </w:tcPr>
          <w:p w14:paraId="13FACD3E">
            <w:pPr>
              <w:pStyle w:val="44"/>
              <w:rPr>
                <w:color w:val="auto"/>
              </w:rPr>
            </w:pPr>
            <w:r>
              <w:rPr>
                <w:color w:val="auto"/>
              </w:rPr>
              <w:t xml:space="preserve">100.00 </w:t>
            </w:r>
          </w:p>
        </w:tc>
      </w:tr>
      <w:tr w14:paraId="74F6D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restart"/>
            <w:noWrap/>
            <w:vAlign w:val="center"/>
          </w:tcPr>
          <w:p w14:paraId="1597F9D8">
            <w:pPr>
              <w:pStyle w:val="44"/>
              <w:rPr>
                <w:color w:val="auto"/>
              </w:rPr>
            </w:pPr>
            <w:r>
              <w:rPr>
                <w:color w:val="auto"/>
              </w:rPr>
              <w:t>9</w:t>
            </w:r>
          </w:p>
        </w:tc>
        <w:tc>
          <w:tcPr>
            <w:tcW w:w="1933" w:type="pct"/>
            <w:gridSpan w:val="2"/>
            <w:noWrap/>
            <w:vAlign w:val="center"/>
          </w:tcPr>
          <w:p w14:paraId="6D62D33D">
            <w:pPr>
              <w:pStyle w:val="44"/>
              <w:rPr>
                <w:color w:val="auto"/>
              </w:rPr>
            </w:pPr>
            <w:r>
              <w:rPr>
                <w:color w:val="auto"/>
              </w:rPr>
              <w:t>非建设用地</w:t>
            </w:r>
          </w:p>
        </w:tc>
        <w:tc>
          <w:tcPr>
            <w:tcW w:w="778" w:type="pct"/>
            <w:noWrap/>
            <w:vAlign w:val="center"/>
          </w:tcPr>
          <w:p w14:paraId="7E75EC47">
            <w:pPr>
              <w:pStyle w:val="44"/>
              <w:rPr>
                <w:color w:val="auto"/>
              </w:rPr>
            </w:pPr>
            <w:r>
              <w:rPr>
                <w:color w:val="auto"/>
              </w:rPr>
              <w:t>　</w:t>
            </w:r>
          </w:p>
        </w:tc>
        <w:tc>
          <w:tcPr>
            <w:tcW w:w="777" w:type="pct"/>
            <w:noWrap/>
            <w:vAlign w:val="center"/>
          </w:tcPr>
          <w:p w14:paraId="6CCAF4AA">
            <w:pPr>
              <w:pStyle w:val="44"/>
              <w:rPr>
                <w:color w:val="auto"/>
              </w:rPr>
            </w:pPr>
            <w:r>
              <w:rPr>
                <w:color w:val="auto"/>
              </w:rPr>
              <w:t>17.36</w:t>
            </w:r>
          </w:p>
        </w:tc>
        <w:tc>
          <w:tcPr>
            <w:tcW w:w="820" w:type="pct"/>
            <w:noWrap/>
            <w:vAlign w:val="center"/>
          </w:tcPr>
          <w:p w14:paraId="06702244">
            <w:pPr>
              <w:pStyle w:val="44"/>
              <w:rPr>
                <w:color w:val="auto"/>
              </w:rPr>
            </w:pPr>
            <w:r>
              <w:rPr>
                <w:color w:val="auto"/>
              </w:rPr>
              <w:t>　</w:t>
            </w:r>
          </w:p>
        </w:tc>
      </w:tr>
      <w:tr w14:paraId="24365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Merge w:val="continue"/>
            <w:vAlign w:val="center"/>
          </w:tcPr>
          <w:p w14:paraId="7FAA7759">
            <w:pPr>
              <w:pStyle w:val="44"/>
              <w:rPr>
                <w:color w:val="auto"/>
              </w:rPr>
            </w:pPr>
          </w:p>
        </w:tc>
        <w:tc>
          <w:tcPr>
            <w:tcW w:w="534" w:type="pct"/>
            <w:noWrap/>
            <w:vAlign w:val="center"/>
          </w:tcPr>
          <w:p w14:paraId="1554EAB7">
            <w:pPr>
              <w:pStyle w:val="44"/>
              <w:rPr>
                <w:color w:val="auto"/>
              </w:rPr>
            </w:pPr>
            <w:r>
              <w:rPr>
                <w:color w:val="auto"/>
              </w:rPr>
              <w:t>其中</w:t>
            </w:r>
          </w:p>
        </w:tc>
        <w:tc>
          <w:tcPr>
            <w:tcW w:w="1399" w:type="pct"/>
            <w:noWrap/>
            <w:vAlign w:val="center"/>
          </w:tcPr>
          <w:p w14:paraId="03AA56D3">
            <w:pPr>
              <w:pStyle w:val="44"/>
              <w:rPr>
                <w:color w:val="auto"/>
              </w:rPr>
            </w:pPr>
            <w:r>
              <w:rPr>
                <w:color w:val="auto"/>
              </w:rPr>
              <w:t>水域用地</w:t>
            </w:r>
          </w:p>
        </w:tc>
        <w:tc>
          <w:tcPr>
            <w:tcW w:w="778" w:type="pct"/>
            <w:noWrap/>
            <w:vAlign w:val="center"/>
          </w:tcPr>
          <w:p w14:paraId="0349CA46">
            <w:pPr>
              <w:pStyle w:val="44"/>
              <w:rPr>
                <w:color w:val="auto"/>
              </w:rPr>
            </w:pPr>
            <w:r>
              <w:rPr>
                <w:color w:val="auto"/>
              </w:rPr>
              <w:t>E1</w:t>
            </w:r>
          </w:p>
        </w:tc>
        <w:tc>
          <w:tcPr>
            <w:tcW w:w="777" w:type="pct"/>
            <w:vAlign w:val="center"/>
          </w:tcPr>
          <w:p w14:paraId="10C5D326">
            <w:pPr>
              <w:pStyle w:val="44"/>
              <w:rPr>
                <w:color w:val="auto"/>
              </w:rPr>
            </w:pPr>
            <w:r>
              <w:rPr>
                <w:color w:val="auto"/>
              </w:rPr>
              <w:t xml:space="preserve">17.36 </w:t>
            </w:r>
          </w:p>
        </w:tc>
        <w:tc>
          <w:tcPr>
            <w:tcW w:w="820" w:type="pct"/>
            <w:noWrap/>
            <w:vAlign w:val="center"/>
          </w:tcPr>
          <w:p w14:paraId="371C7FAE">
            <w:pPr>
              <w:pStyle w:val="44"/>
              <w:rPr>
                <w:color w:val="auto"/>
              </w:rPr>
            </w:pPr>
            <w:r>
              <w:rPr>
                <w:color w:val="auto"/>
              </w:rPr>
              <w:t>　</w:t>
            </w:r>
          </w:p>
        </w:tc>
      </w:tr>
      <w:tr w14:paraId="171BB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noWrap/>
            <w:vAlign w:val="center"/>
          </w:tcPr>
          <w:p w14:paraId="44A803BF">
            <w:pPr>
              <w:pStyle w:val="44"/>
              <w:rPr>
                <w:color w:val="auto"/>
              </w:rPr>
            </w:pPr>
            <w:r>
              <w:rPr>
                <w:color w:val="auto"/>
              </w:rPr>
              <w:t>10</w:t>
            </w:r>
          </w:p>
        </w:tc>
        <w:tc>
          <w:tcPr>
            <w:tcW w:w="1933" w:type="pct"/>
            <w:gridSpan w:val="2"/>
            <w:vAlign w:val="center"/>
          </w:tcPr>
          <w:p w14:paraId="77F316F2">
            <w:pPr>
              <w:pStyle w:val="44"/>
              <w:rPr>
                <w:color w:val="auto"/>
              </w:rPr>
            </w:pPr>
            <w:r>
              <w:rPr>
                <w:color w:val="auto"/>
              </w:rPr>
              <w:t>规划范围总面积</w:t>
            </w:r>
          </w:p>
        </w:tc>
        <w:tc>
          <w:tcPr>
            <w:tcW w:w="778" w:type="pct"/>
            <w:vAlign w:val="center"/>
          </w:tcPr>
          <w:p w14:paraId="6CB52796">
            <w:pPr>
              <w:pStyle w:val="44"/>
              <w:rPr>
                <w:color w:val="auto"/>
              </w:rPr>
            </w:pPr>
            <w:r>
              <w:rPr>
                <w:color w:val="auto"/>
              </w:rPr>
              <w:t>　</w:t>
            </w:r>
          </w:p>
        </w:tc>
        <w:tc>
          <w:tcPr>
            <w:tcW w:w="777" w:type="pct"/>
            <w:vAlign w:val="center"/>
          </w:tcPr>
          <w:p w14:paraId="60367CD1">
            <w:pPr>
              <w:pStyle w:val="44"/>
              <w:rPr>
                <w:color w:val="auto"/>
              </w:rPr>
            </w:pPr>
            <w:r>
              <w:rPr>
                <w:color w:val="auto"/>
              </w:rPr>
              <w:t xml:space="preserve">421.06 </w:t>
            </w:r>
          </w:p>
        </w:tc>
        <w:tc>
          <w:tcPr>
            <w:tcW w:w="820" w:type="pct"/>
            <w:noWrap/>
            <w:vAlign w:val="center"/>
          </w:tcPr>
          <w:p w14:paraId="3EA35BB2">
            <w:pPr>
              <w:pStyle w:val="44"/>
              <w:rPr>
                <w:color w:val="auto"/>
              </w:rPr>
            </w:pPr>
            <w:r>
              <w:rPr>
                <w:color w:val="auto"/>
              </w:rPr>
              <w:t>　</w:t>
            </w:r>
          </w:p>
        </w:tc>
      </w:tr>
    </w:tbl>
    <w:p w14:paraId="761C4236">
      <w:pPr>
        <w:pStyle w:val="6"/>
        <w:numPr>
          <w:ilvl w:val="3"/>
          <w:numId w:val="0"/>
        </w:numPr>
        <w:rPr>
          <w:color w:val="auto"/>
        </w:rPr>
      </w:pPr>
      <w:r>
        <w:rPr>
          <w:color w:val="auto"/>
        </w:rPr>
        <w:t>2.2.2.2 B区功能定位与规模</w:t>
      </w:r>
    </w:p>
    <w:p w14:paraId="5153051A">
      <w:pPr>
        <w:topLinePunct/>
        <w:ind w:firstLine="480"/>
        <w:rPr>
          <w:color w:val="auto"/>
        </w:rPr>
      </w:pPr>
      <w:r>
        <w:rPr>
          <w:color w:val="auto"/>
        </w:rPr>
        <w:t>九龙工业园区（B区）位于中梁山街道和九龙坡区华岩片区，已形成以建设雅马哈、普什、隆鑫为代表的汽车、摩托车产业集群。</w:t>
      </w:r>
    </w:p>
    <w:p w14:paraId="7A69D291">
      <w:pPr>
        <w:topLinePunct/>
        <w:ind w:firstLine="480"/>
        <w:rPr>
          <w:color w:val="auto"/>
        </w:rPr>
      </w:pPr>
      <w:r>
        <w:rPr>
          <w:color w:val="auto"/>
        </w:rPr>
        <w:t>九龙工业园区（B区）范围较为分散，规划用地主要位于中梁山组团D标准分区、中梁山组团E标准分区、中梁山组团F标准分区、中梁山组团G标准分区、中梁山组团H标准分区、中梁山组团J标准分区、大渡口D标准分区、大渡口组团I标准分区、中梁山组团IKL标准分区及大渡口组团KO标准分区，共计9个规划的部分用地，总规划面积897.92hm</w:t>
      </w:r>
      <w:r>
        <w:rPr>
          <w:color w:val="auto"/>
          <w:vertAlign w:val="superscript"/>
        </w:rPr>
        <w:t>2</w:t>
      </w:r>
      <w:r>
        <w:rPr>
          <w:color w:val="auto"/>
        </w:rPr>
        <w:t>。以下分别叙述其用地情况。</w:t>
      </w:r>
    </w:p>
    <w:p w14:paraId="042D1AF9">
      <w:pPr>
        <w:topLinePunct/>
        <w:ind w:firstLine="0" w:firstLineChars="0"/>
        <w:jc w:val="left"/>
        <w:rPr>
          <w:b/>
          <w:bCs/>
          <w:color w:val="auto"/>
          <w:kern w:val="0"/>
          <w:lang w:bidi="en-US"/>
        </w:rPr>
      </w:pPr>
      <w:r>
        <w:rPr>
          <w:b/>
          <w:bCs/>
          <w:color w:val="auto"/>
          <w:kern w:val="0"/>
          <w:lang w:bidi="en-US"/>
        </w:rPr>
        <w:t>表2.2-2                     九龙工业园区（B区）技术经济指标</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6"/>
        <w:gridCol w:w="1632"/>
        <w:gridCol w:w="2343"/>
        <w:gridCol w:w="1276"/>
        <w:gridCol w:w="1276"/>
        <w:gridCol w:w="1354"/>
      </w:tblGrid>
      <w:tr w14:paraId="6FBB7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noWrap/>
            <w:vAlign w:val="center"/>
          </w:tcPr>
          <w:p w14:paraId="7179602C">
            <w:pPr>
              <w:pStyle w:val="44"/>
              <w:rPr>
                <w:color w:val="auto"/>
              </w:rPr>
            </w:pPr>
            <w:r>
              <w:rPr>
                <w:color w:val="auto"/>
              </w:rPr>
              <w:t>序号</w:t>
            </w:r>
          </w:p>
        </w:tc>
        <w:tc>
          <w:tcPr>
            <w:tcW w:w="2180" w:type="pct"/>
            <w:gridSpan w:val="2"/>
            <w:vAlign w:val="center"/>
          </w:tcPr>
          <w:p w14:paraId="44F9C2AA">
            <w:pPr>
              <w:pStyle w:val="44"/>
              <w:rPr>
                <w:color w:val="auto"/>
              </w:rPr>
            </w:pPr>
            <w:r>
              <w:rPr>
                <w:color w:val="auto"/>
              </w:rPr>
              <w:t>用地名称</w:t>
            </w:r>
          </w:p>
        </w:tc>
        <w:tc>
          <w:tcPr>
            <w:tcW w:w="700" w:type="pct"/>
            <w:vAlign w:val="center"/>
          </w:tcPr>
          <w:p w14:paraId="6EC304DB">
            <w:pPr>
              <w:pStyle w:val="44"/>
              <w:rPr>
                <w:color w:val="auto"/>
              </w:rPr>
            </w:pPr>
            <w:r>
              <w:rPr>
                <w:color w:val="auto"/>
              </w:rPr>
              <w:t>用地代码</w:t>
            </w:r>
          </w:p>
        </w:tc>
        <w:tc>
          <w:tcPr>
            <w:tcW w:w="700" w:type="pct"/>
            <w:vAlign w:val="center"/>
          </w:tcPr>
          <w:p w14:paraId="6B4FB0AB">
            <w:pPr>
              <w:pStyle w:val="44"/>
              <w:rPr>
                <w:color w:val="auto"/>
              </w:rPr>
            </w:pPr>
            <w:r>
              <w:rPr>
                <w:color w:val="auto"/>
              </w:rPr>
              <w:t>面积（公顷）</w:t>
            </w:r>
          </w:p>
        </w:tc>
        <w:tc>
          <w:tcPr>
            <w:tcW w:w="742" w:type="pct"/>
            <w:vAlign w:val="center"/>
          </w:tcPr>
          <w:p w14:paraId="4FBA4B0F">
            <w:pPr>
              <w:pStyle w:val="44"/>
              <w:rPr>
                <w:color w:val="auto"/>
              </w:rPr>
            </w:pPr>
            <w:r>
              <w:rPr>
                <w:color w:val="auto"/>
              </w:rPr>
              <w:t>占城市建设用地（%）</w:t>
            </w:r>
          </w:p>
        </w:tc>
      </w:tr>
      <w:tr w14:paraId="4BF9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367C2332">
            <w:pPr>
              <w:pStyle w:val="44"/>
              <w:rPr>
                <w:color w:val="auto"/>
              </w:rPr>
            </w:pPr>
            <w:r>
              <w:rPr>
                <w:color w:val="auto"/>
              </w:rPr>
              <w:t>1</w:t>
            </w:r>
          </w:p>
        </w:tc>
        <w:tc>
          <w:tcPr>
            <w:tcW w:w="2180" w:type="pct"/>
            <w:gridSpan w:val="2"/>
            <w:vAlign w:val="center"/>
          </w:tcPr>
          <w:p w14:paraId="06B55382">
            <w:pPr>
              <w:pStyle w:val="44"/>
              <w:rPr>
                <w:color w:val="auto"/>
              </w:rPr>
            </w:pPr>
            <w:r>
              <w:rPr>
                <w:color w:val="auto"/>
              </w:rPr>
              <w:t>居住用地</w:t>
            </w:r>
          </w:p>
        </w:tc>
        <w:tc>
          <w:tcPr>
            <w:tcW w:w="700" w:type="pct"/>
            <w:vAlign w:val="center"/>
          </w:tcPr>
          <w:p w14:paraId="38350226">
            <w:pPr>
              <w:pStyle w:val="44"/>
              <w:rPr>
                <w:color w:val="auto"/>
              </w:rPr>
            </w:pPr>
            <w:r>
              <w:rPr>
                <w:color w:val="auto"/>
              </w:rPr>
              <w:t>R</w:t>
            </w:r>
          </w:p>
        </w:tc>
        <w:tc>
          <w:tcPr>
            <w:tcW w:w="700" w:type="pct"/>
            <w:vAlign w:val="center"/>
          </w:tcPr>
          <w:p w14:paraId="52171FB2">
            <w:pPr>
              <w:pStyle w:val="44"/>
              <w:rPr>
                <w:color w:val="auto"/>
              </w:rPr>
            </w:pPr>
            <w:r>
              <w:rPr>
                <w:color w:val="auto"/>
              </w:rPr>
              <w:t xml:space="preserve">90.14 </w:t>
            </w:r>
          </w:p>
        </w:tc>
        <w:tc>
          <w:tcPr>
            <w:tcW w:w="742" w:type="pct"/>
            <w:vAlign w:val="center"/>
          </w:tcPr>
          <w:p w14:paraId="5EDD18E1">
            <w:pPr>
              <w:pStyle w:val="44"/>
              <w:rPr>
                <w:color w:val="auto"/>
              </w:rPr>
            </w:pPr>
            <w:r>
              <w:rPr>
                <w:color w:val="auto"/>
              </w:rPr>
              <w:t xml:space="preserve">10.04 </w:t>
            </w:r>
          </w:p>
        </w:tc>
      </w:tr>
      <w:tr w14:paraId="14692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6F4C7958">
            <w:pPr>
              <w:pStyle w:val="44"/>
              <w:rPr>
                <w:color w:val="auto"/>
              </w:rPr>
            </w:pPr>
          </w:p>
        </w:tc>
        <w:tc>
          <w:tcPr>
            <w:tcW w:w="895" w:type="pct"/>
            <w:vAlign w:val="center"/>
          </w:tcPr>
          <w:p w14:paraId="6203F5CB">
            <w:pPr>
              <w:pStyle w:val="44"/>
              <w:rPr>
                <w:color w:val="auto"/>
              </w:rPr>
            </w:pPr>
            <w:r>
              <w:rPr>
                <w:color w:val="auto"/>
              </w:rPr>
              <w:t>其中</w:t>
            </w:r>
          </w:p>
        </w:tc>
        <w:tc>
          <w:tcPr>
            <w:tcW w:w="1285" w:type="pct"/>
            <w:vAlign w:val="center"/>
          </w:tcPr>
          <w:p w14:paraId="555791FD">
            <w:pPr>
              <w:pStyle w:val="44"/>
              <w:rPr>
                <w:color w:val="auto"/>
              </w:rPr>
            </w:pPr>
            <w:r>
              <w:rPr>
                <w:color w:val="auto"/>
              </w:rPr>
              <w:t>二类居住用地</w:t>
            </w:r>
          </w:p>
        </w:tc>
        <w:tc>
          <w:tcPr>
            <w:tcW w:w="700" w:type="pct"/>
            <w:vAlign w:val="center"/>
          </w:tcPr>
          <w:p w14:paraId="27D705A3">
            <w:pPr>
              <w:pStyle w:val="44"/>
              <w:rPr>
                <w:color w:val="auto"/>
              </w:rPr>
            </w:pPr>
            <w:r>
              <w:rPr>
                <w:color w:val="auto"/>
              </w:rPr>
              <w:t>R2</w:t>
            </w:r>
          </w:p>
        </w:tc>
        <w:tc>
          <w:tcPr>
            <w:tcW w:w="700" w:type="pct"/>
            <w:vAlign w:val="center"/>
          </w:tcPr>
          <w:p w14:paraId="7CCB1900">
            <w:pPr>
              <w:pStyle w:val="44"/>
              <w:rPr>
                <w:color w:val="auto"/>
              </w:rPr>
            </w:pPr>
            <w:r>
              <w:rPr>
                <w:color w:val="auto"/>
              </w:rPr>
              <w:t xml:space="preserve">90.14 </w:t>
            </w:r>
          </w:p>
        </w:tc>
        <w:tc>
          <w:tcPr>
            <w:tcW w:w="742" w:type="pct"/>
            <w:vAlign w:val="center"/>
          </w:tcPr>
          <w:p w14:paraId="2B3DEF50">
            <w:pPr>
              <w:pStyle w:val="44"/>
              <w:rPr>
                <w:color w:val="auto"/>
              </w:rPr>
            </w:pPr>
            <w:r>
              <w:rPr>
                <w:color w:val="auto"/>
              </w:rPr>
              <w:t>　</w:t>
            </w:r>
          </w:p>
        </w:tc>
      </w:tr>
      <w:tr w14:paraId="32FCB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4FC3AA80">
            <w:pPr>
              <w:pStyle w:val="44"/>
              <w:rPr>
                <w:color w:val="auto"/>
              </w:rPr>
            </w:pPr>
            <w:r>
              <w:rPr>
                <w:color w:val="auto"/>
              </w:rPr>
              <w:t>2</w:t>
            </w:r>
          </w:p>
        </w:tc>
        <w:tc>
          <w:tcPr>
            <w:tcW w:w="2180" w:type="pct"/>
            <w:gridSpan w:val="2"/>
            <w:noWrap/>
            <w:vAlign w:val="center"/>
          </w:tcPr>
          <w:p w14:paraId="4EFBE4E6">
            <w:pPr>
              <w:pStyle w:val="44"/>
              <w:rPr>
                <w:color w:val="auto"/>
              </w:rPr>
            </w:pPr>
            <w:r>
              <w:rPr>
                <w:color w:val="auto"/>
              </w:rPr>
              <w:t>工业用地</w:t>
            </w:r>
          </w:p>
        </w:tc>
        <w:tc>
          <w:tcPr>
            <w:tcW w:w="700" w:type="pct"/>
            <w:noWrap/>
            <w:vAlign w:val="center"/>
          </w:tcPr>
          <w:p w14:paraId="66BD5D5E">
            <w:pPr>
              <w:pStyle w:val="44"/>
              <w:rPr>
                <w:color w:val="auto"/>
              </w:rPr>
            </w:pPr>
            <w:r>
              <w:rPr>
                <w:color w:val="auto"/>
              </w:rPr>
              <w:t>M</w:t>
            </w:r>
          </w:p>
        </w:tc>
        <w:tc>
          <w:tcPr>
            <w:tcW w:w="700" w:type="pct"/>
            <w:vAlign w:val="center"/>
          </w:tcPr>
          <w:p w14:paraId="21A00ABB">
            <w:pPr>
              <w:pStyle w:val="44"/>
              <w:rPr>
                <w:color w:val="auto"/>
              </w:rPr>
            </w:pPr>
            <w:r>
              <w:rPr>
                <w:color w:val="auto"/>
              </w:rPr>
              <w:t xml:space="preserve">355.31 </w:t>
            </w:r>
          </w:p>
        </w:tc>
        <w:tc>
          <w:tcPr>
            <w:tcW w:w="742" w:type="pct"/>
            <w:vAlign w:val="center"/>
          </w:tcPr>
          <w:p w14:paraId="5E13D725">
            <w:pPr>
              <w:pStyle w:val="44"/>
              <w:rPr>
                <w:color w:val="auto"/>
              </w:rPr>
            </w:pPr>
            <w:r>
              <w:rPr>
                <w:color w:val="auto"/>
              </w:rPr>
              <w:t xml:space="preserve">39.57 </w:t>
            </w:r>
          </w:p>
        </w:tc>
      </w:tr>
      <w:tr w14:paraId="2DA2B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3D9A8992">
            <w:pPr>
              <w:pStyle w:val="44"/>
              <w:rPr>
                <w:color w:val="auto"/>
              </w:rPr>
            </w:pPr>
          </w:p>
        </w:tc>
        <w:tc>
          <w:tcPr>
            <w:tcW w:w="895" w:type="pct"/>
            <w:vMerge w:val="restart"/>
            <w:noWrap/>
            <w:vAlign w:val="center"/>
          </w:tcPr>
          <w:p w14:paraId="78BDA24B">
            <w:pPr>
              <w:pStyle w:val="44"/>
              <w:rPr>
                <w:color w:val="auto"/>
              </w:rPr>
            </w:pPr>
            <w:r>
              <w:rPr>
                <w:color w:val="auto"/>
              </w:rPr>
              <w:t>其中</w:t>
            </w:r>
          </w:p>
        </w:tc>
        <w:tc>
          <w:tcPr>
            <w:tcW w:w="1285" w:type="pct"/>
            <w:noWrap/>
            <w:vAlign w:val="center"/>
          </w:tcPr>
          <w:p w14:paraId="7690575A">
            <w:pPr>
              <w:pStyle w:val="44"/>
              <w:rPr>
                <w:color w:val="auto"/>
              </w:rPr>
            </w:pPr>
            <w:r>
              <w:rPr>
                <w:color w:val="auto"/>
              </w:rPr>
              <w:t>一类工业用地</w:t>
            </w:r>
          </w:p>
        </w:tc>
        <w:tc>
          <w:tcPr>
            <w:tcW w:w="700" w:type="pct"/>
            <w:noWrap/>
            <w:vAlign w:val="center"/>
          </w:tcPr>
          <w:p w14:paraId="714AD1DE">
            <w:pPr>
              <w:pStyle w:val="44"/>
              <w:rPr>
                <w:color w:val="auto"/>
              </w:rPr>
            </w:pPr>
            <w:r>
              <w:rPr>
                <w:color w:val="auto"/>
              </w:rPr>
              <w:t>M1</w:t>
            </w:r>
          </w:p>
        </w:tc>
        <w:tc>
          <w:tcPr>
            <w:tcW w:w="700" w:type="pct"/>
            <w:vAlign w:val="center"/>
          </w:tcPr>
          <w:p w14:paraId="5B189CE1">
            <w:pPr>
              <w:pStyle w:val="44"/>
              <w:rPr>
                <w:color w:val="auto"/>
              </w:rPr>
            </w:pPr>
            <w:r>
              <w:rPr>
                <w:color w:val="auto"/>
              </w:rPr>
              <w:t xml:space="preserve">37.10 </w:t>
            </w:r>
          </w:p>
        </w:tc>
        <w:tc>
          <w:tcPr>
            <w:tcW w:w="742" w:type="pct"/>
            <w:vAlign w:val="center"/>
          </w:tcPr>
          <w:p w14:paraId="124A2C43">
            <w:pPr>
              <w:pStyle w:val="44"/>
              <w:rPr>
                <w:color w:val="auto"/>
              </w:rPr>
            </w:pPr>
            <w:r>
              <w:rPr>
                <w:color w:val="auto"/>
              </w:rPr>
              <w:t>　</w:t>
            </w:r>
          </w:p>
        </w:tc>
      </w:tr>
      <w:tr w14:paraId="54E60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29F459BD">
            <w:pPr>
              <w:pStyle w:val="44"/>
              <w:rPr>
                <w:color w:val="auto"/>
              </w:rPr>
            </w:pPr>
          </w:p>
        </w:tc>
        <w:tc>
          <w:tcPr>
            <w:tcW w:w="895" w:type="pct"/>
            <w:vMerge w:val="continue"/>
            <w:vAlign w:val="center"/>
          </w:tcPr>
          <w:p w14:paraId="5FB4229B">
            <w:pPr>
              <w:pStyle w:val="44"/>
              <w:rPr>
                <w:color w:val="auto"/>
              </w:rPr>
            </w:pPr>
          </w:p>
        </w:tc>
        <w:tc>
          <w:tcPr>
            <w:tcW w:w="1285" w:type="pct"/>
            <w:noWrap/>
            <w:vAlign w:val="center"/>
          </w:tcPr>
          <w:p w14:paraId="0C17CD83">
            <w:pPr>
              <w:pStyle w:val="44"/>
              <w:rPr>
                <w:color w:val="auto"/>
              </w:rPr>
            </w:pPr>
            <w:r>
              <w:rPr>
                <w:color w:val="auto"/>
              </w:rPr>
              <w:t>二类工业用地</w:t>
            </w:r>
          </w:p>
        </w:tc>
        <w:tc>
          <w:tcPr>
            <w:tcW w:w="700" w:type="pct"/>
            <w:noWrap/>
            <w:vAlign w:val="center"/>
          </w:tcPr>
          <w:p w14:paraId="58146A58">
            <w:pPr>
              <w:pStyle w:val="44"/>
              <w:rPr>
                <w:color w:val="auto"/>
              </w:rPr>
            </w:pPr>
            <w:r>
              <w:rPr>
                <w:color w:val="auto"/>
              </w:rPr>
              <w:t>M2</w:t>
            </w:r>
          </w:p>
        </w:tc>
        <w:tc>
          <w:tcPr>
            <w:tcW w:w="700" w:type="pct"/>
            <w:vAlign w:val="center"/>
          </w:tcPr>
          <w:p w14:paraId="6B516AB7">
            <w:pPr>
              <w:pStyle w:val="44"/>
              <w:rPr>
                <w:color w:val="auto"/>
              </w:rPr>
            </w:pPr>
            <w:r>
              <w:rPr>
                <w:color w:val="auto"/>
              </w:rPr>
              <w:t xml:space="preserve">318.21 </w:t>
            </w:r>
          </w:p>
        </w:tc>
        <w:tc>
          <w:tcPr>
            <w:tcW w:w="742" w:type="pct"/>
            <w:vAlign w:val="center"/>
          </w:tcPr>
          <w:p w14:paraId="32F5C7AB">
            <w:pPr>
              <w:pStyle w:val="44"/>
              <w:rPr>
                <w:color w:val="auto"/>
              </w:rPr>
            </w:pPr>
            <w:r>
              <w:rPr>
                <w:color w:val="auto"/>
              </w:rPr>
              <w:t>　</w:t>
            </w:r>
          </w:p>
        </w:tc>
      </w:tr>
      <w:tr w14:paraId="6B7C0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38E5B322">
            <w:pPr>
              <w:pStyle w:val="44"/>
              <w:rPr>
                <w:color w:val="auto"/>
              </w:rPr>
            </w:pPr>
            <w:r>
              <w:rPr>
                <w:color w:val="auto"/>
              </w:rPr>
              <w:t>3</w:t>
            </w:r>
          </w:p>
        </w:tc>
        <w:tc>
          <w:tcPr>
            <w:tcW w:w="2180" w:type="pct"/>
            <w:gridSpan w:val="2"/>
            <w:noWrap/>
            <w:vAlign w:val="center"/>
          </w:tcPr>
          <w:p w14:paraId="5F4AA326">
            <w:pPr>
              <w:pStyle w:val="44"/>
              <w:rPr>
                <w:color w:val="auto"/>
              </w:rPr>
            </w:pPr>
            <w:r>
              <w:rPr>
                <w:color w:val="auto"/>
              </w:rPr>
              <w:t>商业服务业设施用地</w:t>
            </w:r>
          </w:p>
        </w:tc>
        <w:tc>
          <w:tcPr>
            <w:tcW w:w="700" w:type="pct"/>
            <w:vAlign w:val="center"/>
          </w:tcPr>
          <w:p w14:paraId="50EBD8F2">
            <w:pPr>
              <w:pStyle w:val="44"/>
              <w:rPr>
                <w:color w:val="auto"/>
              </w:rPr>
            </w:pPr>
            <w:r>
              <w:rPr>
                <w:color w:val="auto"/>
              </w:rPr>
              <w:t>B</w:t>
            </w:r>
          </w:p>
        </w:tc>
        <w:tc>
          <w:tcPr>
            <w:tcW w:w="700" w:type="pct"/>
            <w:vAlign w:val="center"/>
          </w:tcPr>
          <w:p w14:paraId="1C190E36">
            <w:pPr>
              <w:pStyle w:val="44"/>
              <w:rPr>
                <w:color w:val="auto"/>
              </w:rPr>
            </w:pPr>
            <w:r>
              <w:rPr>
                <w:color w:val="auto"/>
              </w:rPr>
              <w:t xml:space="preserve">39.94 </w:t>
            </w:r>
          </w:p>
        </w:tc>
        <w:tc>
          <w:tcPr>
            <w:tcW w:w="742" w:type="pct"/>
            <w:vAlign w:val="center"/>
          </w:tcPr>
          <w:p w14:paraId="3A0D7642">
            <w:pPr>
              <w:pStyle w:val="44"/>
              <w:rPr>
                <w:color w:val="auto"/>
              </w:rPr>
            </w:pPr>
            <w:r>
              <w:rPr>
                <w:color w:val="auto"/>
              </w:rPr>
              <w:t xml:space="preserve">4.45 </w:t>
            </w:r>
          </w:p>
        </w:tc>
      </w:tr>
      <w:tr w14:paraId="41427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5C759448">
            <w:pPr>
              <w:pStyle w:val="44"/>
              <w:rPr>
                <w:color w:val="auto"/>
              </w:rPr>
            </w:pPr>
          </w:p>
        </w:tc>
        <w:tc>
          <w:tcPr>
            <w:tcW w:w="895" w:type="pct"/>
            <w:vMerge w:val="restart"/>
            <w:noWrap/>
            <w:vAlign w:val="center"/>
          </w:tcPr>
          <w:p w14:paraId="721C9F4F">
            <w:pPr>
              <w:pStyle w:val="44"/>
              <w:rPr>
                <w:color w:val="auto"/>
              </w:rPr>
            </w:pPr>
            <w:r>
              <w:rPr>
                <w:color w:val="auto"/>
              </w:rPr>
              <w:t>其中</w:t>
            </w:r>
          </w:p>
        </w:tc>
        <w:tc>
          <w:tcPr>
            <w:tcW w:w="1285" w:type="pct"/>
            <w:noWrap/>
            <w:vAlign w:val="center"/>
          </w:tcPr>
          <w:p w14:paraId="0E730B20">
            <w:pPr>
              <w:pStyle w:val="44"/>
              <w:rPr>
                <w:color w:val="auto"/>
              </w:rPr>
            </w:pPr>
            <w:r>
              <w:rPr>
                <w:color w:val="auto"/>
              </w:rPr>
              <w:t>商业用地</w:t>
            </w:r>
          </w:p>
        </w:tc>
        <w:tc>
          <w:tcPr>
            <w:tcW w:w="700" w:type="pct"/>
            <w:noWrap/>
            <w:vAlign w:val="center"/>
          </w:tcPr>
          <w:p w14:paraId="5F4D1E35">
            <w:pPr>
              <w:pStyle w:val="44"/>
              <w:rPr>
                <w:color w:val="auto"/>
              </w:rPr>
            </w:pPr>
            <w:r>
              <w:rPr>
                <w:color w:val="auto"/>
              </w:rPr>
              <w:t>B1</w:t>
            </w:r>
          </w:p>
        </w:tc>
        <w:tc>
          <w:tcPr>
            <w:tcW w:w="700" w:type="pct"/>
            <w:vAlign w:val="center"/>
          </w:tcPr>
          <w:p w14:paraId="6BBF1AFE">
            <w:pPr>
              <w:pStyle w:val="44"/>
              <w:rPr>
                <w:color w:val="auto"/>
              </w:rPr>
            </w:pPr>
            <w:r>
              <w:rPr>
                <w:color w:val="auto"/>
              </w:rPr>
              <w:t xml:space="preserve">4.85 </w:t>
            </w:r>
          </w:p>
        </w:tc>
        <w:tc>
          <w:tcPr>
            <w:tcW w:w="742" w:type="pct"/>
            <w:vAlign w:val="center"/>
          </w:tcPr>
          <w:p w14:paraId="2FDCA0CD">
            <w:pPr>
              <w:pStyle w:val="44"/>
              <w:rPr>
                <w:color w:val="auto"/>
              </w:rPr>
            </w:pPr>
            <w:r>
              <w:rPr>
                <w:color w:val="auto"/>
              </w:rPr>
              <w:t>　</w:t>
            </w:r>
          </w:p>
        </w:tc>
      </w:tr>
      <w:tr w14:paraId="4A58A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20B0D086">
            <w:pPr>
              <w:pStyle w:val="44"/>
              <w:rPr>
                <w:color w:val="auto"/>
              </w:rPr>
            </w:pPr>
          </w:p>
        </w:tc>
        <w:tc>
          <w:tcPr>
            <w:tcW w:w="895" w:type="pct"/>
            <w:vMerge w:val="continue"/>
            <w:vAlign w:val="center"/>
          </w:tcPr>
          <w:p w14:paraId="1E12C97F">
            <w:pPr>
              <w:pStyle w:val="44"/>
              <w:rPr>
                <w:color w:val="auto"/>
              </w:rPr>
            </w:pPr>
          </w:p>
        </w:tc>
        <w:tc>
          <w:tcPr>
            <w:tcW w:w="1285" w:type="pct"/>
            <w:noWrap/>
            <w:vAlign w:val="center"/>
          </w:tcPr>
          <w:p w14:paraId="4FF1DAFC">
            <w:pPr>
              <w:pStyle w:val="44"/>
              <w:rPr>
                <w:color w:val="auto"/>
              </w:rPr>
            </w:pPr>
            <w:r>
              <w:rPr>
                <w:color w:val="auto"/>
              </w:rPr>
              <w:t>商业商务用地</w:t>
            </w:r>
          </w:p>
        </w:tc>
        <w:tc>
          <w:tcPr>
            <w:tcW w:w="700" w:type="pct"/>
            <w:noWrap/>
            <w:vAlign w:val="center"/>
          </w:tcPr>
          <w:p w14:paraId="153BDA27">
            <w:pPr>
              <w:pStyle w:val="44"/>
              <w:rPr>
                <w:color w:val="auto"/>
              </w:rPr>
            </w:pPr>
            <w:r>
              <w:rPr>
                <w:color w:val="auto"/>
              </w:rPr>
              <w:t>B1B2</w:t>
            </w:r>
          </w:p>
        </w:tc>
        <w:tc>
          <w:tcPr>
            <w:tcW w:w="700" w:type="pct"/>
            <w:vAlign w:val="center"/>
          </w:tcPr>
          <w:p w14:paraId="1B369957">
            <w:pPr>
              <w:pStyle w:val="44"/>
              <w:rPr>
                <w:color w:val="auto"/>
              </w:rPr>
            </w:pPr>
            <w:r>
              <w:rPr>
                <w:color w:val="auto"/>
              </w:rPr>
              <w:t xml:space="preserve">7.07 </w:t>
            </w:r>
          </w:p>
        </w:tc>
        <w:tc>
          <w:tcPr>
            <w:tcW w:w="742" w:type="pct"/>
            <w:vAlign w:val="center"/>
          </w:tcPr>
          <w:p w14:paraId="28FF959C">
            <w:pPr>
              <w:pStyle w:val="44"/>
              <w:rPr>
                <w:color w:val="auto"/>
              </w:rPr>
            </w:pPr>
            <w:r>
              <w:rPr>
                <w:color w:val="auto"/>
              </w:rPr>
              <w:t>　</w:t>
            </w:r>
          </w:p>
        </w:tc>
      </w:tr>
      <w:tr w14:paraId="076C0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1BB750B4">
            <w:pPr>
              <w:pStyle w:val="44"/>
              <w:rPr>
                <w:color w:val="auto"/>
              </w:rPr>
            </w:pPr>
          </w:p>
        </w:tc>
        <w:tc>
          <w:tcPr>
            <w:tcW w:w="895" w:type="pct"/>
            <w:vMerge w:val="continue"/>
            <w:vAlign w:val="center"/>
          </w:tcPr>
          <w:p w14:paraId="3A868116">
            <w:pPr>
              <w:pStyle w:val="44"/>
              <w:rPr>
                <w:color w:val="auto"/>
              </w:rPr>
            </w:pPr>
          </w:p>
        </w:tc>
        <w:tc>
          <w:tcPr>
            <w:tcW w:w="1285" w:type="pct"/>
            <w:noWrap/>
            <w:vAlign w:val="center"/>
          </w:tcPr>
          <w:p w14:paraId="37A181FD">
            <w:pPr>
              <w:pStyle w:val="44"/>
              <w:rPr>
                <w:color w:val="auto"/>
              </w:rPr>
            </w:pPr>
            <w:r>
              <w:rPr>
                <w:color w:val="auto"/>
              </w:rPr>
              <w:t>商住混合用地</w:t>
            </w:r>
          </w:p>
        </w:tc>
        <w:tc>
          <w:tcPr>
            <w:tcW w:w="700" w:type="pct"/>
            <w:noWrap/>
            <w:vAlign w:val="center"/>
          </w:tcPr>
          <w:p w14:paraId="1D73FB4B">
            <w:pPr>
              <w:pStyle w:val="44"/>
              <w:rPr>
                <w:color w:val="auto"/>
              </w:rPr>
            </w:pPr>
            <w:r>
              <w:rPr>
                <w:color w:val="auto"/>
              </w:rPr>
              <w:t>B1R2</w:t>
            </w:r>
          </w:p>
        </w:tc>
        <w:tc>
          <w:tcPr>
            <w:tcW w:w="700" w:type="pct"/>
            <w:vAlign w:val="center"/>
          </w:tcPr>
          <w:p w14:paraId="36B22825">
            <w:pPr>
              <w:pStyle w:val="44"/>
              <w:rPr>
                <w:color w:val="auto"/>
              </w:rPr>
            </w:pPr>
            <w:r>
              <w:rPr>
                <w:color w:val="auto"/>
              </w:rPr>
              <w:t xml:space="preserve">28.02 </w:t>
            </w:r>
          </w:p>
        </w:tc>
        <w:tc>
          <w:tcPr>
            <w:tcW w:w="742" w:type="pct"/>
            <w:noWrap/>
            <w:vAlign w:val="center"/>
          </w:tcPr>
          <w:p w14:paraId="08E30383">
            <w:pPr>
              <w:pStyle w:val="44"/>
              <w:rPr>
                <w:color w:val="auto"/>
              </w:rPr>
            </w:pPr>
            <w:r>
              <w:rPr>
                <w:color w:val="auto"/>
              </w:rPr>
              <w:t>　</w:t>
            </w:r>
          </w:p>
        </w:tc>
      </w:tr>
      <w:tr w14:paraId="35A5B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2DDDA06D">
            <w:pPr>
              <w:pStyle w:val="44"/>
              <w:rPr>
                <w:color w:val="auto"/>
              </w:rPr>
            </w:pPr>
            <w:r>
              <w:rPr>
                <w:color w:val="auto"/>
              </w:rPr>
              <w:t>4</w:t>
            </w:r>
          </w:p>
        </w:tc>
        <w:tc>
          <w:tcPr>
            <w:tcW w:w="2180" w:type="pct"/>
            <w:gridSpan w:val="2"/>
            <w:noWrap/>
            <w:vAlign w:val="center"/>
          </w:tcPr>
          <w:p w14:paraId="0CC8C3C2">
            <w:pPr>
              <w:pStyle w:val="44"/>
              <w:rPr>
                <w:color w:val="auto"/>
              </w:rPr>
            </w:pPr>
            <w:r>
              <w:rPr>
                <w:color w:val="auto"/>
              </w:rPr>
              <w:t>公共管理与公共服务用地</w:t>
            </w:r>
          </w:p>
        </w:tc>
        <w:tc>
          <w:tcPr>
            <w:tcW w:w="700" w:type="pct"/>
            <w:vAlign w:val="center"/>
          </w:tcPr>
          <w:p w14:paraId="29189492">
            <w:pPr>
              <w:pStyle w:val="44"/>
              <w:rPr>
                <w:color w:val="auto"/>
              </w:rPr>
            </w:pPr>
            <w:r>
              <w:rPr>
                <w:color w:val="auto"/>
              </w:rPr>
              <w:t>A</w:t>
            </w:r>
          </w:p>
        </w:tc>
        <w:tc>
          <w:tcPr>
            <w:tcW w:w="700" w:type="pct"/>
            <w:vAlign w:val="center"/>
          </w:tcPr>
          <w:p w14:paraId="52E701EB">
            <w:pPr>
              <w:pStyle w:val="44"/>
              <w:rPr>
                <w:color w:val="auto"/>
              </w:rPr>
            </w:pPr>
            <w:r>
              <w:rPr>
                <w:color w:val="auto"/>
              </w:rPr>
              <w:t xml:space="preserve">29.53 </w:t>
            </w:r>
          </w:p>
        </w:tc>
        <w:tc>
          <w:tcPr>
            <w:tcW w:w="742" w:type="pct"/>
            <w:vAlign w:val="center"/>
          </w:tcPr>
          <w:p w14:paraId="4E2C44A5">
            <w:pPr>
              <w:pStyle w:val="44"/>
              <w:rPr>
                <w:color w:val="auto"/>
              </w:rPr>
            </w:pPr>
            <w:r>
              <w:rPr>
                <w:color w:val="auto"/>
              </w:rPr>
              <w:t xml:space="preserve">3.29 </w:t>
            </w:r>
          </w:p>
        </w:tc>
      </w:tr>
      <w:tr w14:paraId="4BE95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14AD9A1E">
            <w:pPr>
              <w:pStyle w:val="44"/>
              <w:rPr>
                <w:color w:val="auto"/>
              </w:rPr>
            </w:pPr>
          </w:p>
        </w:tc>
        <w:tc>
          <w:tcPr>
            <w:tcW w:w="895" w:type="pct"/>
            <w:vMerge w:val="restart"/>
            <w:noWrap/>
            <w:vAlign w:val="center"/>
          </w:tcPr>
          <w:p w14:paraId="34F9A338">
            <w:pPr>
              <w:pStyle w:val="44"/>
              <w:rPr>
                <w:color w:val="auto"/>
              </w:rPr>
            </w:pPr>
            <w:r>
              <w:rPr>
                <w:color w:val="auto"/>
              </w:rPr>
              <w:t>其中</w:t>
            </w:r>
          </w:p>
        </w:tc>
        <w:tc>
          <w:tcPr>
            <w:tcW w:w="1285" w:type="pct"/>
            <w:noWrap/>
            <w:vAlign w:val="center"/>
          </w:tcPr>
          <w:p w14:paraId="209BE3B8">
            <w:pPr>
              <w:pStyle w:val="44"/>
              <w:rPr>
                <w:color w:val="auto"/>
              </w:rPr>
            </w:pPr>
            <w:r>
              <w:rPr>
                <w:color w:val="auto"/>
              </w:rPr>
              <w:t>教育科研用地</w:t>
            </w:r>
          </w:p>
        </w:tc>
        <w:tc>
          <w:tcPr>
            <w:tcW w:w="700" w:type="pct"/>
            <w:vAlign w:val="center"/>
          </w:tcPr>
          <w:p w14:paraId="3A8A0316">
            <w:pPr>
              <w:pStyle w:val="44"/>
              <w:rPr>
                <w:color w:val="auto"/>
              </w:rPr>
            </w:pPr>
            <w:r>
              <w:rPr>
                <w:color w:val="auto"/>
              </w:rPr>
              <w:t>A3</w:t>
            </w:r>
          </w:p>
        </w:tc>
        <w:tc>
          <w:tcPr>
            <w:tcW w:w="700" w:type="pct"/>
            <w:vAlign w:val="center"/>
          </w:tcPr>
          <w:p w14:paraId="0366B379">
            <w:pPr>
              <w:pStyle w:val="44"/>
              <w:rPr>
                <w:color w:val="auto"/>
              </w:rPr>
            </w:pPr>
            <w:r>
              <w:rPr>
                <w:color w:val="auto"/>
              </w:rPr>
              <w:t xml:space="preserve">19.60 </w:t>
            </w:r>
          </w:p>
        </w:tc>
        <w:tc>
          <w:tcPr>
            <w:tcW w:w="742" w:type="pct"/>
            <w:vAlign w:val="center"/>
          </w:tcPr>
          <w:p w14:paraId="77545CCE">
            <w:pPr>
              <w:pStyle w:val="44"/>
              <w:rPr>
                <w:color w:val="auto"/>
              </w:rPr>
            </w:pPr>
            <w:r>
              <w:rPr>
                <w:color w:val="auto"/>
              </w:rPr>
              <w:t>　</w:t>
            </w:r>
          </w:p>
        </w:tc>
      </w:tr>
      <w:tr w14:paraId="6E477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3974613B">
            <w:pPr>
              <w:pStyle w:val="44"/>
              <w:rPr>
                <w:color w:val="auto"/>
              </w:rPr>
            </w:pPr>
          </w:p>
        </w:tc>
        <w:tc>
          <w:tcPr>
            <w:tcW w:w="895" w:type="pct"/>
            <w:vMerge w:val="continue"/>
            <w:vAlign w:val="center"/>
          </w:tcPr>
          <w:p w14:paraId="6279CD8C">
            <w:pPr>
              <w:pStyle w:val="44"/>
              <w:rPr>
                <w:color w:val="auto"/>
              </w:rPr>
            </w:pPr>
          </w:p>
        </w:tc>
        <w:tc>
          <w:tcPr>
            <w:tcW w:w="1285" w:type="pct"/>
            <w:vAlign w:val="center"/>
          </w:tcPr>
          <w:p w14:paraId="3B7F2455">
            <w:pPr>
              <w:pStyle w:val="44"/>
              <w:rPr>
                <w:color w:val="auto"/>
              </w:rPr>
            </w:pPr>
            <w:r>
              <w:rPr>
                <w:color w:val="auto"/>
              </w:rPr>
              <w:t>中小学用地</w:t>
            </w:r>
          </w:p>
        </w:tc>
        <w:tc>
          <w:tcPr>
            <w:tcW w:w="700" w:type="pct"/>
            <w:vAlign w:val="center"/>
          </w:tcPr>
          <w:p w14:paraId="53A23DBC">
            <w:pPr>
              <w:pStyle w:val="44"/>
              <w:rPr>
                <w:color w:val="auto"/>
              </w:rPr>
            </w:pPr>
            <w:r>
              <w:rPr>
                <w:color w:val="auto"/>
              </w:rPr>
              <w:t>A33</w:t>
            </w:r>
          </w:p>
        </w:tc>
        <w:tc>
          <w:tcPr>
            <w:tcW w:w="700" w:type="pct"/>
            <w:vAlign w:val="center"/>
          </w:tcPr>
          <w:p w14:paraId="4939CAB1">
            <w:pPr>
              <w:pStyle w:val="44"/>
              <w:rPr>
                <w:color w:val="auto"/>
              </w:rPr>
            </w:pPr>
            <w:r>
              <w:rPr>
                <w:color w:val="auto"/>
              </w:rPr>
              <w:t xml:space="preserve">9.93 </w:t>
            </w:r>
          </w:p>
        </w:tc>
        <w:tc>
          <w:tcPr>
            <w:tcW w:w="742" w:type="pct"/>
            <w:noWrap/>
            <w:vAlign w:val="center"/>
          </w:tcPr>
          <w:p w14:paraId="500664BE">
            <w:pPr>
              <w:pStyle w:val="44"/>
              <w:rPr>
                <w:color w:val="auto"/>
              </w:rPr>
            </w:pPr>
            <w:r>
              <w:rPr>
                <w:color w:val="auto"/>
              </w:rPr>
              <w:t>　</w:t>
            </w:r>
          </w:p>
        </w:tc>
      </w:tr>
      <w:tr w14:paraId="4FCB6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50404D98">
            <w:pPr>
              <w:pStyle w:val="44"/>
              <w:rPr>
                <w:color w:val="auto"/>
              </w:rPr>
            </w:pPr>
            <w:r>
              <w:rPr>
                <w:color w:val="auto"/>
              </w:rPr>
              <w:t>5</w:t>
            </w:r>
          </w:p>
        </w:tc>
        <w:tc>
          <w:tcPr>
            <w:tcW w:w="2180" w:type="pct"/>
            <w:gridSpan w:val="2"/>
            <w:noWrap/>
            <w:vAlign w:val="center"/>
          </w:tcPr>
          <w:p w14:paraId="681CB764">
            <w:pPr>
              <w:pStyle w:val="44"/>
              <w:rPr>
                <w:color w:val="auto"/>
              </w:rPr>
            </w:pPr>
            <w:r>
              <w:rPr>
                <w:color w:val="auto"/>
              </w:rPr>
              <w:t>仓储用地</w:t>
            </w:r>
          </w:p>
        </w:tc>
        <w:tc>
          <w:tcPr>
            <w:tcW w:w="700" w:type="pct"/>
            <w:noWrap/>
            <w:vAlign w:val="center"/>
          </w:tcPr>
          <w:p w14:paraId="635E1906">
            <w:pPr>
              <w:pStyle w:val="44"/>
              <w:rPr>
                <w:color w:val="auto"/>
              </w:rPr>
            </w:pPr>
            <w:r>
              <w:rPr>
                <w:color w:val="auto"/>
              </w:rPr>
              <w:t>　</w:t>
            </w:r>
          </w:p>
        </w:tc>
        <w:tc>
          <w:tcPr>
            <w:tcW w:w="700" w:type="pct"/>
            <w:noWrap/>
            <w:vAlign w:val="center"/>
          </w:tcPr>
          <w:p w14:paraId="56194789">
            <w:pPr>
              <w:pStyle w:val="44"/>
              <w:rPr>
                <w:color w:val="auto"/>
              </w:rPr>
            </w:pPr>
            <w:r>
              <w:rPr>
                <w:color w:val="auto"/>
              </w:rPr>
              <w:t xml:space="preserve">2.34 </w:t>
            </w:r>
          </w:p>
        </w:tc>
        <w:tc>
          <w:tcPr>
            <w:tcW w:w="742" w:type="pct"/>
            <w:vAlign w:val="center"/>
          </w:tcPr>
          <w:p w14:paraId="449EF3AA">
            <w:pPr>
              <w:pStyle w:val="44"/>
              <w:rPr>
                <w:color w:val="auto"/>
              </w:rPr>
            </w:pPr>
            <w:r>
              <w:rPr>
                <w:color w:val="auto"/>
              </w:rPr>
              <w:t xml:space="preserve">0.26 </w:t>
            </w:r>
          </w:p>
        </w:tc>
      </w:tr>
      <w:tr w14:paraId="299321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06F5D8C7">
            <w:pPr>
              <w:pStyle w:val="44"/>
              <w:rPr>
                <w:color w:val="auto"/>
              </w:rPr>
            </w:pPr>
          </w:p>
        </w:tc>
        <w:tc>
          <w:tcPr>
            <w:tcW w:w="895" w:type="pct"/>
            <w:noWrap/>
            <w:vAlign w:val="center"/>
          </w:tcPr>
          <w:p w14:paraId="6A51441B">
            <w:pPr>
              <w:pStyle w:val="44"/>
              <w:rPr>
                <w:color w:val="auto"/>
              </w:rPr>
            </w:pPr>
            <w:r>
              <w:rPr>
                <w:color w:val="auto"/>
              </w:rPr>
              <w:t>其中</w:t>
            </w:r>
          </w:p>
        </w:tc>
        <w:tc>
          <w:tcPr>
            <w:tcW w:w="1285" w:type="pct"/>
            <w:noWrap/>
            <w:vAlign w:val="center"/>
          </w:tcPr>
          <w:p w14:paraId="40F8A064">
            <w:pPr>
              <w:pStyle w:val="44"/>
              <w:rPr>
                <w:color w:val="auto"/>
              </w:rPr>
            </w:pPr>
            <w:r>
              <w:rPr>
                <w:color w:val="auto"/>
              </w:rPr>
              <w:t>一类物流仓储用地</w:t>
            </w:r>
          </w:p>
        </w:tc>
        <w:tc>
          <w:tcPr>
            <w:tcW w:w="700" w:type="pct"/>
            <w:noWrap/>
            <w:vAlign w:val="center"/>
          </w:tcPr>
          <w:p w14:paraId="246A453F">
            <w:pPr>
              <w:pStyle w:val="44"/>
              <w:rPr>
                <w:color w:val="auto"/>
              </w:rPr>
            </w:pPr>
            <w:r>
              <w:rPr>
                <w:color w:val="auto"/>
              </w:rPr>
              <w:t>W1/W2</w:t>
            </w:r>
          </w:p>
        </w:tc>
        <w:tc>
          <w:tcPr>
            <w:tcW w:w="700" w:type="pct"/>
            <w:vAlign w:val="center"/>
          </w:tcPr>
          <w:p w14:paraId="63B88A11">
            <w:pPr>
              <w:pStyle w:val="44"/>
              <w:rPr>
                <w:color w:val="auto"/>
              </w:rPr>
            </w:pPr>
            <w:r>
              <w:rPr>
                <w:color w:val="auto"/>
              </w:rPr>
              <w:t xml:space="preserve">2.34 </w:t>
            </w:r>
          </w:p>
        </w:tc>
        <w:tc>
          <w:tcPr>
            <w:tcW w:w="742" w:type="pct"/>
            <w:noWrap/>
            <w:vAlign w:val="center"/>
          </w:tcPr>
          <w:p w14:paraId="3C219C9F">
            <w:pPr>
              <w:pStyle w:val="44"/>
              <w:rPr>
                <w:color w:val="auto"/>
              </w:rPr>
            </w:pPr>
            <w:r>
              <w:rPr>
                <w:color w:val="auto"/>
              </w:rPr>
              <w:t>　</w:t>
            </w:r>
          </w:p>
        </w:tc>
      </w:tr>
      <w:tr w14:paraId="04C50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66C41883">
            <w:pPr>
              <w:pStyle w:val="44"/>
              <w:rPr>
                <w:color w:val="auto"/>
              </w:rPr>
            </w:pPr>
            <w:r>
              <w:rPr>
                <w:color w:val="auto"/>
              </w:rPr>
              <w:t>6</w:t>
            </w:r>
          </w:p>
        </w:tc>
        <w:tc>
          <w:tcPr>
            <w:tcW w:w="2180" w:type="pct"/>
            <w:gridSpan w:val="2"/>
            <w:noWrap/>
            <w:vAlign w:val="center"/>
          </w:tcPr>
          <w:p w14:paraId="66B1DBA2">
            <w:pPr>
              <w:pStyle w:val="44"/>
              <w:rPr>
                <w:color w:val="auto"/>
              </w:rPr>
            </w:pPr>
            <w:r>
              <w:rPr>
                <w:color w:val="auto"/>
              </w:rPr>
              <w:t>道路与交通设施用地</w:t>
            </w:r>
          </w:p>
        </w:tc>
        <w:tc>
          <w:tcPr>
            <w:tcW w:w="700" w:type="pct"/>
            <w:vAlign w:val="center"/>
          </w:tcPr>
          <w:p w14:paraId="28A5D8A6">
            <w:pPr>
              <w:pStyle w:val="44"/>
              <w:rPr>
                <w:color w:val="auto"/>
              </w:rPr>
            </w:pPr>
            <w:r>
              <w:rPr>
                <w:color w:val="auto"/>
              </w:rPr>
              <w:t>S</w:t>
            </w:r>
          </w:p>
        </w:tc>
        <w:tc>
          <w:tcPr>
            <w:tcW w:w="700" w:type="pct"/>
            <w:vAlign w:val="center"/>
          </w:tcPr>
          <w:p w14:paraId="0D575089">
            <w:pPr>
              <w:pStyle w:val="44"/>
              <w:rPr>
                <w:color w:val="auto"/>
              </w:rPr>
            </w:pPr>
            <w:r>
              <w:rPr>
                <w:color w:val="auto"/>
              </w:rPr>
              <w:t xml:space="preserve">243.61 </w:t>
            </w:r>
          </w:p>
        </w:tc>
        <w:tc>
          <w:tcPr>
            <w:tcW w:w="742" w:type="pct"/>
            <w:vAlign w:val="center"/>
          </w:tcPr>
          <w:p w14:paraId="1723C289">
            <w:pPr>
              <w:pStyle w:val="44"/>
              <w:rPr>
                <w:color w:val="auto"/>
              </w:rPr>
            </w:pPr>
            <w:r>
              <w:rPr>
                <w:color w:val="auto"/>
              </w:rPr>
              <w:t xml:space="preserve">27.13 </w:t>
            </w:r>
          </w:p>
        </w:tc>
      </w:tr>
      <w:tr w14:paraId="7D605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29629AF0">
            <w:pPr>
              <w:pStyle w:val="44"/>
              <w:rPr>
                <w:color w:val="auto"/>
              </w:rPr>
            </w:pPr>
          </w:p>
        </w:tc>
        <w:tc>
          <w:tcPr>
            <w:tcW w:w="895" w:type="pct"/>
            <w:vMerge w:val="restart"/>
            <w:noWrap/>
            <w:vAlign w:val="center"/>
          </w:tcPr>
          <w:p w14:paraId="20F19B53">
            <w:pPr>
              <w:pStyle w:val="44"/>
              <w:rPr>
                <w:color w:val="auto"/>
              </w:rPr>
            </w:pPr>
            <w:r>
              <w:rPr>
                <w:color w:val="auto"/>
              </w:rPr>
              <w:t>其中</w:t>
            </w:r>
          </w:p>
        </w:tc>
        <w:tc>
          <w:tcPr>
            <w:tcW w:w="1285" w:type="pct"/>
            <w:vAlign w:val="center"/>
          </w:tcPr>
          <w:p w14:paraId="040DFCB7">
            <w:pPr>
              <w:pStyle w:val="44"/>
              <w:rPr>
                <w:color w:val="auto"/>
              </w:rPr>
            </w:pPr>
            <w:r>
              <w:rPr>
                <w:color w:val="auto"/>
              </w:rPr>
              <w:t>城市道路用地</w:t>
            </w:r>
          </w:p>
        </w:tc>
        <w:tc>
          <w:tcPr>
            <w:tcW w:w="700" w:type="pct"/>
            <w:noWrap/>
            <w:vAlign w:val="center"/>
          </w:tcPr>
          <w:p w14:paraId="6DAC8C49">
            <w:pPr>
              <w:pStyle w:val="44"/>
              <w:rPr>
                <w:color w:val="auto"/>
              </w:rPr>
            </w:pPr>
            <w:r>
              <w:rPr>
                <w:color w:val="auto"/>
              </w:rPr>
              <w:t>　</w:t>
            </w:r>
          </w:p>
        </w:tc>
        <w:tc>
          <w:tcPr>
            <w:tcW w:w="700" w:type="pct"/>
            <w:vAlign w:val="center"/>
          </w:tcPr>
          <w:p w14:paraId="197CCDCE">
            <w:pPr>
              <w:pStyle w:val="44"/>
              <w:rPr>
                <w:color w:val="auto"/>
              </w:rPr>
            </w:pPr>
            <w:r>
              <w:rPr>
                <w:color w:val="auto"/>
              </w:rPr>
              <w:t xml:space="preserve">226.89 </w:t>
            </w:r>
          </w:p>
        </w:tc>
        <w:tc>
          <w:tcPr>
            <w:tcW w:w="742" w:type="pct"/>
            <w:noWrap/>
            <w:vAlign w:val="center"/>
          </w:tcPr>
          <w:p w14:paraId="15E90E9A">
            <w:pPr>
              <w:pStyle w:val="44"/>
              <w:rPr>
                <w:color w:val="auto"/>
              </w:rPr>
            </w:pPr>
            <w:r>
              <w:rPr>
                <w:color w:val="auto"/>
              </w:rPr>
              <w:t>　</w:t>
            </w:r>
          </w:p>
        </w:tc>
      </w:tr>
      <w:tr w14:paraId="4537C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1D497198">
            <w:pPr>
              <w:pStyle w:val="44"/>
              <w:rPr>
                <w:color w:val="auto"/>
              </w:rPr>
            </w:pPr>
          </w:p>
        </w:tc>
        <w:tc>
          <w:tcPr>
            <w:tcW w:w="895" w:type="pct"/>
            <w:vMerge w:val="continue"/>
            <w:vAlign w:val="center"/>
          </w:tcPr>
          <w:p w14:paraId="01D51925">
            <w:pPr>
              <w:pStyle w:val="44"/>
              <w:rPr>
                <w:color w:val="auto"/>
              </w:rPr>
            </w:pPr>
          </w:p>
        </w:tc>
        <w:tc>
          <w:tcPr>
            <w:tcW w:w="1285" w:type="pct"/>
            <w:vAlign w:val="center"/>
          </w:tcPr>
          <w:p w14:paraId="088AAF65">
            <w:pPr>
              <w:pStyle w:val="44"/>
              <w:rPr>
                <w:color w:val="auto"/>
              </w:rPr>
            </w:pPr>
            <w:r>
              <w:rPr>
                <w:color w:val="auto"/>
              </w:rPr>
              <w:t>社会停车场用地</w:t>
            </w:r>
          </w:p>
        </w:tc>
        <w:tc>
          <w:tcPr>
            <w:tcW w:w="700" w:type="pct"/>
            <w:noWrap/>
            <w:vAlign w:val="center"/>
          </w:tcPr>
          <w:p w14:paraId="52092BE1">
            <w:pPr>
              <w:pStyle w:val="44"/>
              <w:rPr>
                <w:color w:val="auto"/>
              </w:rPr>
            </w:pPr>
            <w:r>
              <w:rPr>
                <w:color w:val="auto"/>
              </w:rPr>
              <w:t>S42</w:t>
            </w:r>
          </w:p>
        </w:tc>
        <w:tc>
          <w:tcPr>
            <w:tcW w:w="700" w:type="pct"/>
            <w:vAlign w:val="center"/>
          </w:tcPr>
          <w:p w14:paraId="64BC177E">
            <w:pPr>
              <w:pStyle w:val="44"/>
              <w:rPr>
                <w:color w:val="auto"/>
              </w:rPr>
            </w:pPr>
            <w:r>
              <w:rPr>
                <w:color w:val="auto"/>
              </w:rPr>
              <w:t xml:space="preserve">1.02 </w:t>
            </w:r>
          </w:p>
        </w:tc>
        <w:tc>
          <w:tcPr>
            <w:tcW w:w="742" w:type="pct"/>
            <w:noWrap/>
            <w:vAlign w:val="center"/>
          </w:tcPr>
          <w:p w14:paraId="5FC721DB">
            <w:pPr>
              <w:pStyle w:val="44"/>
              <w:rPr>
                <w:color w:val="auto"/>
              </w:rPr>
            </w:pPr>
            <w:r>
              <w:rPr>
                <w:color w:val="auto"/>
              </w:rPr>
              <w:t>　</w:t>
            </w:r>
          </w:p>
        </w:tc>
      </w:tr>
      <w:tr w14:paraId="5BAD8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48FFAB65">
            <w:pPr>
              <w:pStyle w:val="44"/>
              <w:rPr>
                <w:color w:val="auto"/>
              </w:rPr>
            </w:pPr>
          </w:p>
        </w:tc>
        <w:tc>
          <w:tcPr>
            <w:tcW w:w="895" w:type="pct"/>
            <w:vMerge w:val="continue"/>
            <w:vAlign w:val="center"/>
          </w:tcPr>
          <w:p w14:paraId="47C90BB2">
            <w:pPr>
              <w:pStyle w:val="44"/>
              <w:rPr>
                <w:color w:val="auto"/>
              </w:rPr>
            </w:pPr>
          </w:p>
        </w:tc>
        <w:tc>
          <w:tcPr>
            <w:tcW w:w="1285" w:type="pct"/>
            <w:noWrap/>
            <w:vAlign w:val="center"/>
          </w:tcPr>
          <w:p w14:paraId="088E4BBB">
            <w:pPr>
              <w:pStyle w:val="44"/>
              <w:rPr>
                <w:color w:val="auto"/>
              </w:rPr>
            </w:pPr>
            <w:r>
              <w:rPr>
                <w:color w:val="auto"/>
              </w:rPr>
              <w:t>区域交通设施用地</w:t>
            </w:r>
          </w:p>
        </w:tc>
        <w:tc>
          <w:tcPr>
            <w:tcW w:w="700" w:type="pct"/>
            <w:noWrap/>
            <w:vAlign w:val="center"/>
          </w:tcPr>
          <w:p w14:paraId="4E770CE5">
            <w:pPr>
              <w:pStyle w:val="44"/>
              <w:rPr>
                <w:color w:val="auto"/>
              </w:rPr>
            </w:pPr>
            <w:r>
              <w:rPr>
                <w:color w:val="auto"/>
              </w:rPr>
              <w:t>H2(G2)</w:t>
            </w:r>
          </w:p>
        </w:tc>
        <w:tc>
          <w:tcPr>
            <w:tcW w:w="700" w:type="pct"/>
            <w:vAlign w:val="center"/>
          </w:tcPr>
          <w:p w14:paraId="48CE71B4">
            <w:pPr>
              <w:pStyle w:val="44"/>
              <w:rPr>
                <w:color w:val="auto"/>
              </w:rPr>
            </w:pPr>
            <w:r>
              <w:rPr>
                <w:color w:val="auto"/>
              </w:rPr>
              <w:t xml:space="preserve">14.99 </w:t>
            </w:r>
          </w:p>
        </w:tc>
        <w:tc>
          <w:tcPr>
            <w:tcW w:w="742" w:type="pct"/>
            <w:noWrap/>
            <w:vAlign w:val="center"/>
          </w:tcPr>
          <w:p w14:paraId="4723A53D">
            <w:pPr>
              <w:pStyle w:val="44"/>
              <w:rPr>
                <w:color w:val="auto"/>
              </w:rPr>
            </w:pPr>
            <w:r>
              <w:rPr>
                <w:color w:val="auto"/>
              </w:rPr>
              <w:t>　</w:t>
            </w:r>
          </w:p>
        </w:tc>
      </w:tr>
      <w:tr w14:paraId="2BF93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7B83FBC5">
            <w:pPr>
              <w:pStyle w:val="44"/>
              <w:rPr>
                <w:color w:val="auto"/>
              </w:rPr>
            </w:pPr>
          </w:p>
        </w:tc>
        <w:tc>
          <w:tcPr>
            <w:tcW w:w="895" w:type="pct"/>
            <w:vMerge w:val="continue"/>
            <w:vAlign w:val="center"/>
          </w:tcPr>
          <w:p w14:paraId="205CED74">
            <w:pPr>
              <w:pStyle w:val="44"/>
              <w:rPr>
                <w:color w:val="auto"/>
              </w:rPr>
            </w:pPr>
          </w:p>
        </w:tc>
        <w:tc>
          <w:tcPr>
            <w:tcW w:w="1285" w:type="pct"/>
            <w:noWrap/>
            <w:vAlign w:val="center"/>
          </w:tcPr>
          <w:p w14:paraId="5E00C5D1">
            <w:pPr>
              <w:pStyle w:val="44"/>
              <w:rPr>
                <w:color w:val="auto"/>
              </w:rPr>
            </w:pPr>
            <w:r>
              <w:rPr>
                <w:color w:val="auto"/>
              </w:rPr>
              <w:t>公共交通场站用地</w:t>
            </w:r>
          </w:p>
        </w:tc>
        <w:tc>
          <w:tcPr>
            <w:tcW w:w="700" w:type="pct"/>
            <w:noWrap/>
            <w:vAlign w:val="center"/>
          </w:tcPr>
          <w:p w14:paraId="13B46CB9">
            <w:pPr>
              <w:pStyle w:val="44"/>
              <w:rPr>
                <w:color w:val="auto"/>
              </w:rPr>
            </w:pPr>
            <w:r>
              <w:rPr>
                <w:color w:val="auto"/>
              </w:rPr>
              <w:t>S41</w:t>
            </w:r>
          </w:p>
        </w:tc>
        <w:tc>
          <w:tcPr>
            <w:tcW w:w="700" w:type="pct"/>
            <w:vAlign w:val="center"/>
          </w:tcPr>
          <w:p w14:paraId="37549244">
            <w:pPr>
              <w:pStyle w:val="44"/>
              <w:rPr>
                <w:color w:val="auto"/>
              </w:rPr>
            </w:pPr>
            <w:r>
              <w:rPr>
                <w:color w:val="auto"/>
              </w:rPr>
              <w:t xml:space="preserve">0.71 </w:t>
            </w:r>
          </w:p>
        </w:tc>
        <w:tc>
          <w:tcPr>
            <w:tcW w:w="742" w:type="pct"/>
            <w:noWrap/>
            <w:vAlign w:val="center"/>
          </w:tcPr>
          <w:p w14:paraId="06AE18F1">
            <w:pPr>
              <w:pStyle w:val="44"/>
              <w:rPr>
                <w:color w:val="auto"/>
              </w:rPr>
            </w:pPr>
            <w:r>
              <w:rPr>
                <w:color w:val="auto"/>
              </w:rPr>
              <w:t>　</w:t>
            </w:r>
          </w:p>
        </w:tc>
      </w:tr>
      <w:tr w14:paraId="77C45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62649EDC">
            <w:pPr>
              <w:pStyle w:val="44"/>
              <w:rPr>
                <w:color w:val="auto"/>
              </w:rPr>
            </w:pPr>
            <w:r>
              <w:rPr>
                <w:color w:val="auto"/>
              </w:rPr>
              <w:t>7</w:t>
            </w:r>
          </w:p>
        </w:tc>
        <w:tc>
          <w:tcPr>
            <w:tcW w:w="2180" w:type="pct"/>
            <w:gridSpan w:val="2"/>
            <w:noWrap/>
            <w:vAlign w:val="center"/>
          </w:tcPr>
          <w:p w14:paraId="66383F76">
            <w:pPr>
              <w:pStyle w:val="44"/>
              <w:rPr>
                <w:color w:val="auto"/>
              </w:rPr>
            </w:pPr>
            <w:r>
              <w:rPr>
                <w:color w:val="auto"/>
              </w:rPr>
              <w:t>公用设施用地</w:t>
            </w:r>
          </w:p>
        </w:tc>
        <w:tc>
          <w:tcPr>
            <w:tcW w:w="700" w:type="pct"/>
            <w:noWrap/>
            <w:vAlign w:val="center"/>
          </w:tcPr>
          <w:p w14:paraId="525F1189">
            <w:pPr>
              <w:pStyle w:val="44"/>
              <w:rPr>
                <w:color w:val="auto"/>
              </w:rPr>
            </w:pPr>
            <w:r>
              <w:rPr>
                <w:color w:val="auto"/>
              </w:rPr>
              <w:t>　</w:t>
            </w:r>
          </w:p>
        </w:tc>
        <w:tc>
          <w:tcPr>
            <w:tcW w:w="700" w:type="pct"/>
            <w:noWrap/>
            <w:vAlign w:val="center"/>
          </w:tcPr>
          <w:p w14:paraId="115211D1">
            <w:pPr>
              <w:pStyle w:val="44"/>
              <w:rPr>
                <w:color w:val="auto"/>
              </w:rPr>
            </w:pPr>
            <w:r>
              <w:rPr>
                <w:color w:val="auto"/>
              </w:rPr>
              <w:t xml:space="preserve">10.55 </w:t>
            </w:r>
          </w:p>
        </w:tc>
        <w:tc>
          <w:tcPr>
            <w:tcW w:w="742" w:type="pct"/>
            <w:vAlign w:val="center"/>
          </w:tcPr>
          <w:p w14:paraId="3CF4331B">
            <w:pPr>
              <w:pStyle w:val="44"/>
              <w:rPr>
                <w:color w:val="auto"/>
              </w:rPr>
            </w:pPr>
            <w:r>
              <w:rPr>
                <w:color w:val="auto"/>
              </w:rPr>
              <w:t xml:space="preserve">1.17 </w:t>
            </w:r>
          </w:p>
        </w:tc>
      </w:tr>
      <w:tr w14:paraId="10627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42D42D7C">
            <w:pPr>
              <w:pStyle w:val="44"/>
              <w:rPr>
                <w:color w:val="auto"/>
              </w:rPr>
            </w:pPr>
          </w:p>
        </w:tc>
        <w:tc>
          <w:tcPr>
            <w:tcW w:w="895" w:type="pct"/>
            <w:vMerge w:val="restart"/>
            <w:noWrap/>
            <w:vAlign w:val="center"/>
          </w:tcPr>
          <w:p w14:paraId="1EFB6B56">
            <w:pPr>
              <w:pStyle w:val="44"/>
              <w:rPr>
                <w:color w:val="auto"/>
              </w:rPr>
            </w:pPr>
            <w:r>
              <w:rPr>
                <w:color w:val="auto"/>
              </w:rPr>
              <w:t>其中</w:t>
            </w:r>
          </w:p>
        </w:tc>
        <w:tc>
          <w:tcPr>
            <w:tcW w:w="1285" w:type="pct"/>
            <w:noWrap/>
            <w:vAlign w:val="center"/>
          </w:tcPr>
          <w:p w14:paraId="2AB1EA95">
            <w:pPr>
              <w:pStyle w:val="44"/>
              <w:rPr>
                <w:color w:val="auto"/>
              </w:rPr>
            </w:pPr>
            <w:r>
              <w:rPr>
                <w:color w:val="auto"/>
              </w:rPr>
              <w:t>加油加气站用地</w:t>
            </w:r>
          </w:p>
        </w:tc>
        <w:tc>
          <w:tcPr>
            <w:tcW w:w="700" w:type="pct"/>
            <w:vAlign w:val="center"/>
          </w:tcPr>
          <w:p w14:paraId="2874E215">
            <w:pPr>
              <w:pStyle w:val="44"/>
              <w:rPr>
                <w:color w:val="auto"/>
              </w:rPr>
            </w:pPr>
            <w:r>
              <w:rPr>
                <w:color w:val="auto"/>
              </w:rPr>
              <w:t>B41</w:t>
            </w:r>
          </w:p>
        </w:tc>
        <w:tc>
          <w:tcPr>
            <w:tcW w:w="700" w:type="pct"/>
            <w:vAlign w:val="center"/>
          </w:tcPr>
          <w:p w14:paraId="626B84E3">
            <w:pPr>
              <w:pStyle w:val="44"/>
              <w:rPr>
                <w:color w:val="auto"/>
              </w:rPr>
            </w:pPr>
            <w:r>
              <w:rPr>
                <w:color w:val="auto"/>
              </w:rPr>
              <w:t xml:space="preserve">3.16 </w:t>
            </w:r>
          </w:p>
        </w:tc>
        <w:tc>
          <w:tcPr>
            <w:tcW w:w="742" w:type="pct"/>
            <w:noWrap/>
            <w:vAlign w:val="center"/>
          </w:tcPr>
          <w:p w14:paraId="649C28FC">
            <w:pPr>
              <w:pStyle w:val="44"/>
              <w:rPr>
                <w:color w:val="auto"/>
              </w:rPr>
            </w:pPr>
            <w:r>
              <w:rPr>
                <w:color w:val="auto"/>
              </w:rPr>
              <w:t>　</w:t>
            </w:r>
          </w:p>
        </w:tc>
      </w:tr>
      <w:tr w14:paraId="0F3D6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79253332">
            <w:pPr>
              <w:pStyle w:val="44"/>
              <w:rPr>
                <w:color w:val="auto"/>
              </w:rPr>
            </w:pPr>
          </w:p>
        </w:tc>
        <w:tc>
          <w:tcPr>
            <w:tcW w:w="895" w:type="pct"/>
            <w:vMerge w:val="continue"/>
            <w:vAlign w:val="center"/>
          </w:tcPr>
          <w:p w14:paraId="128A17D8">
            <w:pPr>
              <w:pStyle w:val="44"/>
              <w:rPr>
                <w:color w:val="auto"/>
              </w:rPr>
            </w:pPr>
          </w:p>
        </w:tc>
        <w:tc>
          <w:tcPr>
            <w:tcW w:w="1285" w:type="pct"/>
            <w:noWrap/>
            <w:vAlign w:val="center"/>
          </w:tcPr>
          <w:p w14:paraId="17BBB07B">
            <w:pPr>
              <w:pStyle w:val="44"/>
              <w:rPr>
                <w:color w:val="auto"/>
              </w:rPr>
            </w:pPr>
            <w:r>
              <w:rPr>
                <w:color w:val="auto"/>
              </w:rPr>
              <w:t>公共设施营业网点用地</w:t>
            </w:r>
          </w:p>
        </w:tc>
        <w:tc>
          <w:tcPr>
            <w:tcW w:w="700" w:type="pct"/>
            <w:noWrap/>
            <w:vAlign w:val="center"/>
          </w:tcPr>
          <w:p w14:paraId="3E057FA6">
            <w:pPr>
              <w:pStyle w:val="44"/>
              <w:rPr>
                <w:color w:val="auto"/>
              </w:rPr>
            </w:pPr>
            <w:r>
              <w:rPr>
                <w:color w:val="auto"/>
              </w:rPr>
              <w:t>B49</w:t>
            </w:r>
          </w:p>
        </w:tc>
        <w:tc>
          <w:tcPr>
            <w:tcW w:w="700" w:type="pct"/>
            <w:vAlign w:val="center"/>
          </w:tcPr>
          <w:p w14:paraId="7498710A">
            <w:pPr>
              <w:pStyle w:val="44"/>
              <w:rPr>
                <w:color w:val="auto"/>
              </w:rPr>
            </w:pPr>
            <w:r>
              <w:rPr>
                <w:color w:val="auto"/>
              </w:rPr>
              <w:t xml:space="preserve">0.15 </w:t>
            </w:r>
          </w:p>
        </w:tc>
        <w:tc>
          <w:tcPr>
            <w:tcW w:w="742" w:type="pct"/>
            <w:noWrap/>
            <w:vAlign w:val="center"/>
          </w:tcPr>
          <w:p w14:paraId="39382456">
            <w:pPr>
              <w:pStyle w:val="44"/>
              <w:rPr>
                <w:color w:val="auto"/>
              </w:rPr>
            </w:pPr>
            <w:r>
              <w:rPr>
                <w:color w:val="auto"/>
              </w:rPr>
              <w:t>　</w:t>
            </w:r>
          </w:p>
        </w:tc>
      </w:tr>
      <w:tr w14:paraId="6AA7F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76F9FF1E">
            <w:pPr>
              <w:pStyle w:val="44"/>
              <w:rPr>
                <w:color w:val="auto"/>
              </w:rPr>
            </w:pPr>
          </w:p>
        </w:tc>
        <w:tc>
          <w:tcPr>
            <w:tcW w:w="895" w:type="pct"/>
            <w:vMerge w:val="continue"/>
            <w:vAlign w:val="center"/>
          </w:tcPr>
          <w:p w14:paraId="003F350C">
            <w:pPr>
              <w:pStyle w:val="44"/>
              <w:rPr>
                <w:color w:val="auto"/>
              </w:rPr>
            </w:pPr>
          </w:p>
        </w:tc>
        <w:tc>
          <w:tcPr>
            <w:tcW w:w="1285" w:type="pct"/>
            <w:noWrap/>
            <w:vAlign w:val="center"/>
          </w:tcPr>
          <w:p w14:paraId="72F7C5E3">
            <w:pPr>
              <w:pStyle w:val="44"/>
              <w:rPr>
                <w:color w:val="auto"/>
              </w:rPr>
            </w:pPr>
            <w:r>
              <w:rPr>
                <w:color w:val="auto"/>
              </w:rPr>
              <w:t>供应设施用地</w:t>
            </w:r>
          </w:p>
        </w:tc>
        <w:tc>
          <w:tcPr>
            <w:tcW w:w="700" w:type="pct"/>
            <w:noWrap/>
            <w:vAlign w:val="center"/>
          </w:tcPr>
          <w:p w14:paraId="2F082E1E">
            <w:pPr>
              <w:pStyle w:val="44"/>
              <w:rPr>
                <w:color w:val="auto"/>
              </w:rPr>
            </w:pPr>
            <w:r>
              <w:rPr>
                <w:color w:val="auto"/>
              </w:rPr>
              <w:t>U12</w:t>
            </w:r>
          </w:p>
        </w:tc>
        <w:tc>
          <w:tcPr>
            <w:tcW w:w="700" w:type="pct"/>
            <w:vAlign w:val="center"/>
          </w:tcPr>
          <w:p w14:paraId="2B184FCF">
            <w:pPr>
              <w:pStyle w:val="44"/>
              <w:rPr>
                <w:color w:val="auto"/>
              </w:rPr>
            </w:pPr>
            <w:r>
              <w:rPr>
                <w:color w:val="auto"/>
              </w:rPr>
              <w:t xml:space="preserve">5.72 </w:t>
            </w:r>
          </w:p>
        </w:tc>
        <w:tc>
          <w:tcPr>
            <w:tcW w:w="742" w:type="pct"/>
            <w:noWrap/>
            <w:vAlign w:val="center"/>
          </w:tcPr>
          <w:p w14:paraId="5B6B4D31">
            <w:pPr>
              <w:pStyle w:val="44"/>
              <w:rPr>
                <w:color w:val="auto"/>
              </w:rPr>
            </w:pPr>
            <w:r>
              <w:rPr>
                <w:color w:val="auto"/>
              </w:rPr>
              <w:t>　</w:t>
            </w:r>
          </w:p>
        </w:tc>
      </w:tr>
      <w:tr w14:paraId="6205E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58E1E840">
            <w:pPr>
              <w:pStyle w:val="44"/>
              <w:rPr>
                <w:color w:val="auto"/>
              </w:rPr>
            </w:pPr>
          </w:p>
        </w:tc>
        <w:tc>
          <w:tcPr>
            <w:tcW w:w="895" w:type="pct"/>
            <w:vMerge w:val="continue"/>
            <w:vAlign w:val="center"/>
          </w:tcPr>
          <w:p w14:paraId="59895565">
            <w:pPr>
              <w:pStyle w:val="44"/>
              <w:rPr>
                <w:color w:val="auto"/>
              </w:rPr>
            </w:pPr>
          </w:p>
        </w:tc>
        <w:tc>
          <w:tcPr>
            <w:tcW w:w="1285" w:type="pct"/>
            <w:noWrap/>
            <w:vAlign w:val="center"/>
          </w:tcPr>
          <w:p w14:paraId="297869F7">
            <w:pPr>
              <w:pStyle w:val="44"/>
              <w:rPr>
                <w:color w:val="auto"/>
              </w:rPr>
            </w:pPr>
            <w:r>
              <w:rPr>
                <w:color w:val="auto"/>
              </w:rPr>
              <w:t>安全设施用地</w:t>
            </w:r>
          </w:p>
        </w:tc>
        <w:tc>
          <w:tcPr>
            <w:tcW w:w="700" w:type="pct"/>
            <w:noWrap/>
            <w:vAlign w:val="center"/>
          </w:tcPr>
          <w:p w14:paraId="424D7524">
            <w:pPr>
              <w:pStyle w:val="44"/>
              <w:rPr>
                <w:color w:val="auto"/>
              </w:rPr>
            </w:pPr>
            <w:r>
              <w:rPr>
                <w:color w:val="auto"/>
              </w:rPr>
              <w:t>U31</w:t>
            </w:r>
          </w:p>
        </w:tc>
        <w:tc>
          <w:tcPr>
            <w:tcW w:w="700" w:type="pct"/>
            <w:vAlign w:val="center"/>
          </w:tcPr>
          <w:p w14:paraId="1352F854">
            <w:pPr>
              <w:pStyle w:val="44"/>
              <w:rPr>
                <w:color w:val="auto"/>
              </w:rPr>
            </w:pPr>
            <w:r>
              <w:rPr>
                <w:color w:val="auto"/>
              </w:rPr>
              <w:t xml:space="preserve">1.52 </w:t>
            </w:r>
          </w:p>
        </w:tc>
        <w:tc>
          <w:tcPr>
            <w:tcW w:w="742" w:type="pct"/>
            <w:noWrap/>
            <w:vAlign w:val="center"/>
          </w:tcPr>
          <w:p w14:paraId="279FA0C9">
            <w:pPr>
              <w:pStyle w:val="44"/>
              <w:rPr>
                <w:color w:val="auto"/>
              </w:rPr>
            </w:pPr>
            <w:r>
              <w:rPr>
                <w:color w:val="auto"/>
              </w:rPr>
              <w:t>　</w:t>
            </w:r>
          </w:p>
        </w:tc>
      </w:tr>
      <w:tr w14:paraId="0D663F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6B9F1591">
            <w:pPr>
              <w:pStyle w:val="44"/>
              <w:rPr>
                <w:color w:val="auto"/>
              </w:rPr>
            </w:pPr>
            <w:r>
              <w:rPr>
                <w:color w:val="auto"/>
              </w:rPr>
              <w:t>8</w:t>
            </w:r>
          </w:p>
        </w:tc>
        <w:tc>
          <w:tcPr>
            <w:tcW w:w="2180" w:type="pct"/>
            <w:gridSpan w:val="2"/>
            <w:noWrap/>
            <w:vAlign w:val="center"/>
          </w:tcPr>
          <w:p w14:paraId="4101F427">
            <w:pPr>
              <w:pStyle w:val="44"/>
              <w:rPr>
                <w:color w:val="auto"/>
              </w:rPr>
            </w:pPr>
            <w:r>
              <w:rPr>
                <w:color w:val="auto"/>
              </w:rPr>
              <w:t>公园与防护用地</w:t>
            </w:r>
          </w:p>
        </w:tc>
        <w:tc>
          <w:tcPr>
            <w:tcW w:w="700" w:type="pct"/>
            <w:noWrap/>
            <w:vAlign w:val="center"/>
          </w:tcPr>
          <w:p w14:paraId="7961C643">
            <w:pPr>
              <w:pStyle w:val="44"/>
              <w:rPr>
                <w:color w:val="auto"/>
              </w:rPr>
            </w:pPr>
            <w:r>
              <w:rPr>
                <w:color w:val="auto"/>
              </w:rPr>
              <w:t>　</w:t>
            </w:r>
          </w:p>
        </w:tc>
        <w:tc>
          <w:tcPr>
            <w:tcW w:w="700" w:type="pct"/>
            <w:noWrap/>
            <w:vAlign w:val="center"/>
          </w:tcPr>
          <w:p w14:paraId="7BD4743B">
            <w:pPr>
              <w:pStyle w:val="44"/>
              <w:rPr>
                <w:color w:val="auto"/>
              </w:rPr>
            </w:pPr>
            <w:r>
              <w:rPr>
                <w:color w:val="auto"/>
              </w:rPr>
              <w:t xml:space="preserve">120.32 </w:t>
            </w:r>
          </w:p>
        </w:tc>
        <w:tc>
          <w:tcPr>
            <w:tcW w:w="742" w:type="pct"/>
            <w:vAlign w:val="center"/>
          </w:tcPr>
          <w:p w14:paraId="437FE279">
            <w:pPr>
              <w:pStyle w:val="44"/>
              <w:rPr>
                <w:color w:val="auto"/>
              </w:rPr>
            </w:pPr>
            <w:r>
              <w:rPr>
                <w:color w:val="auto"/>
              </w:rPr>
              <w:t xml:space="preserve">13.40 </w:t>
            </w:r>
          </w:p>
        </w:tc>
      </w:tr>
      <w:tr w14:paraId="517F1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51019B9A">
            <w:pPr>
              <w:pStyle w:val="44"/>
              <w:rPr>
                <w:color w:val="auto"/>
              </w:rPr>
            </w:pPr>
          </w:p>
        </w:tc>
        <w:tc>
          <w:tcPr>
            <w:tcW w:w="895" w:type="pct"/>
            <w:vMerge w:val="restart"/>
            <w:noWrap/>
            <w:vAlign w:val="center"/>
          </w:tcPr>
          <w:p w14:paraId="282B661E">
            <w:pPr>
              <w:pStyle w:val="44"/>
              <w:rPr>
                <w:color w:val="auto"/>
              </w:rPr>
            </w:pPr>
            <w:r>
              <w:rPr>
                <w:color w:val="auto"/>
              </w:rPr>
              <w:t>其中</w:t>
            </w:r>
          </w:p>
        </w:tc>
        <w:tc>
          <w:tcPr>
            <w:tcW w:w="1285" w:type="pct"/>
            <w:noWrap/>
            <w:vAlign w:val="center"/>
          </w:tcPr>
          <w:p w14:paraId="350D8175">
            <w:pPr>
              <w:pStyle w:val="44"/>
              <w:rPr>
                <w:color w:val="auto"/>
              </w:rPr>
            </w:pPr>
            <w:r>
              <w:rPr>
                <w:color w:val="auto"/>
              </w:rPr>
              <w:t>公园绿地</w:t>
            </w:r>
          </w:p>
        </w:tc>
        <w:tc>
          <w:tcPr>
            <w:tcW w:w="700" w:type="pct"/>
            <w:vAlign w:val="center"/>
          </w:tcPr>
          <w:p w14:paraId="3E991DAD">
            <w:pPr>
              <w:pStyle w:val="44"/>
              <w:rPr>
                <w:color w:val="auto"/>
              </w:rPr>
            </w:pPr>
            <w:r>
              <w:rPr>
                <w:color w:val="auto"/>
              </w:rPr>
              <w:t>G1</w:t>
            </w:r>
          </w:p>
        </w:tc>
        <w:tc>
          <w:tcPr>
            <w:tcW w:w="700" w:type="pct"/>
            <w:vAlign w:val="center"/>
          </w:tcPr>
          <w:p w14:paraId="2E57291E">
            <w:pPr>
              <w:pStyle w:val="44"/>
              <w:rPr>
                <w:color w:val="auto"/>
              </w:rPr>
            </w:pPr>
            <w:r>
              <w:rPr>
                <w:color w:val="auto"/>
              </w:rPr>
              <w:t xml:space="preserve">46.78 </w:t>
            </w:r>
          </w:p>
        </w:tc>
        <w:tc>
          <w:tcPr>
            <w:tcW w:w="742" w:type="pct"/>
            <w:noWrap/>
            <w:vAlign w:val="center"/>
          </w:tcPr>
          <w:p w14:paraId="6C00A17A">
            <w:pPr>
              <w:pStyle w:val="44"/>
              <w:rPr>
                <w:color w:val="auto"/>
              </w:rPr>
            </w:pPr>
            <w:r>
              <w:rPr>
                <w:color w:val="auto"/>
              </w:rPr>
              <w:t>　</w:t>
            </w:r>
          </w:p>
        </w:tc>
      </w:tr>
      <w:tr w14:paraId="157F1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30B95D30">
            <w:pPr>
              <w:pStyle w:val="44"/>
              <w:rPr>
                <w:color w:val="auto"/>
              </w:rPr>
            </w:pPr>
          </w:p>
        </w:tc>
        <w:tc>
          <w:tcPr>
            <w:tcW w:w="895" w:type="pct"/>
            <w:vMerge w:val="continue"/>
            <w:vAlign w:val="center"/>
          </w:tcPr>
          <w:p w14:paraId="4F52D74E">
            <w:pPr>
              <w:pStyle w:val="44"/>
              <w:rPr>
                <w:color w:val="auto"/>
              </w:rPr>
            </w:pPr>
          </w:p>
        </w:tc>
        <w:tc>
          <w:tcPr>
            <w:tcW w:w="1285" w:type="pct"/>
            <w:noWrap/>
            <w:vAlign w:val="center"/>
          </w:tcPr>
          <w:p w14:paraId="50F2E0A2">
            <w:pPr>
              <w:pStyle w:val="44"/>
              <w:rPr>
                <w:color w:val="auto"/>
              </w:rPr>
            </w:pPr>
            <w:r>
              <w:rPr>
                <w:color w:val="auto"/>
              </w:rPr>
              <w:t>防护绿地</w:t>
            </w:r>
          </w:p>
        </w:tc>
        <w:tc>
          <w:tcPr>
            <w:tcW w:w="700" w:type="pct"/>
            <w:vAlign w:val="center"/>
          </w:tcPr>
          <w:p w14:paraId="7A48E12F">
            <w:pPr>
              <w:pStyle w:val="44"/>
              <w:rPr>
                <w:color w:val="auto"/>
              </w:rPr>
            </w:pPr>
            <w:r>
              <w:rPr>
                <w:color w:val="auto"/>
              </w:rPr>
              <w:t>G2</w:t>
            </w:r>
          </w:p>
        </w:tc>
        <w:tc>
          <w:tcPr>
            <w:tcW w:w="700" w:type="pct"/>
            <w:vAlign w:val="center"/>
          </w:tcPr>
          <w:p w14:paraId="46A0086D">
            <w:pPr>
              <w:pStyle w:val="44"/>
              <w:rPr>
                <w:color w:val="auto"/>
              </w:rPr>
            </w:pPr>
            <w:r>
              <w:rPr>
                <w:color w:val="auto"/>
              </w:rPr>
              <w:t xml:space="preserve">61.71 </w:t>
            </w:r>
          </w:p>
        </w:tc>
        <w:tc>
          <w:tcPr>
            <w:tcW w:w="742" w:type="pct"/>
            <w:noWrap/>
            <w:vAlign w:val="center"/>
          </w:tcPr>
          <w:p w14:paraId="05704B1C">
            <w:pPr>
              <w:pStyle w:val="44"/>
              <w:rPr>
                <w:color w:val="auto"/>
              </w:rPr>
            </w:pPr>
            <w:r>
              <w:rPr>
                <w:color w:val="auto"/>
              </w:rPr>
              <w:t>　</w:t>
            </w:r>
          </w:p>
        </w:tc>
      </w:tr>
      <w:tr w14:paraId="10097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7909A792">
            <w:pPr>
              <w:pStyle w:val="44"/>
              <w:rPr>
                <w:color w:val="auto"/>
              </w:rPr>
            </w:pPr>
          </w:p>
        </w:tc>
        <w:tc>
          <w:tcPr>
            <w:tcW w:w="895" w:type="pct"/>
            <w:vMerge w:val="continue"/>
            <w:vAlign w:val="center"/>
          </w:tcPr>
          <w:p w14:paraId="7BE1D1A7">
            <w:pPr>
              <w:pStyle w:val="44"/>
              <w:rPr>
                <w:color w:val="auto"/>
              </w:rPr>
            </w:pPr>
          </w:p>
        </w:tc>
        <w:tc>
          <w:tcPr>
            <w:tcW w:w="1285" w:type="pct"/>
            <w:noWrap/>
            <w:vAlign w:val="center"/>
          </w:tcPr>
          <w:p w14:paraId="1A1AD893">
            <w:pPr>
              <w:pStyle w:val="44"/>
              <w:rPr>
                <w:color w:val="auto"/>
              </w:rPr>
            </w:pPr>
            <w:r>
              <w:rPr>
                <w:color w:val="auto"/>
              </w:rPr>
              <w:t>广场绿地</w:t>
            </w:r>
          </w:p>
        </w:tc>
        <w:tc>
          <w:tcPr>
            <w:tcW w:w="700" w:type="pct"/>
            <w:vAlign w:val="center"/>
          </w:tcPr>
          <w:p w14:paraId="2E33FEEB">
            <w:pPr>
              <w:pStyle w:val="44"/>
              <w:rPr>
                <w:color w:val="auto"/>
              </w:rPr>
            </w:pPr>
            <w:r>
              <w:rPr>
                <w:color w:val="auto"/>
              </w:rPr>
              <w:t>G3</w:t>
            </w:r>
          </w:p>
        </w:tc>
        <w:tc>
          <w:tcPr>
            <w:tcW w:w="700" w:type="pct"/>
            <w:vAlign w:val="center"/>
          </w:tcPr>
          <w:p w14:paraId="1C2C07B0">
            <w:pPr>
              <w:pStyle w:val="44"/>
              <w:rPr>
                <w:color w:val="auto"/>
              </w:rPr>
            </w:pPr>
            <w:r>
              <w:rPr>
                <w:color w:val="auto"/>
              </w:rPr>
              <w:t xml:space="preserve">11.83 </w:t>
            </w:r>
          </w:p>
        </w:tc>
        <w:tc>
          <w:tcPr>
            <w:tcW w:w="742" w:type="pct"/>
            <w:noWrap/>
            <w:vAlign w:val="center"/>
          </w:tcPr>
          <w:p w14:paraId="789AA9A3">
            <w:pPr>
              <w:pStyle w:val="44"/>
              <w:rPr>
                <w:color w:val="auto"/>
              </w:rPr>
            </w:pPr>
            <w:r>
              <w:rPr>
                <w:color w:val="auto"/>
              </w:rPr>
              <w:t>　</w:t>
            </w:r>
          </w:p>
        </w:tc>
      </w:tr>
      <w:tr w14:paraId="40C29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noWrap/>
            <w:vAlign w:val="center"/>
          </w:tcPr>
          <w:p w14:paraId="10D1EEBA">
            <w:pPr>
              <w:pStyle w:val="44"/>
              <w:rPr>
                <w:color w:val="auto"/>
              </w:rPr>
            </w:pPr>
            <w:r>
              <w:rPr>
                <w:color w:val="auto"/>
              </w:rPr>
              <w:t>9</w:t>
            </w:r>
          </w:p>
        </w:tc>
        <w:tc>
          <w:tcPr>
            <w:tcW w:w="2180" w:type="pct"/>
            <w:gridSpan w:val="2"/>
            <w:noWrap/>
            <w:vAlign w:val="center"/>
          </w:tcPr>
          <w:p w14:paraId="7A74A805">
            <w:pPr>
              <w:pStyle w:val="44"/>
              <w:rPr>
                <w:color w:val="auto"/>
              </w:rPr>
            </w:pPr>
            <w:r>
              <w:rPr>
                <w:color w:val="auto"/>
              </w:rPr>
              <w:t>总建设用地</w:t>
            </w:r>
          </w:p>
        </w:tc>
        <w:tc>
          <w:tcPr>
            <w:tcW w:w="700" w:type="pct"/>
            <w:noWrap/>
            <w:vAlign w:val="center"/>
          </w:tcPr>
          <w:p w14:paraId="1C0F18B1">
            <w:pPr>
              <w:pStyle w:val="44"/>
              <w:rPr>
                <w:color w:val="auto"/>
              </w:rPr>
            </w:pPr>
            <w:r>
              <w:rPr>
                <w:color w:val="auto"/>
              </w:rPr>
              <w:t>　</w:t>
            </w:r>
          </w:p>
        </w:tc>
        <w:tc>
          <w:tcPr>
            <w:tcW w:w="700" w:type="pct"/>
            <w:noWrap/>
            <w:vAlign w:val="center"/>
          </w:tcPr>
          <w:p w14:paraId="554E428D">
            <w:pPr>
              <w:pStyle w:val="44"/>
              <w:rPr>
                <w:color w:val="auto"/>
              </w:rPr>
            </w:pPr>
            <w:r>
              <w:rPr>
                <w:color w:val="auto"/>
              </w:rPr>
              <w:t xml:space="preserve">891.74 </w:t>
            </w:r>
          </w:p>
        </w:tc>
        <w:tc>
          <w:tcPr>
            <w:tcW w:w="742" w:type="pct"/>
            <w:vAlign w:val="center"/>
          </w:tcPr>
          <w:p w14:paraId="40F46ECD">
            <w:pPr>
              <w:pStyle w:val="44"/>
              <w:rPr>
                <w:color w:val="auto"/>
              </w:rPr>
            </w:pPr>
            <w:r>
              <w:rPr>
                <w:color w:val="auto"/>
              </w:rPr>
              <w:t xml:space="preserve">99.31 </w:t>
            </w:r>
          </w:p>
        </w:tc>
      </w:tr>
      <w:tr w14:paraId="172A0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restart"/>
            <w:noWrap/>
            <w:vAlign w:val="center"/>
          </w:tcPr>
          <w:p w14:paraId="046081D4">
            <w:pPr>
              <w:pStyle w:val="44"/>
              <w:rPr>
                <w:color w:val="auto"/>
              </w:rPr>
            </w:pPr>
            <w:r>
              <w:rPr>
                <w:color w:val="auto"/>
              </w:rPr>
              <w:t>10</w:t>
            </w:r>
          </w:p>
        </w:tc>
        <w:tc>
          <w:tcPr>
            <w:tcW w:w="2180" w:type="pct"/>
            <w:gridSpan w:val="2"/>
            <w:noWrap/>
            <w:vAlign w:val="center"/>
          </w:tcPr>
          <w:p w14:paraId="3DB32076">
            <w:pPr>
              <w:pStyle w:val="44"/>
              <w:rPr>
                <w:color w:val="auto"/>
              </w:rPr>
            </w:pPr>
            <w:r>
              <w:rPr>
                <w:color w:val="auto"/>
              </w:rPr>
              <w:t>非建设用地</w:t>
            </w:r>
          </w:p>
        </w:tc>
        <w:tc>
          <w:tcPr>
            <w:tcW w:w="700" w:type="pct"/>
            <w:noWrap/>
            <w:vAlign w:val="center"/>
          </w:tcPr>
          <w:p w14:paraId="145ADAC0">
            <w:pPr>
              <w:pStyle w:val="44"/>
              <w:rPr>
                <w:color w:val="auto"/>
              </w:rPr>
            </w:pPr>
            <w:r>
              <w:rPr>
                <w:color w:val="auto"/>
              </w:rPr>
              <w:t>　</w:t>
            </w:r>
          </w:p>
        </w:tc>
        <w:tc>
          <w:tcPr>
            <w:tcW w:w="700" w:type="pct"/>
            <w:noWrap/>
            <w:vAlign w:val="center"/>
          </w:tcPr>
          <w:p w14:paraId="32FFD624">
            <w:pPr>
              <w:pStyle w:val="44"/>
              <w:rPr>
                <w:color w:val="auto"/>
              </w:rPr>
            </w:pPr>
            <w:r>
              <w:rPr>
                <w:color w:val="auto"/>
              </w:rPr>
              <w:t>6.18</w:t>
            </w:r>
          </w:p>
        </w:tc>
        <w:tc>
          <w:tcPr>
            <w:tcW w:w="742" w:type="pct"/>
            <w:noWrap/>
            <w:vAlign w:val="center"/>
          </w:tcPr>
          <w:p w14:paraId="758D512C">
            <w:pPr>
              <w:pStyle w:val="44"/>
              <w:rPr>
                <w:color w:val="auto"/>
              </w:rPr>
            </w:pPr>
            <w:r>
              <w:rPr>
                <w:color w:val="auto"/>
              </w:rPr>
              <w:t>　</w:t>
            </w:r>
          </w:p>
        </w:tc>
      </w:tr>
      <w:tr w14:paraId="3A105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vMerge w:val="continue"/>
            <w:vAlign w:val="center"/>
          </w:tcPr>
          <w:p w14:paraId="1D470CC7">
            <w:pPr>
              <w:pStyle w:val="44"/>
              <w:rPr>
                <w:color w:val="auto"/>
              </w:rPr>
            </w:pPr>
          </w:p>
        </w:tc>
        <w:tc>
          <w:tcPr>
            <w:tcW w:w="895" w:type="pct"/>
            <w:noWrap/>
            <w:vAlign w:val="center"/>
          </w:tcPr>
          <w:p w14:paraId="57B6DFF3">
            <w:pPr>
              <w:pStyle w:val="44"/>
              <w:rPr>
                <w:color w:val="auto"/>
              </w:rPr>
            </w:pPr>
            <w:r>
              <w:rPr>
                <w:color w:val="auto"/>
              </w:rPr>
              <w:t>其中</w:t>
            </w:r>
          </w:p>
        </w:tc>
        <w:tc>
          <w:tcPr>
            <w:tcW w:w="1285" w:type="pct"/>
            <w:noWrap/>
            <w:vAlign w:val="center"/>
          </w:tcPr>
          <w:p w14:paraId="686F9243">
            <w:pPr>
              <w:pStyle w:val="44"/>
              <w:rPr>
                <w:color w:val="auto"/>
              </w:rPr>
            </w:pPr>
            <w:r>
              <w:rPr>
                <w:color w:val="auto"/>
              </w:rPr>
              <w:t>水域用地</w:t>
            </w:r>
          </w:p>
        </w:tc>
        <w:tc>
          <w:tcPr>
            <w:tcW w:w="700" w:type="pct"/>
            <w:noWrap/>
            <w:vAlign w:val="center"/>
          </w:tcPr>
          <w:p w14:paraId="05BEB017">
            <w:pPr>
              <w:pStyle w:val="44"/>
              <w:rPr>
                <w:color w:val="auto"/>
              </w:rPr>
            </w:pPr>
            <w:r>
              <w:rPr>
                <w:color w:val="auto"/>
              </w:rPr>
              <w:t>E1</w:t>
            </w:r>
          </w:p>
        </w:tc>
        <w:tc>
          <w:tcPr>
            <w:tcW w:w="700" w:type="pct"/>
            <w:vAlign w:val="center"/>
          </w:tcPr>
          <w:p w14:paraId="4B4B639B">
            <w:pPr>
              <w:pStyle w:val="44"/>
              <w:rPr>
                <w:color w:val="auto"/>
              </w:rPr>
            </w:pPr>
            <w:r>
              <w:rPr>
                <w:color w:val="auto"/>
              </w:rPr>
              <w:t xml:space="preserve">6.18 </w:t>
            </w:r>
          </w:p>
        </w:tc>
        <w:tc>
          <w:tcPr>
            <w:tcW w:w="742" w:type="pct"/>
            <w:vAlign w:val="center"/>
          </w:tcPr>
          <w:p w14:paraId="3AE7F60B">
            <w:pPr>
              <w:pStyle w:val="44"/>
              <w:rPr>
                <w:color w:val="auto"/>
              </w:rPr>
            </w:pPr>
            <w:r>
              <w:rPr>
                <w:color w:val="auto"/>
              </w:rPr>
              <w:t xml:space="preserve">0.69 </w:t>
            </w:r>
          </w:p>
        </w:tc>
      </w:tr>
      <w:tr w14:paraId="60E7E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8" w:type="pct"/>
            <w:noWrap/>
            <w:vAlign w:val="center"/>
          </w:tcPr>
          <w:p w14:paraId="6FF55267">
            <w:pPr>
              <w:pStyle w:val="44"/>
              <w:rPr>
                <w:color w:val="auto"/>
              </w:rPr>
            </w:pPr>
            <w:r>
              <w:rPr>
                <w:color w:val="auto"/>
              </w:rPr>
              <w:t>11</w:t>
            </w:r>
          </w:p>
        </w:tc>
        <w:tc>
          <w:tcPr>
            <w:tcW w:w="2180" w:type="pct"/>
            <w:gridSpan w:val="2"/>
            <w:vAlign w:val="center"/>
          </w:tcPr>
          <w:p w14:paraId="739C7413">
            <w:pPr>
              <w:pStyle w:val="44"/>
              <w:rPr>
                <w:color w:val="auto"/>
              </w:rPr>
            </w:pPr>
            <w:r>
              <w:rPr>
                <w:color w:val="auto"/>
              </w:rPr>
              <w:t>规划范围总面积</w:t>
            </w:r>
          </w:p>
        </w:tc>
        <w:tc>
          <w:tcPr>
            <w:tcW w:w="700" w:type="pct"/>
            <w:vAlign w:val="center"/>
          </w:tcPr>
          <w:p w14:paraId="2821DA04">
            <w:pPr>
              <w:pStyle w:val="44"/>
              <w:rPr>
                <w:color w:val="auto"/>
              </w:rPr>
            </w:pPr>
            <w:r>
              <w:rPr>
                <w:color w:val="auto"/>
              </w:rPr>
              <w:t>　</w:t>
            </w:r>
          </w:p>
        </w:tc>
        <w:tc>
          <w:tcPr>
            <w:tcW w:w="700" w:type="pct"/>
            <w:vAlign w:val="center"/>
          </w:tcPr>
          <w:p w14:paraId="2F98C6EF">
            <w:pPr>
              <w:pStyle w:val="44"/>
              <w:rPr>
                <w:color w:val="auto"/>
              </w:rPr>
            </w:pPr>
            <w:r>
              <w:rPr>
                <w:color w:val="auto"/>
              </w:rPr>
              <w:t xml:space="preserve">897.92 </w:t>
            </w:r>
          </w:p>
        </w:tc>
        <w:tc>
          <w:tcPr>
            <w:tcW w:w="742" w:type="pct"/>
            <w:vAlign w:val="center"/>
          </w:tcPr>
          <w:p w14:paraId="50259407">
            <w:pPr>
              <w:pStyle w:val="44"/>
              <w:rPr>
                <w:color w:val="auto"/>
              </w:rPr>
            </w:pPr>
            <w:r>
              <w:rPr>
                <w:color w:val="auto"/>
              </w:rPr>
              <w:t xml:space="preserve">100.00 </w:t>
            </w:r>
          </w:p>
        </w:tc>
      </w:tr>
    </w:tbl>
    <w:p w14:paraId="6B359378">
      <w:pPr>
        <w:pStyle w:val="6"/>
        <w:numPr>
          <w:ilvl w:val="3"/>
          <w:numId w:val="0"/>
        </w:numPr>
        <w:rPr>
          <w:color w:val="auto"/>
        </w:rPr>
      </w:pPr>
      <w:r>
        <w:rPr>
          <w:color w:val="auto"/>
        </w:rPr>
        <w:t>2.2.2.3 C区功能定位与规模</w:t>
      </w:r>
    </w:p>
    <w:p w14:paraId="1AA03C7B">
      <w:pPr>
        <w:topLinePunct/>
        <w:ind w:firstLine="480"/>
        <w:rPr>
          <w:color w:val="auto"/>
        </w:rPr>
      </w:pPr>
      <w:r>
        <w:rPr>
          <w:color w:val="auto"/>
        </w:rPr>
        <w:t>C区由O、L标准分区组成。下面分别介绍：</w:t>
      </w:r>
    </w:p>
    <w:p w14:paraId="607DE1EF">
      <w:pPr>
        <w:topLinePunct/>
        <w:ind w:firstLine="482"/>
        <w:rPr>
          <w:b/>
          <w:bCs/>
          <w:color w:val="auto"/>
          <w:kern w:val="0"/>
          <w:lang w:bidi="en-US"/>
        </w:rPr>
      </w:pPr>
      <w:r>
        <w:rPr>
          <w:b/>
          <w:bCs/>
          <w:color w:val="auto"/>
          <w:kern w:val="0"/>
          <w:lang w:bidi="en-US"/>
        </w:rPr>
        <w:t>（1）西彭组团O标准分区</w:t>
      </w:r>
    </w:p>
    <w:p w14:paraId="3C81325F">
      <w:pPr>
        <w:topLinePunct/>
        <w:ind w:firstLine="480"/>
        <w:rPr>
          <w:color w:val="auto"/>
        </w:rPr>
      </w:pPr>
      <w:r>
        <w:rPr>
          <w:color w:val="auto"/>
        </w:rPr>
        <w:t>该区域规划用地面积442.25hm</w:t>
      </w:r>
      <w:r>
        <w:rPr>
          <w:color w:val="auto"/>
          <w:vertAlign w:val="superscript"/>
        </w:rPr>
        <w:t>2</w:t>
      </w:r>
      <w:r>
        <w:rPr>
          <w:color w:val="auto"/>
        </w:rPr>
        <w:t>，规划建设用地429.92 hm</w:t>
      </w:r>
      <w:r>
        <w:rPr>
          <w:color w:val="auto"/>
          <w:vertAlign w:val="superscript"/>
        </w:rPr>
        <w:t>2</w:t>
      </w:r>
      <w:r>
        <w:rPr>
          <w:color w:val="auto"/>
        </w:rPr>
        <w:t>，占总用地97.21%；非建设用地12.33hm</w:t>
      </w:r>
      <w:r>
        <w:rPr>
          <w:color w:val="auto"/>
          <w:vertAlign w:val="superscript"/>
        </w:rPr>
        <w:t>2</w:t>
      </w:r>
      <w:r>
        <w:rPr>
          <w:color w:val="auto"/>
        </w:rPr>
        <w:t>，占总用地2.79%。</w:t>
      </w:r>
    </w:p>
    <w:p w14:paraId="002EE541">
      <w:pPr>
        <w:topLinePunct/>
        <w:ind w:firstLine="480"/>
        <w:rPr>
          <w:color w:val="auto"/>
        </w:rPr>
      </w:pPr>
      <w:r>
        <w:rPr>
          <w:color w:val="auto"/>
        </w:rPr>
        <w:t>其中规划建设用地中，居住用地121.90hm</w:t>
      </w:r>
      <w:r>
        <w:rPr>
          <w:color w:val="auto"/>
          <w:vertAlign w:val="superscript"/>
        </w:rPr>
        <w:t>2</w:t>
      </w:r>
      <w:r>
        <w:rPr>
          <w:color w:val="auto"/>
        </w:rPr>
        <w:t>，占建设用地28.35%，公共管理与公共服务设施用地47.42hm</w:t>
      </w:r>
      <w:r>
        <w:rPr>
          <w:color w:val="auto"/>
          <w:vertAlign w:val="superscript"/>
        </w:rPr>
        <w:t>2</w:t>
      </w:r>
      <w:r>
        <w:rPr>
          <w:color w:val="auto"/>
        </w:rPr>
        <w:t>，占建设用地11.03%，商业服务业设施用地96.05hm</w:t>
      </w:r>
      <w:r>
        <w:rPr>
          <w:color w:val="auto"/>
          <w:vertAlign w:val="superscript"/>
        </w:rPr>
        <w:t>2</w:t>
      </w:r>
      <w:r>
        <w:rPr>
          <w:color w:val="auto"/>
        </w:rPr>
        <w:t>，占建设用地22.34%，道路与交通设施用地99.01hm</w:t>
      </w:r>
      <w:r>
        <w:rPr>
          <w:color w:val="auto"/>
          <w:vertAlign w:val="superscript"/>
        </w:rPr>
        <w:t>2</w:t>
      </w:r>
      <w:r>
        <w:rPr>
          <w:color w:val="auto"/>
        </w:rPr>
        <w:t>，占建设用地23.03%；公用设施用地2.43hm</w:t>
      </w:r>
      <w:r>
        <w:rPr>
          <w:color w:val="auto"/>
          <w:vertAlign w:val="superscript"/>
        </w:rPr>
        <w:t>2</w:t>
      </w:r>
      <w:r>
        <w:rPr>
          <w:color w:val="auto"/>
        </w:rPr>
        <w:t>，占建设用地0.57%；绿地与广场用地63.11hm</w:t>
      </w:r>
      <w:r>
        <w:rPr>
          <w:color w:val="auto"/>
          <w:vertAlign w:val="superscript"/>
        </w:rPr>
        <w:t>2</w:t>
      </w:r>
      <w:r>
        <w:rPr>
          <w:color w:val="auto"/>
        </w:rPr>
        <w:t>，占建设用地14.68%；非建设用地中，水域用地11.35hm</w:t>
      </w:r>
      <w:r>
        <w:rPr>
          <w:color w:val="auto"/>
          <w:vertAlign w:val="superscript"/>
        </w:rPr>
        <w:t>2</w:t>
      </w:r>
      <w:r>
        <w:rPr>
          <w:color w:val="auto"/>
        </w:rPr>
        <w:t>，农林用地0.98hm</w:t>
      </w:r>
      <w:r>
        <w:rPr>
          <w:color w:val="auto"/>
          <w:vertAlign w:val="superscript"/>
        </w:rPr>
        <w:t>2</w:t>
      </w:r>
      <w:r>
        <w:rPr>
          <w:color w:val="auto"/>
        </w:rPr>
        <w:t>。</w:t>
      </w:r>
    </w:p>
    <w:p w14:paraId="47B951C2">
      <w:pPr>
        <w:topLinePunct/>
        <w:ind w:firstLine="480"/>
        <w:rPr>
          <w:color w:val="auto"/>
        </w:rPr>
      </w:pPr>
      <w:r>
        <w:rPr>
          <w:color w:val="auto"/>
        </w:rPr>
        <w:t>该规划区为重庆主城陶家城市副中心的核心组成部分，是九龙坡区西部以生产型商务和综合服务配套为主导功能的中心城区。</w:t>
      </w:r>
    </w:p>
    <w:p w14:paraId="6CADDCC4">
      <w:pPr>
        <w:topLinePunct/>
        <w:ind w:firstLine="0" w:firstLineChars="0"/>
        <w:jc w:val="left"/>
        <w:rPr>
          <w:b/>
          <w:bCs/>
          <w:color w:val="auto"/>
          <w:kern w:val="0"/>
          <w:lang w:bidi="en-US"/>
        </w:rPr>
      </w:pPr>
      <w:r>
        <w:rPr>
          <w:b/>
          <w:bCs/>
          <w:color w:val="auto"/>
          <w:kern w:val="0"/>
          <w:lang w:bidi="en-US"/>
        </w:rPr>
        <w:t>表2.2-12                     西彭组团O标准分区技术经济指标</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1"/>
        <w:gridCol w:w="762"/>
        <w:gridCol w:w="914"/>
        <w:gridCol w:w="2135"/>
        <w:gridCol w:w="1220"/>
        <w:gridCol w:w="1523"/>
        <w:gridCol w:w="1632"/>
      </w:tblGrid>
      <w:tr w14:paraId="18262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exact"/>
          <w:tblHeader/>
        </w:trPr>
        <w:tc>
          <w:tcPr>
            <w:tcW w:w="511" w:type="pct"/>
            <w:noWrap/>
            <w:vAlign w:val="center"/>
          </w:tcPr>
          <w:p w14:paraId="75B5DDA0">
            <w:pPr>
              <w:pStyle w:val="44"/>
              <w:rPr>
                <w:color w:val="auto"/>
              </w:rPr>
            </w:pPr>
            <w:r>
              <w:rPr>
                <w:color w:val="auto"/>
              </w:rPr>
              <w:t>序号</w:t>
            </w:r>
          </w:p>
        </w:tc>
        <w:tc>
          <w:tcPr>
            <w:tcW w:w="2090" w:type="pct"/>
            <w:gridSpan w:val="3"/>
            <w:vAlign w:val="center"/>
          </w:tcPr>
          <w:p w14:paraId="171FED7A">
            <w:pPr>
              <w:pStyle w:val="44"/>
              <w:rPr>
                <w:color w:val="auto"/>
              </w:rPr>
            </w:pPr>
            <w:r>
              <w:rPr>
                <w:color w:val="auto"/>
              </w:rPr>
              <w:t>用地名称</w:t>
            </w:r>
          </w:p>
        </w:tc>
        <w:tc>
          <w:tcPr>
            <w:tcW w:w="669" w:type="pct"/>
            <w:vAlign w:val="center"/>
          </w:tcPr>
          <w:p w14:paraId="08636274">
            <w:pPr>
              <w:pStyle w:val="44"/>
              <w:rPr>
                <w:color w:val="auto"/>
              </w:rPr>
            </w:pPr>
            <w:r>
              <w:rPr>
                <w:color w:val="auto"/>
              </w:rPr>
              <w:t>用地代码</w:t>
            </w:r>
          </w:p>
        </w:tc>
        <w:tc>
          <w:tcPr>
            <w:tcW w:w="835" w:type="pct"/>
            <w:vAlign w:val="center"/>
          </w:tcPr>
          <w:p w14:paraId="08A86884">
            <w:pPr>
              <w:pStyle w:val="44"/>
              <w:rPr>
                <w:color w:val="auto"/>
              </w:rPr>
            </w:pPr>
            <w:r>
              <w:rPr>
                <w:color w:val="auto"/>
              </w:rPr>
              <w:t>面积（公顷）</w:t>
            </w:r>
          </w:p>
        </w:tc>
        <w:tc>
          <w:tcPr>
            <w:tcW w:w="896" w:type="pct"/>
            <w:vAlign w:val="center"/>
          </w:tcPr>
          <w:p w14:paraId="5B756F56">
            <w:pPr>
              <w:pStyle w:val="44"/>
              <w:rPr>
                <w:color w:val="auto"/>
              </w:rPr>
            </w:pPr>
            <w:r>
              <w:rPr>
                <w:color w:val="auto"/>
              </w:rPr>
              <w:t>占城市建设用地（%）</w:t>
            </w:r>
          </w:p>
        </w:tc>
      </w:tr>
      <w:tr w14:paraId="179CC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noWrap/>
            <w:vAlign w:val="center"/>
          </w:tcPr>
          <w:p w14:paraId="087DE44C">
            <w:pPr>
              <w:pStyle w:val="44"/>
              <w:rPr>
                <w:color w:val="auto"/>
              </w:rPr>
            </w:pPr>
            <w:r>
              <w:rPr>
                <w:color w:val="auto"/>
              </w:rPr>
              <w:t>1</w:t>
            </w:r>
          </w:p>
        </w:tc>
        <w:tc>
          <w:tcPr>
            <w:tcW w:w="2090" w:type="pct"/>
            <w:gridSpan w:val="3"/>
            <w:vAlign w:val="center"/>
          </w:tcPr>
          <w:p w14:paraId="4AE4A000">
            <w:pPr>
              <w:pStyle w:val="44"/>
              <w:rPr>
                <w:color w:val="auto"/>
              </w:rPr>
            </w:pPr>
            <w:r>
              <w:rPr>
                <w:color w:val="auto"/>
              </w:rPr>
              <w:t>居住用地</w:t>
            </w:r>
          </w:p>
        </w:tc>
        <w:tc>
          <w:tcPr>
            <w:tcW w:w="669" w:type="pct"/>
            <w:vAlign w:val="center"/>
          </w:tcPr>
          <w:p w14:paraId="425B9715">
            <w:pPr>
              <w:pStyle w:val="44"/>
              <w:rPr>
                <w:color w:val="auto"/>
              </w:rPr>
            </w:pPr>
            <w:r>
              <w:rPr>
                <w:color w:val="auto"/>
              </w:rPr>
              <w:t>R</w:t>
            </w:r>
          </w:p>
        </w:tc>
        <w:tc>
          <w:tcPr>
            <w:tcW w:w="835" w:type="pct"/>
            <w:vAlign w:val="center"/>
          </w:tcPr>
          <w:p w14:paraId="266A3A6D">
            <w:pPr>
              <w:pStyle w:val="44"/>
              <w:rPr>
                <w:color w:val="auto"/>
              </w:rPr>
            </w:pPr>
            <w:r>
              <w:rPr>
                <w:color w:val="auto"/>
              </w:rPr>
              <w:t xml:space="preserve">121.90 </w:t>
            </w:r>
          </w:p>
        </w:tc>
        <w:tc>
          <w:tcPr>
            <w:tcW w:w="896" w:type="pct"/>
            <w:vAlign w:val="center"/>
          </w:tcPr>
          <w:p w14:paraId="4B979296">
            <w:pPr>
              <w:pStyle w:val="44"/>
              <w:rPr>
                <w:color w:val="auto"/>
              </w:rPr>
            </w:pPr>
            <w:r>
              <w:rPr>
                <w:color w:val="auto"/>
              </w:rPr>
              <w:t xml:space="preserve">28.35 </w:t>
            </w:r>
          </w:p>
        </w:tc>
      </w:tr>
      <w:tr w14:paraId="02EB4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6B9F28E3">
            <w:pPr>
              <w:pStyle w:val="44"/>
              <w:rPr>
                <w:color w:val="auto"/>
              </w:rPr>
            </w:pPr>
          </w:p>
        </w:tc>
        <w:tc>
          <w:tcPr>
            <w:tcW w:w="418" w:type="pct"/>
            <w:vAlign w:val="center"/>
          </w:tcPr>
          <w:p w14:paraId="0EB9B693">
            <w:pPr>
              <w:pStyle w:val="44"/>
              <w:rPr>
                <w:color w:val="auto"/>
              </w:rPr>
            </w:pPr>
            <w:r>
              <w:rPr>
                <w:color w:val="auto"/>
              </w:rPr>
              <w:t>其中</w:t>
            </w:r>
          </w:p>
        </w:tc>
        <w:tc>
          <w:tcPr>
            <w:tcW w:w="1672" w:type="pct"/>
            <w:gridSpan w:val="2"/>
            <w:vAlign w:val="center"/>
          </w:tcPr>
          <w:p w14:paraId="7D8BF2BD">
            <w:pPr>
              <w:pStyle w:val="44"/>
              <w:rPr>
                <w:color w:val="auto"/>
              </w:rPr>
            </w:pPr>
            <w:r>
              <w:rPr>
                <w:color w:val="auto"/>
              </w:rPr>
              <w:t>二类居住用地</w:t>
            </w:r>
          </w:p>
        </w:tc>
        <w:tc>
          <w:tcPr>
            <w:tcW w:w="669" w:type="pct"/>
            <w:vAlign w:val="center"/>
          </w:tcPr>
          <w:p w14:paraId="4DA381A5">
            <w:pPr>
              <w:pStyle w:val="44"/>
              <w:rPr>
                <w:color w:val="auto"/>
              </w:rPr>
            </w:pPr>
            <w:r>
              <w:rPr>
                <w:color w:val="auto"/>
              </w:rPr>
              <w:t>R2</w:t>
            </w:r>
          </w:p>
        </w:tc>
        <w:tc>
          <w:tcPr>
            <w:tcW w:w="835" w:type="pct"/>
            <w:vAlign w:val="center"/>
          </w:tcPr>
          <w:p w14:paraId="1FA49398">
            <w:pPr>
              <w:pStyle w:val="44"/>
              <w:rPr>
                <w:color w:val="auto"/>
              </w:rPr>
            </w:pPr>
            <w:r>
              <w:rPr>
                <w:color w:val="auto"/>
              </w:rPr>
              <w:t xml:space="preserve">121.90 </w:t>
            </w:r>
          </w:p>
        </w:tc>
        <w:tc>
          <w:tcPr>
            <w:tcW w:w="896" w:type="pct"/>
            <w:vAlign w:val="center"/>
          </w:tcPr>
          <w:p w14:paraId="43A69D5A">
            <w:pPr>
              <w:pStyle w:val="44"/>
              <w:rPr>
                <w:color w:val="auto"/>
              </w:rPr>
            </w:pPr>
          </w:p>
        </w:tc>
      </w:tr>
      <w:tr w14:paraId="536A3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noWrap/>
            <w:vAlign w:val="center"/>
          </w:tcPr>
          <w:p w14:paraId="5D01E542">
            <w:pPr>
              <w:pStyle w:val="44"/>
              <w:rPr>
                <w:color w:val="auto"/>
              </w:rPr>
            </w:pPr>
            <w:r>
              <w:rPr>
                <w:color w:val="auto"/>
              </w:rPr>
              <w:t>2</w:t>
            </w:r>
          </w:p>
        </w:tc>
        <w:tc>
          <w:tcPr>
            <w:tcW w:w="2090" w:type="pct"/>
            <w:gridSpan w:val="3"/>
            <w:vAlign w:val="center"/>
          </w:tcPr>
          <w:p w14:paraId="6FE7B7D4">
            <w:pPr>
              <w:pStyle w:val="44"/>
              <w:rPr>
                <w:color w:val="auto"/>
              </w:rPr>
            </w:pPr>
            <w:r>
              <w:rPr>
                <w:color w:val="auto"/>
              </w:rPr>
              <w:t>公共管理与公共服务用地</w:t>
            </w:r>
          </w:p>
        </w:tc>
        <w:tc>
          <w:tcPr>
            <w:tcW w:w="669" w:type="pct"/>
            <w:vAlign w:val="center"/>
          </w:tcPr>
          <w:p w14:paraId="63274345">
            <w:pPr>
              <w:pStyle w:val="44"/>
              <w:rPr>
                <w:color w:val="auto"/>
              </w:rPr>
            </w:pPr>
            <w:r>
              <w:rPr>
                <w:color w:val="auto"/>
              </w:rPr>
              <w:t>A</w:t>
            </w:r>
          </w:p>
        </w:tc>
        <w:tc>
          <w:tcPr>
            <w:tcW w:w="835" w:type="pct"/>
            <w:vAlign w:val="center"/>
          </w:tcPr>
          <w:p w14:paraId="0E178375">
            <w:pPr>
              <w:pStyle w:val="44"/>
              <w:rPr>
                <w:color w:val="auto"/>
              </w:rPr>
            </w:pPr>
            <w:r>
              <w:rPr>
                <w:color w:val="auto"/>
              </w:rPr>
              <w:t>47.42</w:t>
            </w:r>
          </w:p>
        </w:tc>
        <w:tc>
          <w:tcPr>
            <w:tcW w:w="896" w:type="pct"/>
            <w:vAlign w:val="center"/>
          </w:tcPr>
          <w:p w14:paraId="122B35C3">
            <w:pPr>
              <w:pStyle w:val="44"/>
              <w:rPr>
                <w:color w:val="auto"/>
              </w:rPr>
            </w:pPr>
            <w:r>
              <w:rPr>
                <w:color w:val="auto"/>
              </w:rPr>
              <w:t xml:space="preserve">11.03 </w:t>
            </w:r>
          </w:p>
        </w:tc>
      </w:tr>
      <w:tr w14:paraId="1C6B8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1BE24E68">
            <w:pPr>
              <w:pStyle w:val="44"/>
              <w:rPr>
                <w:color w:val="auto"/>
              </w:rPr>
            </w:pPr>
          </w:p>
        </w:tc>
        <w:tc>
          <w:tcPr>
            <w:tcW w:w="418" w:type="pct"/>
            <w:vMerge w:val="restart"/>
            <w:vAlign w:val="center"/>
          </w:tcPr>
          <w:p w14:paraId="27840113">
            <w:pPr>
              <w:pStyle w:val="44"/>
              <w:rPr>
                <w:color w:val="auto"/>
              </w:rPr>
            </w:pPr>
            <w:r>
              <w:rPr>
                <w:color w:val="auto"/>
              </w:rPr>
              <w:t>其中</w:t>
            </w:r>
          </w:p>
        </w:tc>
        <w:tc>
          <w:tcPr>
            <w:tcW w:w="1672" w:type="pct"/>
            <w:gridSpan w:val="2"/>
            <w:vAlign w:val="center"/>
          </w:tcPr>
          <w:p w14:paraId="7C555BF2">
            <w:pPr>
              <w:pStyle w:val="44"/>
              <w:rPr>
                <w:color w:val="auto"/>
              </w:rPr>
            </w:pPr>
            <w:r>
              <w:rPr>
                <w:color w:val="auto"/>
              </w:rPr>
              <w:t>行政办公用地</w:t>
            </w:r>
          </w:p>
        </w:tc>
        <w:tc>
          <w:tcPr>
            <w:tcW w:w="669" w:type="pct"/>
            <w:vAlign w:val="center"/>
          </w:tcPr>
          <w:p w14:paraId="72ECA22C">
            <w:pPr>
              <w:pStyle w:val="44"/>
              <w:rPr>
                <w:color w:val="auto"/>
              </w:rPr>
            </w:pPr>
            <w:r>
              <w:rPr>
                <w:color w:val="auto"/>
              </w:rPr>
              <w:t>A1</w:t>
            </w:r>
          </w:p>
        </w:tc>
        <w:tc>
          <w:tcPr>
            <w:tcW w:w="835" w:type="pct"/>
            <w:vAlign w:val="center"/>
          </w:tcPr>
          <w:p w14:paraId="58A034B6">
            <w:pPr>
              <w:pStyle w:val="44"/>
              <w:rPr>
                <w:color w:val="auto"/>
              </w:rPr>
            </w:pPr>
            <w:r>
              <w:rPr>
                <w:color w:val="auto"/>
              </w:rPr>
              <w:t>5.71</w:t>
            </w:r>
          </w:p>
        </w:tc>
        <w:tc>
          <w:tcPr>
            <w:tcW w:w="896" w:type="pct"/>
            <w:vAlign w:val="center"/>
          </w:tcPr>
          <w:p w14:paraId="62642CCF">
            <w:pPr>
              <w:pStyle w:val="44"/>
              <w:rPr>
                <w:color w:val="auto"/>
              </w:rPr>
            </w:pPr>
          </w:p>
        </w:tc>
      </w:tr>
      <w:tr w14:paraId="7BCEA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06FE42CD">
            <w:pPr>
              <w:pStyle w:val="44"/>
              <w:rPr>
                <w:color w:val="auto"/>
              </w:rPr>
            </w:pPr>
          </w:p>
        </w:tc>
        <w:tc>
          <w:tcPr>
            <w:tcW w:w="418" w:type="pct"/>
            <w:vMerge w:val="continue"/>
            <w:vAlign w:val="center"/>
          </w:tcPr>
          <w:p w14:paraId="715366B9">
            <w:pPr>
              <w:pStyle w:val="44"/>
              <w:rPr>
                <w:color w:val="auto"/>
              </w:rPr>
            </w:pPr>
          </w:p>
        </w:tc>
        <w:tc>
          <w:tcPr>
            <w:tcW w:w="1672" w:type="pct"/>
            <w:gridSpan w:val="2"/>
            <w:vAlign w:val="center"/>
          </w:tcPr>
          <w:p w14:paraId="298CB943">
            <w:pPr>
              <w:pStyle w:val="44"/>
              <w:rPr>
                <w:color w:val="auto"/>
              </w:rPr>
            </w:pPr>
            <w:r>
              <w:rPr>
                <w:color w:val="auto"/>
              </w:rPr>
              <w:t>文化设施用地</w:t>
            </w:r>
          </w:p>
        </w:tc>
        <w:tc>
          <w:tcPr>
            <w:tcW w:w="669" w:type="pct"/>
            <w:vAlign w:val="center"/>
          </w:tcPr>
          <w:p w14:paraId="073437BB">
            <w:pPr>
              <w:pStyle w:val="44"/>
              <w:rPr>
                <w:color w:val="auto"/>
              </w:rPr>
            </w:pPr>
            <w:r>
              <w:rPr>
                <w:color w:val="auto"/>
              </w:rPr>
              <w:t>A2</w:t>
            </w:r>
          </w:p>
        </w:tc>
        <w:tc>
          <w:tcPr>
            <w:tcW w:w="835" w:type="pct"/>
            <w:vAlign w:val="center"/>
          </w:tcPr>
          <w:p w14:paraId="1993DC2B">
            <w:pPr>
              <w:pStyle w:val="44"/>
              <w:rPr>
                <w:color w:val="auto"/>
              </w:rPr>
            </w:pPr>
            <w:r>
              <w:rPr>
                <w:color w:val="auto"/>
              </w:rPr>
              <w:t>8.92</w:t>
            </w:r>
          </w:p>
        </w:tc>
        <w:tc>
          <w:tcPr>
            <w:tcW w:w="896" w:type="pct"/>
            <w:vAlign w:val="center"/>
          </w:tcPr>
          <w:p w14:paraId="3D39E4F2">
            <w:pPr>
              <w:pStyle w:val="44"/>
              <w:rPr>
                <w:color w:val="auto"/>
              </w:rPr>
            </w:pPr>
          </w:p>
        </w:tc>
      </w:tr>
      <w:tr w14:paraId="3B8CD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7AD36612">
            <w:pPr>
              <w:pStyle w:val="44"/>
              <w:rPr>
                <w:color w:val="auto"/>
              </w:rPr>
            </w:pPr>
          </w:p>
        </w:tc>
        <w:tc>
          <w:tcPr>
            <w:tcW w:w="418" w:type="pct"/>
            <w:vMerge w:val="continue"/>
            <w:vAlign w:val="center"/>
          </w:tcPr>
          <w:p w14:paraId="65175882">
            <w:pPr>
              <w:pStyle w:val="44"/>
              <w:rPr>
                <w:color w:val="auto"/>
              </w:rPr>
            </w:pPr>
          </w:p>
        </w:tc>
        <w:tc>
          <w:tcPr>
            <w:tcW w:w="1672" w:type="pct"/>
            <w:gridSpan w:val="2"/>
            <w:vAlign w:val="center"/>
          </w:tcPr>
          <w:p w14:paraId="29F51D4F">
            <w:pPr>
              <w:pStyle w:val="44"/>
              <w:rPr>
                <w:color w:val="auto"/>
              </w:rPr>
            </w:pPr>
            <w:r>
              <w:rPr>
                <w:color w:val="auto"/>
              </w:rPr>
              <w:t>教育科研用地</w:t>
            </w:r>
          </w:p>
        </w:tc>
        <w:tc>
          <w:tcPr>
            <w:tcW w:w="669" w:type="pct"/>
            <w:vAlign w:val="center"/>
          </w:tcPr>
          <w:p w14:paraId="71DFEA27">
            <w:pPr>
              <w:pStyle w:val="44"/>
              <w:rPr>
                <w:color w:val="auto"/>
              </w:rPr>
            </w:pPr>
            <w:r>
              <w:rPr>
                <w:color w:val="auto"/>
              </w:rPr>
              <w:t>A3</w:t>
            </w:r>
          </w:p>
        </w:tc>
        <w:tc>
          <w:tcPr>
            <w:tcW w:w="835" w:type="pct"/>
            <w:vAlign w:val="center"/>
          </w:tcPr>
          <w:p w14:paraId="6FFBC3EA">
            <w:pPr>
              <w:pStyle w:val="44"/>
              <w:rPr>
                <w:color w:val="auto"/>
              </w:rPr>
            </w:pPr>
            <w:r>
              <w:rPr>
                <w:color w:val="auto"/>
              </w:rPr>
              <w:t>17.25</w:t>
            </w:r>
          </w:p>
        </w:tc>
        <w:tc>
          <w:tcPr>
            <w:tcW w:w="896" w:type="pct"/>
            <w:vAlign w:val="center"/>
          </w:tcPr>
          <w:p w14:paraId="2D1F4DC8">
            <w:pPr>
              <w:pStyle w:val="44"/>
              <w:rPr>
                <w:color w:val="auto"/>
              </w:rPr>
            </w:pPr>
          </w:p>
        </w:tc>
      </w:tr>
      <w:tr w14:paraId="615E6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213BF705">
            <w:pPr>
              <w:pStyle w:val="44"/>
              <w:rPr>
                <w:color w:val="auto"/>
              </w:rPr>
            </w:pPr>
          </w:p>
        </w:tc>
        <w:tc>
          <w:tcPr>
            <w:tcW w:w="418" w:type="pct"/>
            <w:vMerge w:val="continue"/>
            <w:vAlign w:val="center"/>
          </w:tcPr>
          <w:p w14:paraId="03847CB2">
            <w:pPr>
              <w:pStyle w:val="44"/>
              <w:rPr>
                <w:color w:val="auto"/>
              </w:rPr>
            </w:pPr>
          </w:p>
        </w:tc>
        <w:tc>
          <w:tcPr>
            <w:tcW w:w="501" w:type="pct"/>
            <w:vAlign w:val="center"/>
          </w:tcPr>
          <w:p w14:paraId="3D277543">
            <w:pPr>
              <w:pStyle w:val="44"/>
              <w:rPr>
                <w:color w:val="auto"/>
              </w:rPr>
            </w:pPr>
            <w:r>
              <w:rPr>
                <w:color w:val="auto"/>
              </w:rPr>
              <w:t>其中</w:t>
            </w:r>
          </w:p>
        </w:tc>
        <w:tc>
          <w:tcPr>
            <w:tcW w:w="1170" w:type="pct"/>
            <w:vAlign w:val="center"/>
          </w:tcPr>
          <w:p w14:paraId="0D4509F3">
            <w:pPr>
              <w:pStyle w:val="44"/>
              <w:rPr>
                <w:color w:val="auto"/>
              </w:rPr>
            </w:pPr>
            <w:r>
              <w:rPr>
                <w:color w:val="auto"/>
              </w:rPr>
              <w:t>中小学用地</w:t>
            </w:r>
          </w:p>
        </w:tc>
        <w:tc>
          <w:tcPr>
            <w:tcW w:w="669" w:type="pct"/>
            <w:vAlign w:val="center"/>
          </w:tcPr>
          <w:p w14:paraId="2F5F5246">
            <w:pPr>
              <w:pStyle w:val="44"/>
              <w:rPr>
                <w:color w:val="auto"/>
              </w:rPr>
            </w:pPr>
            <w:r>
              <w:rPr>
                <w:color w:val="auto"/>
              </w:rPr>
              <w:t>A33</w:t>
            </w:r>
          </w:p>
        </w:tc>
        <w:tc>
          <w:tcPr>
            <w:tcW w:w="835" w:type="pct"/>
            <w:vAlign w:val="center"/>
          </w:tcPr>
          <w:p w14:paraId="4F6670D3">
            <w:pPr>
              <w:pStyle w:val="44"/>
              <w:rPr>
                <w:color w:val="auto"/>
              </w:rPr>
            </w:pPr>
            <w:r>
              <w:rPr>
                <w:color w:val="auto"/>
              </w:rPr>
              <w:t>17.25</w:t>
            </w:r>
          </w:p>
        </w:tc>
        <w:tc>
          <w:tcPr>
            <w:tcW w:w="896" w:type="pct"/>
            <w:vAlign w:val="center"/>
          </w:tcPr>
          <w:p w14:paraId="092F43C0">
            <w:pPr>
              <w:pStyle w:val="44"/>
              <w:rPr>
                <w:color w:val="auto"/>
              </w:rPr>
            </w:pPr>
          </w:p>
        </w:tc>
      </w:tr>
      <w:tr w14:paraId="4CE25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134FDEC7">
            <w:pPr>
              <w:pStyle w:val="44"/>
              <w:rPr>
                <w:color w:val="auto"/>
              </w:rPr>
            </w:pPr>
          </w:p>
        </w:tc>
        <w:tc>
          <w:tcPr>
            <w:tcW w:w="418" w:type="pct"/>
            <w:vMerge w:val="continue"/>
            <w:vAlign w:val="center"/>
          </w:tcPr>
          <w:p w14:paraId="550F51E7">
            <w:pPr>
              <w:pStyle w:val="44"/>
              <w:rPr>
                <w:color w:val="auto"/>
              </w:rPr>
            </w:pPr>
          </w:p>
        </w:tc>
        <w:tc>
          <w:tcPr>
            <w:tcW w:w="1672" w:type="pct"/>
            <w:gridSpan w:val="2"/>
            <w:vAlign w:val="center"/>
          </w:tcPr>
          <w:p w14:paraId="03E37898">
            <w:pPr>
              <w:pStyle w:val="44"/>
              <w:rPr>
                <w:color w:val="auto"/>
              </w:rPr>
            </w:pPr>
            <w:r>
              <w:rPr>
                <w:color w:val="auto"/>
              </w:rPr>
              <w:t>医疗卫生用地</w:t>
            </w:r>
          </w:p>
        </w:tc>
        <w:tc>
          <w:tcPr>
            <w:tcW w:w="669" w:type="pct"/>
            <w:vAlign w:val="center"/>
          </w:tcPr>
          <w:p w14:paraId="33913B7A">
            <w:pPr>
              <w:pStyle w:val="44"/>
              <w:rPr>
                <w:color w:val="auto"/>
              </w:rPr>
            </w:pPr>
            <w:r>
              <w:rPr>
                <w:color w:val="auto"/>
              </w:rPr>
              <w:t>A5</w:t>
            </w:r>
          </w:p>
        </w:tc>
        <w:tc>
          <w:tcPr>
            <w:tcW w:w="835" w:type="pct"/>
            <w:vAlign w:val="center"/>
          </w:tcPr>
          <w:p w14:paraId="46520C0E">
            <w:pPr>
              <w:pStyle w:val="44"/>
              <w:rPr>
                <w:color w:val="auto"/>
              </w:rPr>
            </w:pPr>
            <w:r>
              <w:rPr>
                <w:color w:val="auto"/>
              </w:rPr>
              <w:t>15.54</w:t>
            </w:r>
          </w:p>
        </w:tc>
        <w:tc>
          <w:tcPr>
            <w:tcW w:w="896" w:type="pct"/>
            <w:vAlign w:val="center"/>
          </w:tcPr>
          <w:p w14:paraId="68667343">
            <w:pPr>
              <w:pStyle w:val="44"/>
              <w:rPr>
                <w:color w:val="auto"/>
              </w:rPr>
            </w:pPr>
          </w:p>
        </w:tc>
      </w:tr>
      <w:tr w14:paraId="6B659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noWrap/>
            <w:vAlign w:val="center"/>
          </w:tcPr>
          <w:p w14:paraId="529E9474">
            <w:pPr>
              <w:pStyle w:val="44"/>
              <w:rPr>
                <w:color w:val="auto"/>
              </w:rPr>
            </w:pPr>
            <w:r>
              <w:rPr>
                <w:color w:val="auto"/>
              </w:rPr>
              <w:t>3</w:t>
            </w:r>
          </w:p>
        </w:tc>
        <w:tc>
          <w:tcPr>
            <w:tcW w:w="2090" w:type="pct"/>
            <w:gridSpan w:val="3"/>
            <w:vAlign w:val="center"/>
          </w:tcPr>
          <w:p w14:paraId="104C45FF">
            <w:pPr>
              <w:pStyle w:val="44"/>
              <w:rPr>
                <w:color w:val="auto"/>
              </w:rPr>
            </w:pPr>
            <w:r>
              <w:rPr>
                <w:color w:val="auto"/>
              </w:rPr>
              <w:t>商业服务业设施用地</w:t>
            </w:r>
          </w:p>
        </w:tc>
        <w:tc>
          <w:tcPr>
            <w:tcW w:w="669" w:type="pct"/>
            <w:vAlign w:val="center"/>
          </w:tcPr>
          <w:p w14:paraId="41AB96CE">
            <w:pPr>
              <w:pStyle w:val="44"/>
              <w:rPr>
                <w:color w:val="auto"/>
              </w:rPr>
            </w:pPr>
            <w:r>
              <w:rPr>
                <w:color w:val="auto"/>
              </w:rPr>
              <w:t>B</w:t>
            </w:r>
          </w:p>
        </w:tc>
        <w:tc>
          <w:tcPr>
            <w:tcW w:w="835" w:type="pct"/>
            <w:vAlign w:val="center"/>
          </w:tcPr>
          <w:p w14:paraId="3A9A0824">
            <w:pPr>
              <w:pStyle w:val="44"/>
              <w:rPr>
                <w:color w:val="auto"/>
              </w:rPr>
            </w:pPr>
            <w:r>
              <w:rPr>
                <w:color w:val="auto"/>
              </w:rPr>
              <w:t>96.05</w:t>
            </w:r>
          </w:p>
        </w:tc>
        <w:tc>
          <w:tcPr>
            <w:tcW w:w="896" w:type="pct"/>
            <w:vAlign w:val="center"/>
          </w:tcPr>
          <w:p w14:paraId="33EBDE51">
            <w:pPr>
              <w:pStyle w:val="44"/>
              <w:rPr>
                <w:color w:val="auto"/>
              </w:rPr>
            </w:pPr>
            <w:r>
              <w:rPr>
                <w:color w:val="auto"/>
              </w:rPr>
              <w:t xml:space="preserve">22.34 </w:t>
            </w:r>
          </w:p>
        </w:tc>
      </w:tr>
      <w:tr w14:paraId="2AFB0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72F4D7B5">
            <w:pPr>
              <w:pStyle w:val="44"/>
              <w:rPr>
                <w:color w:val="auto"/>
              </w:rPr>
            </w:pPr>
          </w:p>
        </w:tc>
        <w:tc>
          <w:tcPr>
            <w:tcW w:w="418" w:type="pct"/>
            <w:vMerge w:val="restart"/>
            <w:vAlign w:val="center"/>
          </w:tcPr>
          <w:p w14:paraId="03492D7C">
            <w:pPr>
              <w:pStyle w:val="44"/>
              <w:rPr>
                <w:color w:val="auto"/>
              </w:rPr>
            </w:pPr>
            <w:r>
              <w:rPr>
                <w:color w:val="auto"/>
              </w:rPr>
              <w:t>其中</w:t>
            </w:r>
          </w:p>
        </w:tc>
        <w:tc>
          <w:tcPr>
            <w:tcW w:w="1672" w:type="pct"/>
            <w:gridSpan w:val="2"/>
            <w:vAlign w:val="center"/>
          </w:tcPr>
          <w:p w14:paraId="3A6D20F4">
            <w:pPr>
              <w:pStyle w:val="44"/>
              <w:rPr>
                <w:color w:val="auto"/>
              </w:rPr>
            </w:pPr>
            <w:r>
              <w:rPr>
                <w:color w:val="auto"/>
              </w:rPr>
              <w:t>商业用地</w:t>
            </w:r>
          </w:p>
        </w:tc>
        <w:tc>
          <w:tcPr>
            <w:tcW w:w="669" w:type="pct"/>
            <w:vAlign w:val="center"/>
          </w:tcPr>
          <w:p w14:paraId="393CEB18">
            <w:pPr>
              <w:pStyle w:val="44"/>
              <w:rPr>
                <w:color w:val="auto"/>
              </w:rPr>
            </w:pPr>
            <w:r>
              <w:rPr>
                <w:color w:val="auto"/>
              </w:rPr>
              <w:t>B1</w:t>
            </w:r>
          </w:p>
        </w:tc>
        <w:tc>
          <w:tcPr>
            <w:tcW w:w="835" w:type="pct"/>
            <w:vAlign w:val="center"/>
          </w:tcPr>
          <w:p w14:paraId="0D09C647">
            <w:pPr>
              <w:pStyle w:val="44"/>
              <w:rPr>
                <w:color w:val="auto"/>
              </w:rPr>
            </w:pPr>
            <w:r>
              <w:rPr>
                <w:color w:val="auto"/>
              </w:rPr>
              <w:t>4.48</w:t>
            </w:r>
          </w:p>
        </w:tc>
        <w:tc>
          <w:tcPr>
            <w:tcW w:w="896" w:type="pct"/>
            <w:vAlign w:val="center"/>
          </w:tcPr>
          <w:p w14:paraId="7E4FF506">
            <w:pPr>
              <w:pStyle w:val="44"/>
              <w:rPr>
                <w:color w:val="auto"/>
              </w:rPr>
            </w:pPr>
          </w:p>
        </w:tc>
      </w:tr>
      <w:tr w14:paraId="04EEF3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7694F9A7">
            <w:pPr>
              <w:pStyle w:val="44"/>
              <w:rPr>
                <w:color w:val="auto"/>
              </w:rPr>
            </w:pPr>
          </w:p>
        </w:tc>
        <w:tc>
          <w:tcPr>
            <w:tcW w:w="418" w:type="pct"/>
            <w:vMerge w:val="continue"/>
            <w:vAlign w:val="center"/>
          </w:tcPr>
          <w:p w14:paraId="5DF8CF80">
            <w:pPr>
              <w:pStyle w:val="44"/>
              <w:rPr>
                <w:color w:val="auto"/>
              </w:rPr>
            </w:pPr>
          </w:p>
        </w:tc>
        <w:tc>
          <w:tcPr>
            <w:tcW w:w="1672" w:type="pct"/>
            <w:gridSpan w:val="2"/>
            <w:vAlign w:val="center"/>
          </w:tcPr>
          <w:p w14:paraId="0BA6A6A1">
            <w:pPr>
              <w:pStyle w:val="44"/>
              <w:rPr>
                <w:color w:val="auto"/>
              </w:rPr>
            </w:pPr>
            <w:r>
              <w:rPr>
                <w:color w:val="auto"/>
              </w:rPr>
              <w:t>商业商务混合用地</w:t>
            </w:r>
          </w:p>
        </w:tc>
        <w:tc>
          <w:tcPr>
            <w:tcW w:w="669" w:type="pct"/>
            <w:vAlign w:val="center"/>
          </w:tcPr>
          <w:p w14:paraId="4D5FF739">
            <w:pPr>
              <w:pStyle w:val="44"/>
              <w:rPr>
                <w:color w:val="auto"/>
              </w:rPr>
            </w:pPr>
            <w:r>
              <w:rPr>
                <w:color w:val="auto"/>
              </w:rPr>
              <w:t>B1B2</w:t>
            </w:r>
          </w:p>
        </w:tc>
        <w:tc>
          <w:tcPr>
            <w:tcW w:w="835" w:type="pct"/>
            <w:vAlign w:val="center"/>
          </w:tcPr>
          <w:p w14:paraId="71F83E2B">
            <w:pPr>
              <w:pStyle w:val="44"/>
              <w:rPr>
                <w:color w:val="auto"/>
              </w:rPr>
            </w:pPr>
            <w:r>
              <w:rPr>
                <w:color w:val="auto"/>
              </w:rPr>
              <w:t>36.93</w:t>
            </w:r>
          </w:p>
        </w:tc>
        <w:tc>
          <w:tcPr>
            <w:tcW w:w="896" w:type="pct"/>
            <w:vAlign w:val="center"/>
          </w:tcPr>
          <w:p w14:paraId="49CFAB3D">
            <w:pPr>
              <w:pStyle w:val="44"/>
              <w:rPr>
                <w:color w:val="auto"/>
              </w:rPr>
            </w:pPr>
          </w:p>
        </w:tc>
      </w:tr>
      <w:tr w14:paraId="4A864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4F2BDE5B">
            <w:pPr>
              <w:pStyle w:val="44"/>
              <w:rPr>
                <w:color w:val="auto"/>
              </w:rPr>
            </w:pPr>
          </w:p>
        </w:tc>
        <w:tc>
          <w:tcPr>
            <w:tcW w:w="418" w:type="pct"/>
            <w:vMerge w:val="continue"/>
            <w:vAlign w:val="center"/>
          </w:tcPr>
          <w:p w14:paraId="4E6D91FE">
            <w:pPr>
              <w:pStyle w:val="44"/>
              <w:rPr>
                <w:color w:val="auto"/>
              </w:rPr>
            </w:pPr>
          </w:p>
        </w:tc>
        <w:tc>
          <w:tcPr>
            <w:tcW w:w="1672" w:type="pct"/>
            <w:gridSpan w:val="2"/>
            <w:vAlign w:val="center"/>
          </w:tcPr>
          <w:p w14:paraId="5BE00360">
            <w:pPr>
              <w:pStyle w:val="44"/>
              <w:rPr>
                <w:color w:val="auto"/>
              </w:rPr>
            </w:pPr>
            <w:r>
              <w:rPr>
                <w:color w:val="auto"/>
              </w:rPr>
              <w:t>商住混合用地</w:t>
            </w:r>
          </w:p>
        </w:tc>
        <w:tc>
          <w:tcPr>
            <w:tcW w:w="669" w:type="pct"/>
            <w:vAlign w:val="center"/>
          </w:tcPr>
          <w:p w14:paraId="27157714">
            <w:pPr>
              <w:pStyle w:val="44"/>
              <w:rPr>
                <w:color w:val="auto"/>
              </w:rPr>
            </w:pPr>
            <w:r>
              <w:rPr>
                <w:color w:val="auto"/>
              </w:rPr>
              <w:t>B1R2</w:t>
            </w:r>
          </w:p>
        </w:tc>
        <w:tc>
          <w:tcPr>
            <w:tcW w:w="835" w:type="pct"/>
            <w:vAlign w:val="center"/>
          </w:tcPr>
          <w:p w14:paraId="548977ED">
            <w:pPr>
              <w:pStyle w:val="44"/>
              <w:rPr>
                <w:color w:val="auto"/>
              </w:rPr>
            </w:pPr>
            <w:r>
              <w:rPr>
                <w:color w:val="auto"/>
              </w:rPr>
              <w:t>54.64</w:t>
            </w:r>
          </w:p>
        </w:tc>
        <w:tc>
          <w:tcPr>
            <w:tcW w:w="896" w:type="pct"/>
            <w:vAlign w:val="center"/>
          </w:tcPr>
          <w:p w14:paraId="49907548">
            <w:pPr>
              <w:pStyle w:val="44"/>
              <w:rPr>
                <w:color w:val="auto"/>
              </w:rPr>
            </w:pPr>
          </w:p>
        </w:tc>
      </w:tr>
      <w:tr w14:paraId="5B9CD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noWrap/>
            <w:vAlign w:val="center"/>
          </w:tcPr>
          <w:p w14:paraId="75C3A7F9">
            <w:pPr>
              <w:pStyle w:val="44"/>
              <w:rPr>
                <w:color w:val="auto"/>
              </w:rPr>
            </w:pPr>
            <w:r>
              <w:rPr>
                <w:color w:val="auto"/>
              </w:rPr>
              <w:t>4</w:t>
            </w:r>
          </w:p>
        </w:tc>
        <w:tc>
          <w:tcPr>
            <w:tcW w:w="2090" w:type="pct"/>
            <w:gridSpan w:val="3"/>
            <w:vAlign w:val="center"/>
          </w:tcPr>
          <w:p w14:paraId="2450E8D7">
            <w:pPr>
              <w:pStyle w:val="44"/>
              <w:rPr>
                <w:color w:val="auto"/>
              </w:rPr>
            </w:pPr>
            <w:r>
              <w:rPr>
                <w:color w:val="auto"/>
              </w:rPr>
              <w:t>道路与交通设施用地</w:t>
            </w:r>
          </w:p>
        </w:tc>
        <w:tc>
          <w:tcPr>
            <w:tcW w:w="669" w:type="pct"/>
            <w:vAlign w:val="center"/>
          </w:tcPr>
          <w:p w14:paraId="0653D1E1">
            <w:pPr>
              <w:pStyle w:val="44"/>
              <w:rPr>
                <w:color w:val="auto"/>
              </w:rPr>
            </w:pPr>
            <w:r>
              <w:rPr>
                <w:color w:val="auto"/>
              </w:rPr>
              <w:t>S</w:t>
            </w:r>
          </w:p>
        </w:tc>
        <w:tc>
          <w:tcPr>
            <w:tcW w:w="835" w:type="pct"/>
            <w:vAlign w:val="center"/>
          </w:tcPr>
          <w:p w14:paraId="079F76C3">
            <w:pPr>
              <w:pStyle w:val="44"/>
              <w:rPr>
                <w:color w:val="auto"/>
              </w:rPr>
            </w:pPr>
            <w:r>
              <w:rPr>
                <w:color w:val="auto"/>
              </w:rPr>
              <w:t>99.01</w:t>
            </w:r>
          </w:p>
        </w:tc>
        <w:tc>
          <w:tcPr>
            <w:tcW w:w="896" w:type="pct"/>
            <w:vAlign w:val="center"/>
          </w:tcPr>
          <w:p w14:paraId="2116A378">
            <w:pPr>
              <w:pStyle w:val="44"/>
              <w:rPr>
                <w:color w:val="auto"/>
              </w:rPr>
            </w:pPr>
            <w:r>
              <w:rPr>
                <w:color w:val="auto"/>
              </w:rPr>
              <w:t xml:space="preserve">23.03 </w:t>
            </w:r>
          </w:p>
        </w:tc>
      </w:tr>
      <w:tr w14:paraId="2AFF8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4EA889E4">
            <w:pPr>
              <w:pStyle w:val="44"/>
              <w:rPr>
                <w:color w:val="auto"/>
              </w:rPr>
            </w:pPr>
          </w:p>
        </w:tc>
        <w:tc>
          <w:tcPr>
            <w:tcW w:w="418" w:type="pct"/>
            <w:vMerge w:val="restart"/>
            <w:vAlign w:val="center"/>
          </w:tcPr>
          <w:p w14:paraId="790A3974">
            <w:pPr>
              <w:pStyle w:val="44"/>
              <w:rPr>
                <w:color w:val="auto"/>
              </w:rPr>
            </w:pPr>
            <w:r>
              <w:rPr>
                <w:color w:val="auto"/>
              </w:rPr>
              <w:t>其中</w:t>
            </w:r>
          </w:p>
        </w:tc>
        <w:tc>
          <w:tcPr>
            <w:tcW w:w="1672" w:type="pct"/>
            <w:gridSpan w:val="2"/>
            <w:vAlign w:val="center"/>
          </w:tcPr>
          <w:p w14:paraId="05960D96">
            <w:pPr>
              <w:pStyle w:val="44"/>
              <w:rPr>
                <w:color w:val="auto"/>
              </w:rPr>
            </w:pPr>
            <w:r>
              <w:rPr>
                <w:color w:val="auto"/>
              </w:rPr>
              <w:t>城市道路用地</w:t>
            </w:r>
          </w:p>
        </w:tc>
        <w:tc>
          <w:tcPr>
            <w:tcW w:w="669" w:type="pct"/>
            <w:vAlign w:val="center"/>
          </w:tcPr>
          <w:p w14:paraId="4C6AFF7E">
            <w:pPr>
              <w:pStyle w:val="44"/>
              <w:rPr>
                <w:color w:val="auto"/>
              </w:rPr>
            </w:pPr>
            <w:r>
              <w:rPr>
                <w:color w:val="auto"/>
              </w:rPr>
              <w:t>　</w:t>
            </w:r>
          </w:p>
        </w:tc>
        <w:tc>
          <w:tcPr>
            <w:tcW w:w="835" w:type="pct"/>
            <w:vAlign w:val="center"/>
          </w:tcPr>
          <w:p w14:paraId="785BAB6E">
            <w:pPr>
              <w:pStyle w:val="44"/>
              <w:rPr>
                <w:color w:val="auto"/>
              </w:rPr>
            </w:pPr>
            <w:r>
              <w:rPr>
                <w:color w:val="auto"/>
              </w:rPr>
              <w:t>96.17</w:t>
            </w:r>
          </w:p>
        </w:tc>
        <w:tc>
          <w:tcPr>
            <w:tcW w:w="896" w:type="pct"/>
            <w:vAlign w:val="center"/>
          </w:tcPr>
          <w:p w14:paraId="5EB164EE">
            <w:pPr>
              <w:pStyle w:val="44"/>
              <w:rPr>
                <w:color w:val="auto"/>
              </w:rPr>
            </w:pPr>
          </w:p>
        </w:tc>
      </w:tr>
      <w:tr w14:paraId="55A23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783375F7">
            <w:pPr>
              <w:pStyle w:val="44"/>
              <w:rPr>
                <w:color w:val="auto"/>
              </w:rPr>
            </w:pPr>
          </w:p>
        </w:tc>
        <w:tc>
          <w:tcPr>
            <w:tcW w:w="418" w:type="pct"/>
            <w:vMerge w:val="continue"/>
            <w:vAlign w:val="center"/>
          </w:tcPr>
          <w:p w14:paraId="11CA40A0">
            <w:pPr>
              <w:pStyle w:val="44"/>
              <w:rPr>
                <w:color w:val="auto"/>
              </w:rPr>
            </w:pPr>
          </w:p>
        </w:tc>
        <w:tc>
          <w:tcPr>
            <w:tcW w:w="1672" w:type="pct"/>
            <w:gridSpan w:val="2"/>
            <w:vAlign w:val="center"/>
          </w:tcPr>
          <w:p w14:paraId="36A928BB">
            <w:pPr>
              <w:pStyle w:val="44"/>
              <w:rPr>
                <w:color w:val="auto"/>
              </w:rPr>
            </w:pPr>
            <w:r>
              <w:rPr>
                <w:color w:val="auto"/>
              </w:rPr>
              <w:t>交通场站用地</w:t>
            </w:r>
          </w:p>
        </w:tc>
        <w:tc>
          <w:tcPr>
            <w:tcW w:w="669" w:type="pct"/>
            <w:vAlign w:val="center"/>
          </w:tcPr>
          <w:p w14:paraId="101D3F1B">
            <w:pPr>
              <w:pStyle w:val="44"/>
              <w:rPr>
                <w:color w:val="auto"/>
              </w:rPr>
            </w:pPr>
            <w:r>
              <w:rPr>
                <w:color w:val="auto"/>
              </w:rPr>
              <w:t>S4</w:t>
            </w:r>
          </w:p>
        </w:tc>
        <w:tc>
          <w:tcPr>
            <w:tcW w:w="835" w:type="pct"/>
            <w:vAlign w:val="center"/>
          </w:tcPr>
          <w:p w14:paraId="29135F98">
            <w:pPr>
              <w:pStyle w:val="44"/>
              <w:rPr>
                <w:color w:val="auto"/>
              </w:rPr>
            </w:pPr>
            <w:r>
              <w:rPr>
                <w:color w:val="auto"/>
              </w:rPr>
              <w:t>2.84</w:t>
            </w:r>
          </w:p>
        </w:tc>
        <w:tc>
          <w:tcPr>
            <w:tcW w:w="896" w:type="pct"/>
            <w:vAlign w:val="center"/>
          </w:tcPr>
          <w:p w14:paraId="43AA526F">
            <w:pPr>
              <w:pStyle w:val="44"/>
              <w:rPr>
                <w:color w:val="auto"/>
              </w:rPr>
            </w:pPr>
          </w:p>
        </w:tc>
      </w:tr>
      <w:tr w14:paraId="59FDC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7357AB34">
            <w:pPr>
              <w:pStyle w:val="44"/>
              <w:rPr>
                <w:color w:val="auto"/>
              </w:rPr>
            </w:pPr>
          </w:p>
        </w:tc>
        <w:tc>
          <w:tcPr>
            <w:tcW w:w="418" w:type="pct"/>
            <w:vMerge w:val="continue"/>
            <w:vAlign w:val="center"/>
          </w:tcPr>
          <w:p w14:paraId="3F6C9F13">
            <w:pPr>
              <w:pStyle w:val="44"/>
              <w:rPr>
                <w:color w:val="auto"/>
              </w:rPr>
            </w:pPr>
          </w:p>
        </w:tc>
        <w:tc>
          <w:tcPr>
            <w:tcW w:w="501" w:type="pct"/>
            <w:vMerge w:val="restart"/>
            <w:vAlign w:val="center"/>
          </w:tcPr>
          <w:p w14:paraId="59BF7D6E">
            <w:pPr>
              <w:pStyle w:val="44"/>
              <w:rPr>
                <w:color w:val="auto"/>
              </w:rPr>
            </w:pPr>
            <w:r>
              <w:rPr>
                <w:color w:val="auto"/>
              </w:rPr>
              <w:t>其中</w:t>
            </w:r>
          </w:p>
        </w:tc>
        <w:tc>
          <w:tcPr>
            <w:tcW w:w="1170" w:type="pct"/>
            <w:vAlign w:val="center"/>
          </w:tcPr>
          <w:p w14:paraId="70A12C4A">
            <w:pPr>
              <w:pStyle w:val="44"/>
              <w:rPr>
                <w:color w:val="auto"/>
              </w:rPr>
            </w:pPr>
            <w:r>
              <w:rPr>
                <w:color w:val="auto"/>
              </w:rPr>
              <w:t>公共交通场站用地</w:t>
            </w:r>
          </w:p>
        </w:tc>
        <w:tc>
          <w:tcPr>
            <w:tcW w:w="669" w:type="pct"/>
            <w:vAlign w:val="center"/>
          </w:tcPr>
          <w:p w14:paraId="19F11305">
            <w:pPr>
              <w:pStyle w:val="44"/>
              <w:rPr>
                <w:color w:val="auto"/>
              </w:rPr>
            </w:pPr>
            <w:r>
              <w:rPr>
                <w:color w:val="auto"/>
              </w:rPr>
              <w:t>S41</w:t>
            </w:r>
          </w:p>
        </w:tc>
        <w:tc>
          <w:tcPr>
            <w:tcW w:w="835" w:type="pct"/>
            <w:vAlign w:val="center"/>
          </w:tcPr>
          <w:p w14:paraId="7FBA906E">
            <w:pPr>
              <w:pStyle w:val="44"/>
              <w:rPr>
                <w:color w:val="auto"/>
              </w:rPr>
            </w:pPr>
            <w:r>
              <w:rPr>
                <w:color w:val="auto"/>
              </w:rPr>
              <w:t>1.45</w:t>
            </w:r>
          </w:p>
        </w:tc>
        <w:tc>
          <w:tcPr>
            <w:tcW w:w="896" w:type="pct"/>
            <w:vAlign w:val="center"/>
          </w:tcPr>
          <w:p w14:paraId="6FB5A0A0">
            <w:pPr>
              <w:pStyle w:val="44"/>
              <w:rPr>
                <w:color w:val="auto"/>
              </w:rPr>
            </w:pPr>
          </w:p>
        </w:tc>
      </w:tr>
      <w:tr w14:paraId="4499D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4A63435C">
            <w:pPr>
              <w:pStyle w:val="44"/>
              <w:rPr>
                <w:color w:val="auto"/>
              </w:rPr>
            </w:pPr>
          </w:p>
        </w:tc>
        <w:tc>
          <w:tcPr>
            <w:tcW w:w="418" w:type="pct"/>
            <w:vMerge w:val="continue"/>
            <w:vAlign w:val="center"/>
          </w:tcPr>
          <w:p w14:paraId="116713B2">
            <w:pPr>
              <w:pStyle w:val="44"/>
              <w:rPr>
                <w:color w:val="auto"/>
              </w:rPr>
            </w:pPr>
          </w:p>
        </w:tc>
        <w:tc>
          <w:tcPr>
            <w:tcW w:w="501" w:type="pct"/>
            <w:vMerge w:val="continue"/>
            <w:vAlign w:val="center"/>
          </w:tcPr>
          <w:p w14:paraId="7A20E108">
            <w:pPr>
              <w:pStyle w:val="44"/>
              <w:rPr>
                <w:color w:val="auto"/>
              </w:rPr>
            </w:pPr>
          </w:p>
        </w:tc>
        <w:tc>
          <w:tcPr>
            <w:tcW w:w="1170" w:type="pct"/>
            <w:vAlign w:val="center"/>
          </w:tcPr>
          <w:p w14:paraId="35FBE69F">
            <w:pPr>
              <w:pStyle w:val="44"/>
              <w:rPr>
                <w:color w:val="auto"/>
              </w:rPr>
            </w:pPr>
            <w:r>
              <w:rPr>
                <w:color w:val="auto"/>
              </w:rPr>
              <w:t>社会停车场用地</w:t>
            </w:r>
          </w:p>
        </w:tc>
        <w:tc>
          <w:tcPr>
            <w:tcW w:w="669" w:type="pct"/>
            <w:vAlign w:val="center"/>
          </w:tcPr>
          <w:p w14:paraId="72A4E52A">
            <w:pPr>
              <w:pStyle w:val="44"/>
              <w:rPr>
                <w:color w:val="auto"/>
              </w:rPr>
            </w:pPr>
            <w:r>
              <w:rPr>
                <w:color w:val="auto"/>
              </w:rPr>
              <w:t>S42</w:t>
            </w:r>
          </w:p>
        </w:tc>
        <w:tc>
          <w:tcPr>
            <w:tcW w:w="835" w:type="pct"/>
            <w:vAlign w:val="center"/>
          </w:tcPr>
          <w:p w14:paraId="43EB3E56">
            <w:pPr>
              <w:pStyle w:val="44"/>
              <w:rPr>
                <w:color w:val="auto"/>
              </w:rPr>
            </w:pPr>
            <w:r>
              <w:rPr>
                <w:color w:val="auto"/>
              </w:rPr>
              <w:t>1.39</w:t>
            </w:r>
          </w:p>
        </w:tc>
        <w:tc>
          <w:tcPr>
            <w:tcW w:w="896" w:type="pct"/>
            <w:vAlign w:val="center"/>
          </w:tcPr>
          <w:p w14:paraId="396F204E">
            <w:pPr>
              <w:pStyle w:val="44"/>
              <w:rPr>
                <w:color w:val="auto"/>
              </w:rPr>
            </w:pPr>
          </w:p>
        </w:tc>
      </w:tr>
      <w:tr w14:paraId="065BD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vAlign w:val="center"/>
          </w:tcPr>
          <w:p w14:paraId="43A62CD9">
            <w:pPr>
              <w:pStyle w:val="44"/>
              <w:rPr>
                <w:color w:val="auto"/>
              </w:rPr>
            </w:pPr>
            <w:r>
              <w:rPr>
                <w:color w:val="auto"/>
              </w:rPr>
              <w:t>5</w:t>
            </w:r>
          </w:p>
        </w:tc>
        <w:tc>
          <w:tcPr>
            <w:tcW w:w="2090" w:type="pct"/>
            <w:gridSpan w:val="3"/>
            <w:vAlign w:val="center"/>
          </w:tcPr>
          <w:p w14:paraId="5067EEC3">
            <w:pPr>
              <w:pStyle w:val="44"/>
              <w:rPr>
                <w:color w:val="auto"/>
              </w:rPr>
            </w:pPr>
            <w:r>
              <w:rPr>
                <w:color w:val="auto"/>
              </w:rPr>
              <w:t>公用设施用地</w:t>
            </w:r>
          </w:p>
        </w:tc>
        <w:tc>
          <w:tcPr>
            <w:tcW w:w="669" w:type="pct"/>
            <w:vAlign w:val="center"/>
          </w:tcPr>
          <w:p w14:paraId="7C225C82">
            <w:pPr>
              <w:pStyle w:val="44"/>
              <w:rPr>
                <w:color w:val="auto"/>
              </w:rPr>
            </w:pPr>
            <w:r>
              <w:rPr>
                <w:color w:val="auto"/>
              </w:rPr>
              <w:t>U</w:t>
            </w:r>
          </w:p>
        </w:tc>
        <w:tc>
          <w:tcPr>
            <w:tcW w:w="835" w:type="pct"/>
            <w:vAlign w:val="center"/>
          </w:tcPr>
          <w:p w14:paraId="30FD1EF1">
            <w:pPr>
              <w:pStyle w:val="44"/>
              <w:rPr>
                <w:color w:val="auto"/>
              </w:rPr>
            </w:pPr>
            <w:r>
              <w:rPr>
                <w:color w:val="auto"/>
              </w:rPr>
              <w:t>2.43</w:t>
            </w:r>
          </w:p>
        </w:tc>
        <w:tc>
          <w:tcPr>
            <w:tcW w:w="896" w:type="pct"/>
            <w:vAlign w:val="center"/>
          </w:tcPr>
          <w:p w14:paraId="74C68076">
            <w:pPr>
              <w:pStyle w:val="44"/>
              <w:rPr>
                <w:color w:val="auto"/>
              </w:rPr>
            </w:pPr>
            <w:r>
              <w:rPr>
                <w:color w:val="auto"/>
              </w:rPr>
              <w:t xml:space="preserve">0.57 </w:t>
            </w:r>
          </w:p>
        </w:tc>
      </w:tr>
      <w:tr w14:paraId="3AE87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6ECA8547">
            <w:pPr>
              <w:pStyle w:val="44"/>
              <w:rPr>
                <w:color w:val="auto"/>
              </w:rPr>
            </w:pPr>
          </w:p>
        </w:tc>
        <w:tc>
          <w:tcPr>
            <w:tcW w:w="418" w:type="pct"/>
            <w:vMerge w:val="restart"/>
            <w:vAlign w:val="center"/>
          </w:tcPr>
          <w:p w14:paraId="2ABC2E6A">
            <w:pPr>
              <w:pStyle w:val="44"/>
              <w:rPr>
                <w:color w:val="auto"/>
              </w:rPr>
            </w:pPr>
            <w:r>
              <w:rPr>
                <w:color w:val="auto"/>
              </w:rPr>
              <w:t>其中</w:t>
            </w:r>
          </w:p>
        </w:tc>
        <w:tc>
          <w:tcPr>
            <w:tcW w:w="1672" w:type="pct"/>
            <w:gridSpan w:val="2"/>
            <w:vAlign w:val="center"/>
          </w:tcPr>
          <w:p w14:paraId="4AC9DB30">
            <w:pPr>
              <w:pStyle w:val="44"/>
              <w:rPr>
                <w:color w:val="auto"/>
              </w:rPr>
            </w:pPr>
            <w:r>
              <w:rPr>
                <w:color w:val="auto"/>
              </w:rPr>
              <w:t>供水用地</w:t>
            </w:r>
          </w:p>
        </w:tc>
        <w:tc>
          <w:tcPr>
            <w:tcW w:w="669" w:type="pct"/>
            <w:vAlign w:val="center"/>
          </w:tcPr>
          <w:p w14:paraId="17FB1648">
            <w:pPr>
              <w:pStyle w:val="44"/>
              <w:rPr>
                <w:color w:val="auto"/>
              </w:rPr>
            </w:pPr>
            <w:r>
              <w:rPr>
                <w:color w:val="auto"/>
              </w:rPr>
              <w:t>U11</w:t>
            </w:r>
          </w:p>
        </w:tc>
        <w:tc>
          <w:tcPr>
            <w:tcW w:w="835" w:type="pct"/>
            <w:vAlign w:val="center"/>
          </w:tcPr>
          <w:p w14:paraId="20E7248C">
            <w:pPr>
              <w:pStyle w:val="44"/>
              <w:rPr>
                <w:color w:val="auto"/>
              </w:rPr>
            </w:pPr>
            <w:r>
              <w:rPr>
                <w:color w:val="auto"/>
              </w:rPr>
              <w:t>0.29</w:t>
            </w:r>
          </w:p>
        </w:tc>
        <w:tc>
          <w:tcPr>
            <w:tcW w:w="896" w:type="pct"/>
            <w:vAlign w:val="center"/>
          </w:tcPr>
          <w:p w14:paraId="6EF74CE6">
            <w:pPr>
              <w:pStyle w:val="44"/>
              <w:rPr>
                <w:color w:val="auto"/>
              </w:rPr>
            </w:pPr>
          </w:p>
        </w:tc>
      </w:tr>
      <w:tr w14:paraId="0CB3A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64C8CA6B">
            <w:pPr>
              <w:pStyle w:val="44"/>
              <w:rPr>
                <w:color w:val="auto"/>
              </w:rPr>
            </w:pPr>
          </w:p>
        </w:tc>
        <w:tc>
          <w:tcPr>
            <w:tcW w:w="418" w:type="pct"/>
            <w:vMerge w:val="continue"/>
            <w:vAlign w:val="center"/>
          </w:tcPr>
          <w:p w14:paraId="5242CF25">
            <w:pPr>
              <w:pStyle w:val="44"/>
              <w:rPr>
                <w:color w:val="auto"/>
              </w:rPr>
            </w:pPr>
          </w:p>
        </w:tc>
        <w:tc>
          <w:tcPr>
            <w:tcW w:w="1672" w:type="pct"/>
            <w:gridSpan w:val="2"/>
            <w:vAlign w:val="center"/>
          </w:tcPr>
          <w:p w14:paraId="33BF3960">
            <w:pPr>
              <w:pStyle w:val="44"/>
              <w:rPr>
                <w:color w:val="auto"/>
              </w:rPr>
            </w:pPr>
            <w:r>
              <w:rPr>
                <w:color w:val="auto"/>
              </w:rPr>
              <w:t>供电用地</w:t>
            </w:r>
          </w:p>
        </w:tc>
        <w:tc>
          <w:tcPr>
            <w:tcW w:w="669" w:type="pct"/>
            <w:vAlign w:val="center"/>
          </w:tcPr>
          <w:p w14:paraId="36DB923F">
            <w:pPr>
              <w:pStyle w:val="44"/>
              <w:rPr>
                <w:color w:val="auto"/>
              </w:rPr>
            </w:pPr>
            <w:r>
              <w:rPr>
                <w:color w:val="auto"/>
              </w:rPr>
              <w:t>U12</w:t>
            </w:r>
          </w:p>
        </w:tc>
        <w:tc>
          <w:tcPr>
            <w:tcW w:w="835" w:type="pct"/>
            <w:vAlign w:val="center"/>
          </w:tcPr>
          <w:p w14:paraId="4B27699B">
            <w:pPr>
              <w:pStyle w:val="44"/>
              <w:rPr>
                <w:color w:val="auto"/>
              </w:rPr>
            </w:pPr>
            <w:r>
              <w:rPr>
                <w:color w:val="auto"/>
              </w:rPr>
              <w:t>1.22</w:t>
            </w:r>
          </w:p>
        </w:tc>
        <w:tc>
          <w:tcPr>
            <w:tcW w:w="896" w:type="pct"/>
            <w:vAlign w:val="center"/>
          </w:tcPr>
          <w:p w14:paraId="4D83B4EE">
            <w:pPr>
              <w:pStyle w:val="44"/>
              <w:rPr>
                <w:color w:val="auto"/>
              </w:rPr>
            </w:pPr>
          </w:p>
        </w:tc>
      </w:tr>
      <w:tr w14:paraId="402D5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4BE0D484">
            <w:pPr>
              <w:pStyle w:val="44"/>
              <w:rPr>
                <w:color w:val="auto"/>
              </w:rPr>
            </w:pPr>
          </w:p>
        </w:tc>
        <w:tc>
          <w:tcPr>
            <w:tcW w:w="418" w:type="pct"/>
            <w:vMerge w:val="continue"/>
            <w:vAlign w:val="center"/>
          </w:tcPr>
          <w:p w14:paraId="52355AE0">
            <w:pPr>
              <w:pStyle w:val="44"/>
              <w:rPr>
                <w:color w:val="auto"/>
              </w:rPr>
            </w:pPr>
          </w:p>
        </w:tc>
        <w:tc>
          <w:tcPr>
            <w:tcW w:w="1672" w:type="pct"/>
            <w:gridSpan w:val="2"/>
            <w:vAlign w:val="center"/>
          </w:tcPr>
          <w:p w14:paraId="32173126">
            <w:pPr>
              <w:pStyle w:val="44"/>
              <w:rPr>
                <w:color w:val="auto"/>
              </w:rPr>
            </w:pPr>
            <w:r>
              <w:rPr>
                <w:color w:val="auto"/>
              </w:rPr>
              <w:t>供燃气用地</w:t>
            </w:r>
          </w:p>
        </w:tc>
        <w:tc>
          <w:tcPr>
            <w:tcW w:w="669" w:type="pct"/>
            <w:vAlign w:val="center"/>
          </w:tcPr>
          <w:p w14:paraId="5DA910FA">
            <w:pPr>
              <w:pStyle w:val="44"/>
              <w:rPr>
                <w:color w:val="auto"/>
              </w:rPr>
            </w:pPr>
            <w:r>
              <w:rPr>
                <w:color w:val="auto"/>
              </w:rPr>
              <w:t>U13</w:t>
            </w:r>
          </w:p>
        </w:tc>
        <w:tc>
          <w:tcPr>
            <w:tcW w:w="835" w:type="pct"/>
            <w:vAlign w:val="center"/>
          </w:tcPr>
          <w:p w14:paraId="230CF2E0">
            <w:pPr>
              <w:pStyle w:val="44"/>
              <w:rPr>
                <w:color w:val="auto"/>
              </w:rPr>
            </w:pPr>
            <w:r>
              <w:rPr>
                <w:color w:val="auto"/>
              </w:rPr>
              <w:t>0.57</w:t>
            </w:r>
          </w:p>
        </w:tc>
        <w:tc>
          <w:tcPr>
            <w:tcW w:w="896" w:type="pct"/>
            <w:vAlign w:val="center"/>
          </w:tcPr>
          <w:p w14:paraId="01DC2098">
            <w:pPr>
              <w:pStyle w:val="44"/>
              <w:rPr>
                <w:color w:val="auto"/>
              </w:rPr>
            </w:pPr>
          </w:p>
        </w:tc>
      </w:tr>
      <w:tr w14:paraId="184F0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76EC8C05">
            <w:pPr>
              <w:pStyle w:val="44"/>
              <w:rPr>
                <w:color w:val="auto"/>
              </w:rPr>
            </w:pPr>
          </w:p>
        </w:tc>
        <w:tc>
          <w:tcPr>
            <w:tcW w:w="418" w:type="pct"/>
            <w:vMerge w:val="continue"/>
            <w:vAlign w:val="center"/>
          </w:tcPr>
          <w:p w14:paraId="7D11AC54">
            <w:pPr>
              <w:pStyle w:val="44"/>
              <w:rPr>
                <w:color w:val="auto"/>
              </w:rPr>
            </w:pPr>
          </w:p>
        </w:tc>
        <w:tc>
          <w:tcPr>
            <w:tcW w:w="1672" w:type="pct"/>
            <w:gridSpan w:val="2"/>
            <w:vAlign w:val="center"/>
          </w:tcPr>
          <w:p w14:paraId="2207854B">
            <w:pPr>
              <w:pStyle w:val="44"/>
              <w:rPr>
                <w:color w:val="auto"/>
              </w:rPr>
            </w:pPr>
            <w:r>
              <w:rPr>
                <w:color w:val="auto"/>
              </w:rPr>
              <w:t>加油加气站用地</w:t>
            </w:r>
          </w:p>
        </w:tc>
        <w:tc>
          <w:tcPr>
            <w:tcW w:w="669" w:type="pct"/>
            <w:vAlign w:val="center"/>
          </w:tcPr>
          <w:p w14:paraId="3C568863">
            <w:pPr>
              <w:pStyle w:val="44"/>
              <w:rPr>
                <w:color w:val="auto"/>
              </w:rPr>
            </w:pPr>
            <w:r>
              <w:rPr>
                <w:color w:val="auto"/>
              </w:rPr>
              <w:t>B41</w:t>
            </w:r>
          </w:p>
        </w:tc>
        <w:tc>
          <w:tcPr>
            <w:tcW w:w="835" w:type="pct"/>
            <w:vAlign w:val="center"/>
          </w:tcPr>
          <w:p w14:paraId="3A372391">
            <w:pPr>
              <w:pStyle w:val="44"/>
              <w:rPr>
                <w:color w:val="auto"/>
              </w:rPr>
            </w:pPr>
            <w:r>
              <w:rPr>
                <w:color w:val="auto"/>
              </w:rPr>
              <w:t>0.35</w:t>
            </w:r>
          </w:p>
        </w:tc>
        <w:tc>
          <w:tcPr>
            <w:tcW w:w="896" w:type="pct"/>
            <w:vAlign w:val="center"/>
          </w:tcPr>
          <w:p w14:paraId="079C26EC">
            <w:pPr>
              <w:pStyle w:val="44"/>
              <w:rPr>
                <w:color w:val="auto"/>
              </w:rPr>
            </w:pPr>
          </w:p>
        </w:tc>
      </w:tr>
      <w:tr w14:paraId="1AE44A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vAlign w:val="center"/>
          </w:tcPr>
          <w:p w14:paraId="0C0E7503">
            <w:pPr>
              <w:pStyle w:val="44"/>
              <w:rPr>
                <w:color w:val="auto"/>
              </w:rPr>
            </w:pPr>
            <w:r>
              <w:rPr>
                <w:color w:val="auto"/>
              </w:rPr>
              <w:t>6</w:t>
            </w:r>
          </w:p>
        </w:tc>
        <w:tc>
          <w:tcPr>
            <w:tcW w:w="2090" w:type="pct"/>
            <w:gridSpan w:val="3"/>
            <w:vAlign w:val="center"/>
          </w:tcPr>
          <w:p w14:paraId="4F2B4C21">
            <w:pPr>
              <w:pStyle w:val="44"/>
              <w:rPr>
                <w:color w:val="auto"/>
              </w:rPr>
            </w:pPr>
            <w:r>
              <w:rPr>
                <w:color w:val="auto"/>
              </w:rPr>
              <w:t>绿地与广场用地</w:t>
            </w:r>
          </w:p>
        </w:tc>
        <w:tc>
          <w:tcPr>
            <w:tcW w:w="669" w:type="pct"/>
            <w:vAlign w:val="center"/>
          </w:tcPr>
          <w:p w14:paraId="19CE862B">
            <w:pPr>
              <w:pStyle w:val="44"/>
              <w:rPr>
                <w:color w:val="auto"/>
              </w:rPr>
            </w:pPr>
            <w:r>
              <w:rPr>
                <w:color w:val="auto"/>
              </w:rPr>
              <w:t>G</w:t>
            </w:r>
          </w:p>
        </w:tc>
        <w:tc>
          <w:tcPr>
            <w:tcW w:w="835" w:type="pct"/>
            <w:vAlign w:val="center"/>
          </w:tcPr>
          <w:p w14:paraId="3791A26F">
            <w:pPr>
              <w:pStyle w:val="44"/>
              <w:rPr>
                <w:color w:val="auto"/>
              </w:rPr>
            </w:pPr>
            <w:r>
              <w:rPr>
                <w:color w:val="auto"/>
              </w:rPr>
              <w:t>63.11</w:t>
            </w:r>
          </w:p>
        </w:tc>
        <w:tc>
          <w:tcPr>
            <w:tcW w:w="896" w:type="pct"/>
            <w:vAlign w:val="center"/>
          </w:tcPr>
          <w:p w14:paraId="08867497">
            <w:pPr>
              <w:pStyle w:val="44"/>
              <w:rPr>
                <w:color w:val="auto"/>
              </w:rPr>
            </w:pPr>
            <w:r>
              <w:rPr>
                <w:color w:val="auto"/>
              </w:rPr>
              <w:t xml:space="preserve">14.68 </w:t>
            </w:r>
          </w:p>
        </w:tc>
      </w:tr>
      <w:tr w14:paraId="7E425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6C82A134">
            <w:pPr>
              <w:pStyle w:val="44"/>
              <w:rPr>
                <w:color w:val="auto"/>
              </w:rPr>
            </w:pPr>
          </w:p>
        </w:tc>
        <w:tc>
          <w:tcPr>
            <w:tcW w:w="418" w:type="pct"/>
            <w:vMerge w:val="restart"/>
            <w:vAlign w:val="center"/>
          </w:tcPr>
          <w:p w14:paraId="62E8BEEA">
            <w:pPr>
              <w:pStyle w:val="44"/>
              <w:rPr>
                <w:color w:val="auto"/>
              </w:rPr>
            </w:pPr>
            <w:r>
              <w:rPr>
                <w:color w:val="auto"/>
              </w:rPr>
              <w:t>其中</w:t>
            </w:r>
          </w:p>
        </w:tc>
        <w:tc>
          <w:tcPr>
            <w:tcW w:w="1672" w:type="pct"/>
            <w:gridSpan w:val="2"/>
            <w:vAlign w:val="center"/>
          </w:tcPr>
          <w:p w14:paraId="0EFDF86E">
            <w:pPr>
              <w:pStyle w:val="44"/>
              <w:rPr>
                <w:color w:val="auto"/>
              </w:rPr>
            </w:pPr>
            <w:r>
              <w:rPr>
                <w:color w:val="auto"/>
              </w:rPr>
              <w:t>公园绿地</w:t>
            </w:r>
          </w:p>
        </w:tc>
        <w:tc>
          <w:tcPr>
            <w:tcW w:w="669" w:type="pct"/>
            <w:vAlign w:val="center"/>
          </w:tcPr>
          <w:p w14:paraId="3C3609B4">
            <w:pPr>
              <w:pStyle w:val="44"/>
              <w:rPr>
                <w:color w:val="auto"/>
              </w:rPr>
            </w:pPr>
            <w:r>
              <w:rPr>
                <w:color w:val="auto"/>
              </w:rPr>
              <w:t>G1</w:t>
            </w:r>
          </w:p>
        </w:tc>
        <w:tc>
          <w:tcPr>
            <w:tcW w:w="835" w:type="pct"/>
            <w:vAlign w:val="center"/>
          </w:tcPr>
          <w:p w14:paraId="550BEA42">
            <w:pPr>
              <w:pStyle w:val="44"/>
              <w:rPr>
                <w:color w:val="auto"/>
              </w:rPr>
            </w:pPr>
            <w:r>
              <w:rPr>
                <w:color w:val="auto"/>
              </w:rPr>
              <w:t>47.56</w:t>
            </w:r>
          </w:p>
        </w:tc>
        <w:tc>
          <w:tcPr>
            <w:tcW w:w="896" w:type="pct"/>
            <w:vAlign w:val="center"/>
          </w:tcPr>
          <w:p w14:paraId="610CDBA1">
            <w:pPr>
              <w:pStyle w:val="44"/>
              <w:rPr>
                <w:color w:val="auto"/>
              </w:rPr>
            </w:pPr>
          </w:p>
        </w:tc>
      </w:tr>
      <w:tr w14:paraId="3B9DC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54EB5E33">
            <w:pPr>
              <w:pStyle w:val="44"/>
              <w:rPr>
                <w:color w:val="auto"/>
              </w:rPr>
            </w:pPr>
          </w:p>
        </w:tc>
        <w:tc>
          <w:tcPr>
            <w:tcW w:w="418" w:type="pct"/>
            <w:vMerge w:val="continue"/>
            <w:vAlign w:val="center"/>
          </w:tcPr>
          <w:p w14:paraId="7EC209F5">
            <w:pPr>
              <w:pStyle w:val="44"/>
              <w:rPr>
                <w:color w:val="auto"/>
              </w:rPr>
            </w:pPr>
          </w:p>
        </w:tc>
        <w:tc>
          <w:tcPr>
            <w:tcW w:w="1672" w:type="pct"/>
            <w:gridSpan w:val="2"/>
            <w:vAlign w:val="center"/>
          </w:tcPr>
          <w:p w14:paraId="5A7A0AF7">
            <w:pPr>
              <w:pStyle w:val="44"/>
              <w:rPr>
                <w:color w:val="auto"/>
              </w:rPr>
            </w:pPr>
            <w:r>
              <w:rPr>
                <w:color w:val="auto"/>
              </w:rPr>
              <w:t>防护绿地</w:t>
            </w:r>
          </w:p>
        </w:tc>
        <w:tc>
          <w:tcPr>
            <w:tcW w:w="669" w:type="pct"/>
            <w:vAlign w:val="center"/>
          </w:tcPr>
          <w:p w14:paraId="06D4274E">
            <w:pPr>
              <w:pStyle w:val="44"/>
              <w:rPr>
                <w:color w:val="auto"/>
              </w:rPr>
            </w:pPr>
            <w:r>
              <w:rPr>
                <w:color w:val="auto"/>
              </w:rPr>
              <w:t>G2</w:t>
            </w:r>
          </w:p>
        </w:tc>
        <w:tc>
          <w:tcPr>
            <w:tcW w:w="835" w:type="pct"/>
            <w:vAlign w:val="center"/>
          </w:tcPr>
          <w:p w14:paraId="1890C904">
            <w:pPr>
              <w:pStyle w:val="44"/>
              <w:rPr>
                <w:color w:val="auto"/>
              </w:rPr>
            </w:pPr>
            <w:r>
              <w:rPr>
                <w:color w:val="auto"/>
              </w:rPr>
              <w:t>9.93</w:t>
            </w:r>
          </w:p>
        </w:tc>
        <w:tc>
          <w:tcPr>
            <w:tcW w:w="896" w:type="pct"/>
            <w:vAlign w:val="center"/>
          </w:tcPr>
          <w:p w14:paraId="776460BC">
            <w:pPr>
              <w:pStyle w:val="44"/>
              <w:rPr>
                <w:color w:val="auto"/>
              </w:rPr>
            </w:pPr>
          </w:p>
        </w:tc>
      </w:tr>
      <w:tr w14:paraId="01058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63B0597E">
            <w:pPr>
              <w:pStyle w:val="44"/>
              <w:rPr>
                <w:color w:val="auto"/>
              </w:rPr>
            </w:pPr>
          </w:p>
        </w:tc>
        <w:tc>
          <w:tcPr>
            <w:tcW w:w="418" w:type="pct"/>
            <w:vMerge w:val="continue"/>
            <w:vAlign w:val="center"/>
          </w:tcPr>
          <w:p w14:paraId="660794CF">
            <w:pPr>
              <w:pStyle w:val="44"/>
              <w:rPr>
                <w:color w:val="auto"/>
              </w:rPr>
            </w:pPr>
          </w:p>
        </w:tc>
        <w:tc>
          <w:tcPr>
            <w:tcW w:w="1672" w:type="pct"/>
            <w:gridSpan w:val="2"/>
            <w:vAlign w:val="center"/>
          </w:tcPr>
          <w:p w14:paraId="72501247">
            <w:pPr>
              <w:pStyle w:val="44"/>
              <w:rPr>
                <w:color w:val="auto"/>
              </w:rPr>
            </w:pPr>
            <w:r>
              <w:rPr>
                <w:color w:val="auto"/>
              </w:rPr>
              <w:t>广场用地</w:t>
            </w:r>
          </w:p>
        </w:tc>
        <w:tc>
          <w:tcPr>
            <w:tcW w:w="669" w:type="pct"/>
            <w:vAlign w:val="center"/>
          </w:tcPr>
          <w:p w14:paraId="35D64B0F">
            <w:pPr>
              <w:pStyle w:val="44"/>
              <w:rPr>
                <w:color w:val="auto"/>
              </w:rPr>
            </w:pPr>
            <w:r>
              <w:rPr>
                <w:color w:val="auto"/>
              </w:rPr>
              <w:t>G3</w:t>
            </w:r>
          </w:p>
        </w:tc>
        <w:tc>
          <w:tcPr>
            <w:tcW w:w="835" w:type="pct"/>
            <w:vAlign w:val="center"/>
          </w:tcPr>
          <w:p w14:paraId="7D7B4ED4">
            <w:pPr>
              <w:pStyle w:val="44"/>
              <w:rPr>
                <w:color w:val="auto"/>
              </w:rPr>
            </w:pPr>
            <w:r>
              <w:rPr>
                <w:color w:val="auto"/>
              </w:rPr>
              <w:t>5.62</w:t>
            </w:r>
          </w:p>
        </w:tc>
        <w:tc>
          <w:tcPr>
            <w:tcW w:w="896" w:type="pct"/>
            <w:vAlign w:val="center"/>
          </w:tcPr>
          <w:p w14:paraId="0E776FCC">
            <w:pPr>
              <w:pStyle w:val="44"/>
              <w:rPr>
                <w:color w:val="auto"/>
              </w:rPr>
            </w:pPr>
          </w:p>
        </w:tc>
      </w:tr>
      <w:tr w14:paraId="1AC7B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Align w:val="center"/>
          </w:tcPr>
          <w:p w14:paraId="6D31CB33">
            <w:pPr>
              <w:pStyle w:val="44"/>
              <w:rPr>
                <w:color w:val="auto"/>
              </w:rPr>
            </w:pPr>
            <w:r>
              <w:rPr>
                <w:color w:val="auto"/>
              </w:rPr>
              <w:t>7</w:t>
            </w:r>
          </w:p>
        </w:tc>
        <w:tc>
          <w:tcPr>
            <w:tcW w:w="2090" w:type="pct"/>
            <w:gridSpan w:val="3"/>
            <w:vAlign w:val="center"/>
          </w:tcPr>
          <w:p w14:paraId="37CF54B8">
            <w:pPr>
              <w:pStyle w:val="44"/>
              <w:rPr>
                <w:color w:val="auto"/>
              </w:rPr>
            </w:pPr>
            <w:r>
              <w:rPr>
                <w:color w:val="auto"/>
              </w:rPr>
              <w:t>总建设用地</w:t>
            </w:r>
          </w:p>
        </w:tc>
        <w:tc>
          <w:tcPr>
            <w:tcW w:w="669" w:type="pct"/>
            <w:vAlign w:val="center"/>
          </w:tcPr>
          <w:p w14:paraId="39D57641">
            <w:pPr>
              <w:pStyle w:val="44"/>
              <w:rPr>
                <w:color w:val="auto"/>
              </w:rPr>
            </w:pPr>
            <w:r>
              <w:rPr>
                <w:color w:val="auto"/>
              </w:rPr>
              <w:t>　</w:t>
            </w:r>
          </w:p>
        </w:tc>
        <w:tc>
          <w:tcPr>
            <w:tcW w:w="835" w:type="pct"/>
            <w:vAlign w:val="center"/>
          </w:tcPr>
          <w:p w14:paraId="7556063E">
            <w:pPr>
              <w:pStyle w:val="44"/>
              <w:rPr>
                <w:color w:val="auto"/>
              </w:rPr>
            </w:pPr>
            <w:r>
              <w:rPr>
                <w:color w:val="auto"/>
              </w:rPr>
              <w:t xml:space="preserve">429.92 </w:t>
            </w:r>
          </w:p>
        </w:tc>
        <w:tc>
          <w:tcPr>
            <w:tcW w:w="896" w:type="pct"/>
            <w:vAlign w:val="center"/>
          </w:tcPr>
          <w:p w14:paraId="2E68AB64">
            <w:pPr>
              <w:pStyle w:val="44"/>
              <w:rPr>
                <w:color w:val="auto"/>
              </w:rPr>
            </w:pPr>
            <w:r>
              <w:rPr>
                <w:color w:val="auto"/>
              </w:rPr>
              <w:t xml:space="preserve">100.00 </w:t>
            </w:r>
          </w:p>
        </w:tc>
      </w:tr>
      <w:tr w14:paraId="76DDE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restart"/>
            <w:vAlign w:val="center"/>
          </w:tcPr>
          <w:p w14:paraId="06067118">
            <w:pPr>
              <w:pStyle w:val="44"/>
              <w:rPr>
                <w:color w:val="auto"/>
              </w:rPr>
            </w:pPr>
            <w:r>
              <w:rPr>
                <w:color w:val="auto"/>
              </w:rPr>
              <w:t>8</w:t>
            </w:r>
          </w:p>
        </w:tc>
        <w:tc>
          <w:tcPr>
            <w:tcW w:w="2090" w:type="pct"/>
            <w:gridSpan w:val="3"/>
            <w:vAlign w:val="center"/>
          </w:tcPr>
          <w:p w14:paraId="34A96303">
            <w:pPr>
              <w:pStyle w:val="44"/>
              <w:rPr>
                <w:color w:val="auto"/>
              </w:rPr>
            </w:pPr>
            <w:r>
              <w:rPr>
                <w:color w:val="auto"/>
              </w:rPr>
              <w:t>非建设用地</w:t>
            </w:r>
          </w:p>
        </w:tc>
        <w:tc>
          <w:tcPr>
            <w:tcW w:w="669" w:type="pct"/>
            <w:vAlign w:val="center"/>
          </w:tcPr>
          <w:p w14:paraId="2EA01464">
            <w:pPr>
              <w:pStyle w:val="44"/>
              <w:rPr>
                <w:color w:val="auto"/>
              </w:rPr>
            </w:pPr>
            <w:r>
              <w:rPr>
                <w:color w:val="auto"/>
              </w:rPr>
              <w:t>E</w:t>
            </w:r>
          </w:p>
        </w:tc>
        <w:tc>
          <w:tcPr>
            <w:tcW w:w="835" w:type="pct"/>
            <w:vAlign w:val="center"/>
          </w:tcPr>
          <w:p w14:paraId="6EE1E683">
            <w:pPr>
              <w:pStyle w:val="44"/>
              <w:rPr>
                <w:color w:val="auto"/>
              </w:rPr>
            </w:pPr>
            <w:r>
              <w:rPr>
                <w:color w:val="auto"/>
              </w:rPr>
              <w:t>12.33</w:t>
            </w:r>
          </w:p>
        </w:tc>
        <w:tc>
          <w:tcPr>
            <w:tcW w:w="896" w:type="pct"/>
            <w:vAlign w:val="center"/>
          </w:tcPr>
          <w:p w14:paraId="7C49B719">
            <w:pPr>
              <w:pStyle w:val="44"/>
              <w:rPr>
                <w:color w:val="auto"/>
              </w:rPr>
            </w:pPr>
            <w:r>
              <w:rPr>
                <w:color w:val="auto"/>
              </w:rPr>
              <w:t>　</w:t>
            </w:r>
          </w:p>
        </w:tc>
      </w:tr>
      <w:tr w14:paraId="215FDB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534B3060">
            <w:pPr>
              <w:pStyle w:val="44"/>
              <w:rPr>
                <w:color w:val="auto"/>
              </w:rPr>
            </w:pPr>
          </w:p>
        </w:tc>
        <w:tc>
          <w:tcPr>
            <w:tcW w:w="418" w:type="pct"/>
            <w:vMerge w:val="restart"/>
            <w:noWrap/>
            <w:vAlign w:val="center"/>
          </w:tcPr>
          <w:p w14:paraId="68C125E1">
            <w:pPr>
              <w:pStyle w:val="44"/>
              <w:rPr>
                <w:color w:val="auto"/>
              </w:rPr>
            </w:pPr>
            <w:r>
              <w:rPr>
                <w:color w:val="auto"/>
              </w:rPr>
              <w:t>其中</w:t>
            </w:r>
          </w:p>
        </w:tc>
        <w:tc>
          <w:tcPr>
            <w:tcW w:w="1672" w:type="pct"/>
            <w:gridSpan w:val="2"/>
            <w:noWrap/>
            <w:vAlign w:val="center"/>
          </w:tcPr>
          <w:p w14:paraId="78D11D5B">
            <w:pPr>
              <w:pStyle w:val="44"/>
              <w:rPr>
                <w:color w:val="auto"/>
              </w:rPr>
            </w:pPr>
            <w:r>
              <w:rPr>
                <w:color w:val="auto"/>
              </w:rPr>
              <w:t>水域用地</w:t>
            </w:r>
          </w:p>
        </w:tc>
        <w:tc>
          <w:tcPr>
            <w:tcW w:w="669" w:type="pct"/>
            <w:vAlign w:val="center"/>
          </w:tcPr>
          <w:p w14:paraId="1CD5D467">
            <w:pPr>
              <w:pStyle w:val="44"/>
              <w:rPr>
                <w:color w:val="auto"/>
              </w:rPr>
            </w:pPr>
            <w:r>
              <w:rPr>
                <w:color w:val="auto"/>
              </w:rPr>
              <w:t>E1</w:t>
            </w:r>
          </w:p>
        </w:tc>
        <w:tc>
          <w:tcPr>
            <w:tcW w:w="835" w:type="pct"/>
            <w:vAlign w:val="center"/>
          </w:tcPr>
          <w:p w14:paraId="241F31E4">
            <w:pPr>
              <w:pStyle w:val="44"/>
              <w:rPr>
                <w:color w:val="auto"/>
              </w:rPr>
            </w:pPr>
            <w:r>
              <w:rPr>
                <w:color w:val="auto"/>
              </w:rPr>
              <w:t>11.35</w:t>
            </w:r>
          </w:p>
        </w:tc>
        <w:tc>
          <w:tcPr>
            <w:tcW w:w="896" w:type="pct"/>
            <w:noWrap/>
            <w:vAlign w:val="center"/>
          </w:tcPr>
          <w:p w14:paraId="19AF0E33">
            <w:pPr>
              <w:pStyle w:val="44"/>
              <w:rPr>
                <w:color w:val="auto"/>
              </w:rPr>
            </w:pPr>
            <w:r>
              <w:rPr>
                <w:color w:val="auto"/>
              </w:rPr>
              <w:t>　</w:t>
            </w:r>
          </w:p>
        </w:tc>
      </w:tr>
      <w:tr w14:paraId="29C07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Merge w:val="continue"/>
            <w:vAlign w:val="center"/>
          </w:tcPr>
          <w:p w14:paraId="60C485F7">
            <w:pPr>
              <w:pStyle w:val="44"/>
              <w:rPr>
                <w:color w:val="auto"/>
              </w:rPr>
            </w:pPr>
          </w:p>
        </w:tc>
        <w:tc>
          <w:tcPr>
            <w:tcW w:w="418" w:type="pct"/>
            <w:vMerge w:val="continue"/>
            <w:vAlign w:val="center"/>
          </w:tcPr>
          <w:p w14:paraId="564F8C6C">
            <w:pPr>
              <w:pStyle w:val="44"/>
              <w:rPr>
                <w:color w:val="auto"/>
              </w:rPr>
            </w:pPr>
          </w:p>
        </w:tc>
        <w:tc>
          <w:tcPr>
            <w:tcW w:w="1672" w:type="pct"/>
            <w:gridSpan w:val="2"/>
            <w:vAlign w:val="center"/>
          </w:tcPr>
          <w:p w14:paraId="2857BA5C">
            <w:pPr>
              <w:pStyle w:val="44"/>
              <w:rPr>
                <w:color w:val="auto"/>
              </w:rPr>
            </w:pPr>
            <w:r>
              <w:rPr>
                <w:color w:val="auto"/>
              </w:rPr>
              <w:t>农林用地</w:t>
            </w:r>
          </w:p>
        </w:tc>
        <w:tc>
          <w:tcPr>
            <w:tcW w:w="669" w:type="pct"/>
            <w:vAlign w:val="center"/>
          </w:tcPr>
          <w:p w14:paraId="481C9C88">
            <w:pPr>
              <w:pStyle w:val="44"/>
              <w:rPr>
                <w:color w:val="auto"/>
              </w:rPr>
            </w:pPr>
            <w:r>
              <w:rPr>
                <w:color w:val="auto"/>
              </w:rPr>
              <w:t>E2</w:t>
            </w:r>
          </w:p>
        </w:tc>
        <w:tc>
          <w:tcPr>
            <w:tcW w:w="835" w:type="pct"/>
            <w:vAlign w:val="center"/>
          </w:tcPr>
          <w:p w14:paraId="795B0451">
            <w:pPr>
              <w:pStyle w:val="44"/>
              <w:rPr>
                <w:color w:val="auto"/>
              </w:rPr>
            </w:pPr>
            <w:r>
              <w:rPr>
                <w:color w:val="auto"/>
              </w:rPr>
              <w:t>0.98</w:t>
            </w:r>
          </w:p>
        </w:tc>
        <w:tc>
          <w:tcPr>
            <w:tcW w:w="896" w:type="pct"/>
            <w:vAlign w:val="center"/>
          </w:tcPr>
          <w:p w14:paraId="32C31EC7">
            <w:pPr>
              <w:pStyle w:val="44"/>
              <w:rPr>
                <w:color w:val="auto"/>
              </w:rPr>
            </w:pPr>
            <w:r>
              <w:rPr>
                <w:color w:val="auto"/>
              </w:rPr>
              <w:t>　</w:t>
            </w:r>
          </w:p>
        </w:tc>
      </w:tr>
      <w:tr w14:paraId="44E867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1" w:type="pct"/>
            <w:vAlign w:val="center"/>
          </w:tcPr>
          <w:p w14:paraId="2C35D2FE">
            <w:pPr>
              <w:pStyle w:val="44"/>
              <w:rPr>
                <w:color w:val="auto"/>
              </w:rPr>
            </w:pPr>
            <w:r>
              <w:rPr>
                <w:color w:val="auto"/>
              </w:rPr>
              <w:t>9</w:t>
            </w:r>
          </w:p>
        </w:tc>
        <w:tc>
          <w:tcPr>
            <w:tcW w:w="2090" w:type="pct"/>
            <w:gridSpan w:val="3"/>
            <w:vAlign w:val="center"/>
          </w:tcPr>
          <w:p w14:paraId="2C6E5EF9">
            <w:pPr>
              <w:pStyle w:val="44"/>
              <w:rPr>
                <w:color w:val="auto"/>
              </w:rPr>
            </w:pPr>
            <w:r>
              <w:rPr>
                <w:color w:val="auto"/>
              </w:rPr>
              <w:t>规划范围总面积</w:t>
            </w:r>
          </w:p>
        </w:tc>
        <w:tc>
          <w:tcPr>
            <w:tcW w:w="669" w:type="pct"/>
            <w:vAlign w:val="center"/>
          </w:tcPr>
          <w:p w14:paraId="5D7DC324">
            <w:pPr>
              <w:pStyle w:val="44"/>
              <w:rPr>
                <w:color w:val="auto"/>
              </w:rPr>
            </w:pPr>
            <w:r>
              <w:rPr>
                <w:color w:val="auto"/>
              </w:rPr>
              <w:t>　</w:t>
            </w:r>
          </w:p>
        </w:tc>
        <w:tc>
          <w:tcPr>
            <w:tcW w:w="835" w:type="pct"/>
            <w:vAlign w:val="center"/>
          </w:tcPr>
          <w:p w14:paraId="34263828">
            <w:pPr>
              <w:pStyle w:val="44"/>
              <w:rPr>
                <w:color w:val="auto"/>
              </w:rPr>
            </w:pPr>
            <w:r>
              <w:rPr>
                <w:color w:val="auto"/>
              </w:rPr>
              <w:t xml:space="preserve">442.25 </w:t>
            </w:r>
          </w:p>
        </w:tc>
        <w:tc>
          <w:tcPr>
            <w:tcW w:w="896" w:type="pct"/>
            <w:vAlign w:val="center"/>
          </w:tcPr>
          <w:p w14:paraId="11ED484E">
            <w:pPr>
              <w:pStyle w:val="44"/>
              <w:rPr>
                <w:color w:val="auto"/>
              </w:rPr>
            </w:pPr>
            <w:r>
              <w:rPr>
                <w:color w:val="auto"/>
              </w:rPr>
              <w:t>　</w:t>
            </w:r>
          </w:p>
        </w:tc>
      </w:tr>
    </w:tbl>
    <w:p w14:paraId="203532B6">
      <w:pPr>
        <w:topLinePunct/>
        <w:ind w:firstLine="482"/>
        <w:rPr>
          <w:b/>
          <w:bCs/>
          <w:color w:val="auto"/>
          <w:kern w:val="0"/>
          <w:lang w:bidi="en-US"/>
        </w:rPr>
      </w:pPr>
      <w:r>
        <w:rPr>
          <w:b/>
          <w:bCs/>
          <w:color w:val="auto"/>
          <w:kern w:val="0"/>
          <w:lang w:bidi="en-US"/>
        </w:rPr>
        <w:t>（2）西彭组团L标准分区</w:t>
      </w:r>
    </w:p>
    <w:p w14:paraId="69172C7F">
      <w:pPr>
        <w:topLinePunct/>
        <w:ind w:firstLine="480"/>
        <w:rPr>
          <w:color w:val="auto"/>
        </w:rPr>
      </w:pPr>
      <w:r>
        <w:rPr>
          <w:color w:val="auto"/>
        </w:rPr>
        <w:t>该区域规划用地面积354.85hm</w:t>
      </w:r>
      <w:r>
        <w:rPr>
          <w:color w:val="auto"/>
          <w:vertAlign w:val="superscript"/>
        </w:rPr>
        <w:t>2</w:t>
      </w:r>
      <w:r>
        <w:rPr>
          <w:color w:val="auto"/>
        </w:rPr>
        <w:t>，规划建设用地299.74 hm</w:t>
      </w:r>
      <w:r>
        <w:rPr>
          <w:color w:val="auto"/>
          <w:vertAlign w:val="superscript"/>
        </w:rPr>
        <w:t>2</w:t>
      </w:r>
      <w:r>
        <w:rPr>
          <w:color w:val="auto"/>
        </w:rPr>
        <w:t>，占总用地84.47%；非建设用地55.11hm</w:t>
      </w:r>
      <w:r>
        <w:rPr>
          <w:color w:val="auto"/>
          <w:vertAlign w:val="superscript"/>
        </w:rPr>
        <w:t>2</w:t>
      </w:r>
      <w:r>
        <w:rPr>
          <w:color w:val="auto"/>
        </w:rPr>
        <w:t>，占总用地15.53%。</w:t>
      </w:r>
    </w:p>
    <w:p w14:paraId="11218AFC">
      <w:pPr>
        <w:topLinePunct/>
        <w:ind w:firstLine="480"/>
        <w:rPr>
          <w:color w:val="auto"/>
        </w:rPr>
      </w:pPr>
      <w:r>
        <w:rPr>
          <w:color w:val="auto"/>
        </w:rPr>
        <w:t>其中规划建设用地中，居住用地1.37hm</w:t>
      </w:r>
      <w:r>
        <w:rPr>
          <w:color w:val="auto"/>
          <w:vertAlign w:val="superscript"/>
        </w:rPr>
        <w:t>2</w:t>
      </w:r>
      <w:r>
        <w:rPr>
          <w:color w:val="auto"/>
        </w:rPr>
        <w:t>，占建设用地0.46%，工业用地215.50hm</w:t>
      </w:r>
      <w:r>
        <w:rPr>
          <w:color w:val="auto"/>
          <w:vertAlign w:val="superscript"/>
        </w:rPr>
        <w:t>2</w:t>
      </w:r>
      <w:r>
        <w:rPr>
          <w:color w:val="auto"/>
        </w:rPr>
        <w:t>，占建设用地71.09%，公共设施用地15.31hm</w:t>
      </w:r>
      <w:r>
        <w:rPr>
          <w:color w:val="auto"/>
          <w:vertAlign w:val="superscript"/>
        </w:rPr>
        <w:t>2</w:t>
      </w:r>
      <w:r>
        <w:rPr>
          <w:color w:val="auto"/>
        </w:rPr>
        <w:t>，占建设用地5.11%，道路与交通设施用地50.71hm</w:t>
      </w:r>
      <w:r>
        <w:rPr>
          <w:color w:val="auto"/>
          <w:vertAlign w:val="superscript"/>
        </w:rPr>
        <w:t>2</w:t>
      </w:r>
      <w:r>
        <w:rPr>
          <w:color w:val="auto"/>
        </w:rPr>
        <w:t>，占建设用地16.92%；公园与防护用地16.85hm</w:t>
      </w:r>
      <w:r>
        <w:rPr>
          <w:color w:val="auto"/>
          <w:vertAlign w:val="superscript"/>
        </w:rPr>
        <w:t>2</w:t>
      </w:r>
      <w:r>
        <w:rPr>
          <w:color w:val="auto"/>
        </w:rPr>
        <w:t>，占建设用地5.62%；非建设用地均为农林用地，占地面积55.11hm</w:t>
      </w:r>
      <w:r>
        <w:rPr>
          <w:color w:val="auto"/>
          <w:vertAlign w:val="superscript"/>
        </w:rPr>
        <w:t>2</w:t>
      </w:r>
      <w:r>
        <w:rPr>
          <w:color w:val="auto"/>
        </w:rPr>
        <w:t>。</w:t>
      </w:r>
    </w:p>
    <w:p w14:paraId="1738FA1F">
      <w:pPr>
        <w:topLinePunct/>
        <w:ind w:firstLine="480"/>
        <w:rPr>
          <w:color w:val="auto"/>
        </w:rPr>
      </w:pPr>
      <w:r>
        <w:rPr>
          <w:color w:val="auto"/>
        </w:rPr>
        <w:t>该规划区为重庆市主城区陶家城市副中心的重要产业功能组团，九龙坡区西部以发展装备制造业、汽摩制造业为主的重要工业片区。</w:t>
      </w:r>
    </w:p>
    <w:p w14:paraId="0D6673F1">
      <w:pPr>
        <w:topLinePunct/>
        <w:ind w:firstLine="0" w:firstLineChars="0"/>
        <w:jc w:val="left"/>
        <w:rPr>
          <w:b/>
          <w:bCs/>
          <w:color w:val="auto"/>
          <w:kern w:val="0"/>
          <w:lang w:bidi="en-US"/>
        </w:rPr>
      </w:pPr>
      <w:r>
        <w:rPr>
          <w:b/>
          <w:bCs/>
          <w:color w:val="auto"/>
          <w:kern w:val="0"/>
          <w:lang w:bidi="en-US"/>
        </w:rPr>
        <w:t>表2.2-13                  西彭组团L标准分区技术经济指标</w:t>
      </w:r>
    </w:p>
    <w:tbl>
      <w:tblPr>
        <w:tblStyle w:val="21"/>
        <w:tblW w:w="5000" w:type="pct"/>
        <w:tblInd w:w="0" w:type="dxa"/>
        <w:tblLayout w:type="autofit"/>
        <w:tblCellMar>
          <w:top w:w="0" w:type="dxa"/>
          <w:left w:w="108" w:type="dxa"/>
          <w:bottom w:w="0" w:type="dxa"/>
          <w:right w:w="108" w:type="dxa"/>
        </w:tblCellMar>
      </w:tblPr>
      <w:tblGrid>
        <w:gridCol w:w="787"/>
        <w:gridCol w:w="1127"/>
        <w:gridCol w:w="2505"/>
        <w:gridCol w:w="1530"/>
        <w:gridCol w:w="1253"/>
        <w:gridCol w:w="1915"/>
      </w:tblGrid>
      <w:tr w14:paraId="67002C8B">
        <w:tblPrEx>
          <w:tblCellMar>
            <w:top w:w="0" w:type="dxa"/>
            <w:left w:w="108" w:type="dxa"/>
            <w:bottom w:w="0" w:type="dxa"/>
            <w:right w:w="108" w:type="dxa"/>
          </w:tblCellMar>
        </w:tblPrEx>
        <w:trPr>
          <w:trHeight w:val="283" w:hRule="atLeast"/>
        </w:trPr>
        <w:tc>
          <w:tcPr>
            <w:tcW w:w="432" w:type="pct"/>
            <w:tcBorders>
              <w:top w:val="single" w:color="auto" w:sz="12" w:space="0"/>
              <w:left w:val="single" w:color="auto" w:sz="12" w:space="0"/>
              <w:bottom w:val="single" w:color="auto" w:sz="4" w:space="0"/>
              <w:right w:val="single" w:color="auto" w:sz="4" w:space="0"/>
            </w:tcBorders>
            <w:noWrap/>
            <w:vAlign w:val="center"/>
          </w:tcPr>
          <w:p w14:paraId="4F5B41BD">
            <w:pPr>
              <w:pStyle w:val="44"/>
              <w:rPr>
                <w:color w:val="auto"/>
              </w:rPr>
            </w:pPr>
            <w:r>
              <w:rPr>
                <w:color w:val="auto"/>
              </w:rPr>
              <w:t>序号</w:t>
            </w:r>
          </w:p>
        </w:tc>
        <w:tc>
          <w:tcPr>
            <w:tcW w:w="1992" w:type="pct"/>
            <w:gridSpan w:val="2"/>
            <w:tcBorders>
              <w:top w:val="single" w:color="auto" w:sz="12" w:space="0"/>
              <w:left w:val="nil"/>
              <w:bottom w:val="single" w:color="auto" w:sz="4" w:space="0"/>
              <w:right w:val="single" w:color="auto" w:sz="4" w:space="0"/>
            </w:tcBorders>
            <w:vAlign w:val="center"/>
          </w:tcPr>
          <w:p w14:paraId="4362E50D">
            <w:pPr>
              <w:pStyle w:val="44"/>
              <w:rPr>
                <w:color w:val="auto"/>
              </w:rPr>
            </w:pPr>
            <w:r>
              <w:rPr>
                <w:color w:val="auto"/>
              </w:rPr>
              <w:t>用地性质</w:t>
            </w:r>
          </w:p>
        </w:tc>
        <w:tc>
          <w:tcPr>
            <w:tcW w:w="839" w:type="pct"/>
            <w:tcBorders>
              <w:top w:val="single" w:color="auto" w:sz="12" w:space="0"/>
              <w:left w:val="nil"/>
              <w:bottom w:val="single" w:color="auto" w:sz="4" w:space="0"/>
              <w:right w:val="single" w:color="auto" w:sz="4" w:space="0"/>
            </w:tcBorders>
            <w:vAlign w:val="center"/>
          </w:tcPr>
          <w:p w14:paraId="106F24FD">
            <w:pPr>
              <w:pStyle w:val="44"/>
              <w:rPr>
                <w:color w:val="auto"/>
              </w:rPr>
            </w:pPr>
            <w:r>
              <w:rPr>
                <w:color w:val="auto"/>
              </w:rPr>
              <w:t>用地代码</w:t>
            </w:r>
          </w:p>
        </w:tc>
        <w:tc>
          <w:tcPr>
            <w:tcW w:w="687" w:type="pct"/>
            <w:tcBorders>
              <w:top w:val="single" w:color="auto" w:sz="12" w:space="0"/>
              <w:left w:val="nil"/>
              <w:bottom w:val="single" w:color="auto" w:sz="4" w:space="0"/>
              <w:right w:val="single" w:color="auto" w:sz="4" w:space="0"/>
            </w:tcBorders>
            <w:vAlign w:val="center"/>
          </w:tcPr>
          <w:p w14:paraId="08C319F1">
            <w:pPr>
              <w:pStyle w:val="44"/>
              <w:rPr>
                <w:color w:val="auto"/>
              </w:rPr>
            </w:pPr>
            <w:r>
              <w:rPr>
                <w:color w:val="auto"/>
              </w:rPr>
              <w:t>面积（公顷）</w:t>
            </w:r>
          </w:p>
        </w:tc>
        <w:tc>
          <w:tcPr>
            <w:tcW w:w="1050" w:type="pct"/>
            <w:tcBorders>
              <w:top w:val="single" w:color="auto" w:sz="12" w:space="0"/>
              <w:left w:val="nil"/>
              <w:bottom w:val="single" w:color="auto" w:sz="4" w:space="0"/>
              <w:right w:val="single" w:color="auto" w:sz="12" w:space="0"/>
            </w:tcBorders>
            <w:vAlign w:val="center"/>
          </w:tcPr>
          <w:p w14:paraId="3258E651">
            <w:pPr>
              <w:pStyle w:val="44"/>
              <w:rPr>
                <w:color w:val="auto"/>
              </w:rPr>
            </w:pPr>
            <w:r>
              <w:rPr>
                <w:color w:val="auto"/>
              </w:rPr>
              <w:t>占建设用地比例（%）</w:t>
            </w:r>
          </w:p>
        </w:tc>
      </w:tr>
      <w:tr w14:paraId="7DB7311A">
        <w:tblPrEx>
          <w:tblCellMar>
            <w:top w:w="0" w:type="dxa"/>
            <w:left w:w="108" w:type="dxa"/>
            <w:bottom w:w="0" w:type="dxa"/>
            <w:right w:w="108" w:type="dxa"/>
          </w:tblCellMar>
        </w:tblPrEx>
        <w:trPr>
          <w:trHeight w:val="283" w:hRule="atLeast"/>
        </w:trPr>
        <w:tc>
          <w:tcPr>
            <w:tcW w:w="432" w:type="pct"/>
            <w:vMerge w:val="restart"/>
            <w:tcBorders>
              <w:top w:val="nil"/>
              <w:left w:val="single" w:color="auto" w:sz="12" w:space="0"/>
              <w:bottom w:val="single" w:color="auto" w:sz="4" w:space="0"/>
              <w:right w:val="single" w:color="auto" w:sz="4" w:space="0"/>
            </w:tcBorders>
            <w:noWrap/>
            <w:vAlign w:val="center"/>
          </w:tcPr>
          <w:p w14:paraId="6A40A4F0">
            <w:pPr>
              <w:pStyle w:val="44"/>
              <w:rPr>
                <w:color w:val="auto"/>
              </w:rPr>
            </w:pPr>
            <w:r>
              <w:rPr>
                <w:color w:val="auto"/>
              </w:rPr>
              <w:t>1</w:t>
            </w:r>
          </w:p>
        </w:tc>
        <w:tc>
          <w:tcPr>
            <w:tcW w:w="1992" w:type="pct"/>
            <w:gridSpan w:val="2"/>
            <w:tcBorders>
              <w:top w:val="single" w:color="auto" w:sz="4" w:space="0"/>
              <w:left w:val="nil"/>
              <w:bottom w:val="single" w:color="auto" w:sz="4" w:space="0"/>
              <w:right w:val="single" w:color="auto" w:sz="4" w:space="0"/>
            </w:tcBorders>
            <w:vAlign w:val="center"/>
          </w:tcPr>
          <w:p w14:paraId="51CBFD3E">
            <w:pPr>
              <w:pStyle w:val="44"/>
              <w:rPr>
                <w:color w:val="auto"/>
              </w:rPr>
            </w:pPr>
            <w:r>
              <w:rPr>
                <w:color w:val="auto"/>
              </w:rPr>
              <w:t>居住用地</w:t>
            </w:r>
          </w:p>
        </w:tc>
        <w:tc>
          <w:tcPr>
            <w:tcW w:w="839" w:type="pct"/>
            <w:tcBorders>
              <w:top w:val="nil"/>
              <w:left w:val="nil"/>
              <w:bottom w:val="single" w:color="auto" w:sz="4" w:space="0"/>
              <w:right w:val="single" w:color="auto" w:sz="4" w:space="0"/>
            </w:tcBorders>
            <w:vAlign w:val="center"/>
          </w:tcPr>
          <w:p w14:paraId="1960660A">
            <w:pPr>
              <w:pStyle w:val="44"/>
              <w:rPr>
                <w:color w:val="auto"/>
              </w:rPr>
            </w:pPr>
            <w:r>
              <w:rPr>
                <w:color w:val="auto"/>
              </w:rPr>
              <w:t>R</w:t>
            </w:r>
          </w:p>
        </w:tc>
        <w:tc>
          <w:tcPr>
            <w:tcW w:w="687" w:type="pct"/>
            <w:tcBorders>
              <w:top w:val="nil"/>
              <w:left w:val="nil"/>
              <w:bottom w:val="single" w:color="auto" w:sz="4" w:space="0"/>
              <w:right w:val="single" w:color="auto" w:sz="4" w:space="0"/>
            </w:tcBorders>
            <w:vAlign w:val="center"/>
          </w:tcPr>
          <w:p w14:paraId="6C0EBB17">
            <w:pPr>
              <w:pStyle w:val="44"/>
              <w:rPr>
                <w:color w:val="auto"/>
              </w:rPr>
            </w:pPr>
            <w:r>
              <w:rPr>
                <w:color w:val="auto"/>
              </w:rPr>
              <w:t xml:space="preserve">1.37 </w:t>
            </w:r>
          </w:p>
        </w:tc>
        <w:tc>
          <w:tcPr>
            <w:tcW w:w="1050" w:type="pct"/>
            <w:tcBorders>
              <w:top w:val="nil"/>
              <w:left w:val="nil"/>
              <w:bottom w:val="single" w:color="auto" w:sz="4" w:space="0"/>
              <w:right w:val="single" w:color="auto" w:sz="12" w:space="0"/>
            </w:tcBorders>
            <w:vAlign w:val="center"/>
          </w:tcPr>
          <w:p w14:paraId="1A9DB136">
            <w:pPr>
              <w:pStyle w:val="44"/>
              <w:rPr>
                <w:color w:val="auto"/>
              </w:rPr>
            </w:pPr>
            <w:r>
              <w:rPr>
                <w:color w:val="auto"/>
              </w:rPr>
              <w:t xml:space="preserve">0.46 </w:t>
            </w:r>
          </w:p>
        </w:tc>
      </w:tr>
      <w:tr w14:paraId="0C096844">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7B1F5B7C">
            <w:pPr>
              <w:pStyle w:val="44"/>
              <w:rPr>
                <w:color w:val="auto"/>
              </w:rPr>
            </w:pPr>
          </w:p>
        </w:tc>
        <w:tc>
          <w:tcPr>
            <w:tcW w:w="618" w:type="pct"/>
            <w:tcBorders>
              <w:top w:val="nil"/>
              <w:left w:val="nil"/>
              <w:bottom w:val="single" w:color="auto" w:sz="4" w:space="0"/>
              <w:right w:val="single" w:color="auto" w:sz="4" w:space="0"/>
            </w:tcBorders>
            <w:vAlign w:val="center"/>
          </w:tcPr>
          <w:p w14:paraId="372E6214">
            <w:pPr>
              <w:pStyle w:val="44"/>
              <w:rPr>
                <w:color w:val="auto"/>
              </w:rPr>
            </w:pPr>
            <w:r>
              <w:rPr>
                <w:color w:val="auto"/>
              </w:rPr>
              <w:t>其中</w:t>
            </w:r>
          </w:p>
        </w:tc>
        <w:tc>
          <w:tcPr>
            <w:tcW w:w="1374" w:type="pct"/>
            <w:tcBorders>
              <w:top w:val="nil"/>
              <w:left w:val="nil"/>
              <w:bottom w:val="single" w:color="auto" w:sz="4" w:space="0"/>
              <w:right w:val="single" w:color="auto" w:sz="4" w:space="0"/>
            </w:tcBorders>
            <w:vAlign w:val="center"/>
          </w:tcPr>
          <w:p w14:paraId="6B09D641">
            <w:pPr>
              <w:pStyle w:val="44"/>
              <w:rPr>
                <w:color w:val="auto"/>
              </w:rPr>
            </w:pPr>
            <w:r>
              <w:rPr>
                <w:color w:val="auto"/>
              </w:rPr>
              <w:t>二类居住用地</w:t>
            </w:r>
          </w:p>
        </w:tc>
        <w:tc>
          <w:tcPr>
            <w:tcW w:w="839" w:type="pct"/>
            <w:tcBorders>
              <w:top w:val="nil"/>
              <w:left w:val="nil"/>
              <w:bottom w:val="single" w:color="auto" w:sz="4" w:space="0"/>
              <w:right w:val="single" w:color="auto" w:sz="4" w:space="0"/>
            </w:tcBorders>
            <w:vAlign w:val="center"/>
          </w:tcPr>
          <w:p w14:paraId="325BEFFF">
            <w:pPr>
              <w:pStyle w:val="44"/>
              <w:rPr>
                <w:color w:val="auto"/>
              </w:rPr>
            </w:pPr>
            <w:r>
              <w:rPr>
                <w:color w:val="auto"/>
              </w:rPr>
              <w:t>R2</w:t>
            </w:r>
          </w:p>
        </w:tc>
        <w:tc>
          <w:tcPr>
            <w:tcW w:w="687" w:type="pct"/>
            <w:tcBorders>
              <w:top w:val="nil"/>
              <w:left w:val="nil"/>
              <w:bottom w:val="single" w:color="auto" w:sz="4" w:space="0"/>
              <w:right w:val="single" w:color="auto" w:sz="4" w:space="0"/>
            </w:tcBorders>
            <w:vAlign w:val="center"/>
          </w:tcPr>
          <w:p w14:paraId="73C786D9">
            <w:pPr>
              <w:pStyle w:val="44"/>
              <w:rPr>
                <w:color w:val="auto"/>
              </w:rPr>
            </w:pPr>
            <w:r>
              <w:rPr>
                <w:color w:val="auto"/>
              </w:rPr>
              <w:t xml:space="preserve">1.37 </w:t>
            </w:r>
          </w:p>
        </w:tc>
        <w:tc>
          <w:tcPr>
            <w:tcW w:w="1050" w:type="pct"/>
            <w:tcBorders>
              <w:top w:val="nil"/>
              <w:left w:val="nil"/>
              <w:bottom w:val="single" w:color="auto" w:sz="4" w:space="0"/>
              <w:right w:val="single" w:color="auto" w:sz="12" w:space="0"/>
            </w:tcBorders>
            <w:vAlign w:val="center"/>
          </w:tcPr>
          <w:p w14:paraId="22CDF497">
            <w:pPr>
              <w:pStyle w:val="44"/>
              <w:rPr>
                <w:color w:val="auto"/>
              </w:rPr>
            </w:pPr>
          </w:p>
        </w:tc>
      </w:tr>
      <w:tr w14:paraId="374391DC">
        <w:tblPrEx>
          <w:tblCellMar>
            <w:top w:w="0" w:type="dxa"/>
            <w:left w:w="108" w:type="dxa"/>
            <w:bottom w:w="0" w:type="dxa"/>
            <w:right w:w="108" w:type="dxa"/>
          </w:tblCellMar>
        </w:tblPrEx>
        <w:trPr>
          <w:trHeight w:val="283" w:hRule="atLeast"/>
        </w:trPr>
        <w:tc>
          <w:tcPr>
            <w:tcW w:w="432" w:type="pct"/>
            <w:vMerge w:val="restart"/>
            <w:tcBorders>
              <w:top w:val="nil"/>
              <w:left w:val="single" w:color="auto" w:sz="12" w:space="0"/>
              <w:bottom w:val="single" w:color="auto" w:sz="4" w:space="0"/>
              <w:right w:val="single" w:color="auto" w:sz="4" w:space="0"/>
            </w:tcBorders>
            <w:noWrap/>
            <w:vAlign w:val="center"/>
          </w:tcPr>
          <w:p w14:paraId="63D2D9EC">
            <w:pPr>
              <w:pStyle w:val="44"/>
              <w:rPr>
                <w:color w:val="auto"/>
              </w:rPr>
            </w:pPr>
            <w:r>
              <w:rPr>
                <w:color w:val="auto"/>
              </w:rPr>
              <w:t>2</w:t>
            </w:r>
          </w:p>
        </w:tc>
        <w:tc>
          <w:tcPr>
            <w:tcW w:w="1992" w:type="pct"/>
            <w:gridSpan w:val="2"/>
            <w:tcBorders>
              <w:top w:val="single" w:color="auto" w:sz="4" w:space="0"/>
              <w:left w:val="nil"/>
              <w:bottom w:val="single" w:color="auto" w:sz="4" w:space="0"/>
              <w:right w:val="single" w:color="auto" w:sz="4" w:space="0"/>
            </w:tcBorders>
            <w:vAlign w:val="center"/>
          </w:tcPr>
          <w:p w14:paraId="79311B5F">
            <w:pPr>
              <w:pStyle w:val="44"/>
              <w:rPr>
                <w:color w:val="auto"/>
              </w:rPr>
            </w:pPr>
            <w:r>
              <w:rPr>
                <w:color w:val="auto"/>
              </w:rPr>
              <w:t>工业用地</w:t>
            </w:r>
          </w:p>
        </w:tc>
        <w:tc>
          <w:tcPr>
            <w:tcW w:w="839" w:type="pct"/>
            <w:tcBorders>
              <w:top w:val="nil"/>
              <w:left w:val="nil"/>
              <w:bottom w:val="single" w:color="auto" w:sz="4" w:space="0"/>
              <w:right w:val="single" w:color="auto" w:sz="4" w:space="0"/>
            </w:tcBorders>
            <w:vAlign w:val="center"/>
          </w:tcPr>
          <w:p w14:paraId="07B67FFC">
            <w:pPr>
              <w:pStyle w:val="44"/>
              <w:rPr>
                <w:color w:val="auto"/>
              </w:rPr>
            </w:pPr>
            <w:r>
              <w:rPr>
                <w:color w:val="auto"/>
              </w:rPr>
              <w:t>M</w:t>
            </w:r>
          </w:p>
        </w:tc>
        <w:tc>
          <w:tcPr>
            <w:tcW w:w="687" w:type="pct"/>
            <w:tcBorders>
              <w:top w:val="nil"/>
              <w:left w:val="nil"/>
              <w:bottom w:val="single" w:color="auto" w:sz="4" w:space="0"/>
              <w:right w:val="single" w:color="auto" w:sz="4" w:space="0"/>
            </w:tcBorders>
            <w:vAlign w:val="center"/>
          </w:tcPr>
          <w:p w14:paraId="2C83452F">
            <w:pPr>
              <w:pStyle w:val="44"/>
              <w:rPr>
                <w:color w:val="auto"/>
              </w:rPr>
            </w:pPr>
            <w:r>
              <w:rPr>
                <w:color w:val="auto"/>
              </w:rPr>
              <w:t xml:space="preserve">215.50 </w:t>
            </w:r>
          </w:p>
        </w:tc>
        <w:tc>
          <w:tcPr>
            <w:tcW w:w="1050" w:type="pct"/>
            <w:tcBorders>
              <w:top w:val="nil"/>
              <w:left w:val="nil"/>
              <w:bottom w:val="single" w:color="auto" w:sz="4" w:space="0"/>
              <w:right w:val="single" w:color="auto" w:sz="12" w:space="0"/>
            </w:tcBorders>
            <w:vAlign w:val="center"/>
          </w:tcPr>
          <w:p w14:paraId="554DB43E">
            <w:pPr>
              <w:pStyle w:val="44"/>
              <w:rPr>
                <w:color w:val="auto"/>
              </w:rPr>
            </w:pPr>
            <w:r>
              <w:rPr>
                <w:color w:val="auto"/>
              </w:rPr>
              <w:t xml:space="preserve">71.90 </w:t>
            </w:r>
          </w:p>
        </w:tc>
      </w:tr>
      <w:tr w14:paraId="03334E6A">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31F55914">
            <w:pPr>
              <w:pStyle w:val="44"/>
              <w:rPr>
                <w:color w:val="auto"/>
              </w:rPr>
            </w:pPr>
          </w:p>
        </w:tc>
        <w:tc>
          <w:tcPr>
            <w:tcW w:w="618" w:type="pct"/>
            <w:vMerge w:val="restart"/>
            <w:tcBorders>
              <w:top w:val="nil"/>
              <w:left w:val="single" w:color="auto" w:sz="4" w:space="0"/>
              <w:bottom w:val="single" w:color="auto" w:sz="4" w:space="0"/>
              <w:right w:val="single" w:color="auto" w:sz="4" w:space="0"/>
            </w:tcBorders>
            <w:noWrap/>
            <w:vAlign w:val="center"/>
          </w:tcPr>
          <w:p w14:paraId="29107779">
            <w:pPr>
              <w:pStyle w:val="44"/>
              <w:rPr>
                <w:color w:val="auto"/>
              </w:rPr>
            </w:pPr>
            <w:r>
              <w:rPr>
                <w:color w:val="auto"/>
              </w:rPr>
              <w:t>其中</w:t>
            </w:r>
          </w:p>
        </w:tc>
        <w:tc>
          <w:tcPr>
            <w:tcW w:w="1374" w:type="pct"/>
            <w:tcBorders>
              <w:top w:val="nil"/>
              <w:left w:val="nil"/>
              <w:bottom w:val="single" w:color="auto" w:sz="4" w:space="0"/>
              <w:right w:val="single" w:color="auto" w:sz="4" w:space="0"/>
            </w:tcBorders>
            <w:noWrap/>
            <w:vAlign w:val="center"/>
          </w:tcPr>
          <w:p w14:paraId="75D8A784">
            <w:pPr>
              <w:pStyle w:val="44"/>
              <w:rPr>
                <w:color w:val="auto"/>
              </w:rPr>
            </w:pPr>
            <w:r>
              <w:rPr>
                <w:color w:val="auto"/>
              </w:rPr>
              <w:t>一类工业用地</w:t>
            </w:r>
          </w:p>
        </w:tc>
        <w:tc>
          <w:tcPr>
            <w:tcW w:w="839" w:type="pct"/>
            <w:tcBorders>
              <w:top w:val="nil"/>
              <w:left w:val="nil"/>
              <w:bottom w:val="single" w:color="auto" w:sz="4" w:space="0"/>
              <w:right w:val="single" w:color="auto" w:sz="4" w:space="0"/>
            </w:tcBorders>
            <w:noWrap/>
            <w:vAlign w:val="center"/>
          </w:tcPr>
          <w:p w14:paraId="731E7502">
            <w:pPr>
              <w:pStyle w:val="44"/>
              <w:rPr>
                <w:color w:val="auto"/>
              </w:rPr>
            </w:pPr>
            <w:r>
              <w:rPr>
                <w:color w:val="auto"/>
              </w:rPr>
              <w:t>M1</w:t>
            </w:r>
          </w:p>
        </w:tc>
        <w:tc>
          <w:tcPr>
            <w:tcW w:w="687" w:type="pct"/>
            <w:tcBorders>
              <w:top w:val="nil"/>
              <w:left w:val="nil"/>
              <w:bottom w:val="single" w:color="auto" w:sz="4" w:space="0"/>
              <w:right w:val="single" w:color="auto" w:sz="4" w:space="0"/>
            </w:tcBorders>
            <w:vAlign w:val="center"/>
          </w:tcPr>
          <w:p w14:paraId="57528A62">
            <w:pPr>
              <w:pStyle w:val="44"/>
              <w:rPr>
                <w:color w:val="auto"/>
              </w:rPr>
            </w:pPr>
            <w:r>
              <w:rPr>
                <w:color w:val="auto"/>
              </w:rPr>
              <w:t xml:space="preserve">34.97 </w:t>
            </w:r>
          </w:p>
        </w:tc>
        <w:tc>
          <w:tcPr>
            <w:tcW w:w="1050" w:type="pct"/>
            <w:tcBorders>
              <w:top w:val="nil"/>
              <w:left w:val="nil"/>
              <w:bottom w:val="single" w:color="auto" w:sz="4" w:space="0"/>
              <w:right w:val="single" w:color="auto" w:sz="12" w:space="0"/>
            </w:tcBorders>
            <w:vAlign w:val="center"/>
          </w:tcPr>
          <w:p w14:paraId="4621FA95">
            <w:pPr>
              <w:pStyle w:val="44"/>
              <w:rPr>
                <w:color w:val="auto"/>
              </w:rPr>
            </w:pPr>
          </w:p>
        </w:tc>
      </w:tr>
      <w:tr w14:paraId="1F326205">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2822CF7F">
            <w:pPr>
              <w:pStyle w:val="44"/>
              <w:rPr>
                <w:color w:val="auto"/>
              </w:rPr>
            </w:pPr>
          </w:p>
        </w:tc>
        <w:tc>
          <w:tcPr>
            <w:tcW w:w="618" w:type="pct"/>
            <w:vMerge w:val="continue"/>
            <w:tcBorders>
              <w:top w:val="nil"/>
              <w:left w:val="single" w:color="auto" w:sz="4" w:space="0"/>
              <w:bottom w:val="single" w:color="auto" w:sz="4" w:space="0"/>
              <w:right w:val="single" w:color="auto" w:sz="4" w:space="0"/>
            </w:tcBorders>
            <w:vAlign w:val="center"/>
          </w:tcPr>
          <w:p w14:paraId="124DA779">
            <w:pPr>
              <w:pStyle w:val="44"/>
              <w:rPr>
                <w:color w:val="auto"/>
              </w:rPr>
            </w:pPr>
          </w:p>
        </w:tc>
        <w:tc>
          <w:tcPr>
            <w:tcW w:w="1374" w:type="pct"/>
            <w:tcBorders>
              <w:top w:val="nil"/>
              <w:left w:val="nil"/>
              <w:bottom w:val="single" w:color="auto" w:sz="4" w:space="0"/>
              <w:right w:val="single" w:color="auto" w:sz="4" w:space="0"/>
            </w:tcBorders>
            <w:noWrap/>
            <w:vAlign w:val="center"/>
          </w:tcPr>
          <w:p w14:paraId="651BEB94">
            <w:pPr>
              <w:pStyle w:val="44"/>
              <w:rPr>
                <w:color w:val="auto"/>
              </w:rPr>
            </w:pPr>
            <w:r>
              <w:rPr>
                <w:color w:val="auto"/>
              </w:rPr>
              <w:t>二类工业用地</w:t>
            </w:r>
          </w:p>
        </w:tc>
        <w:tc>
          <w:tcPr>
            <w:tcW w:w="839" w:type="pct"/>
            <w:tcBorders>
              <w:top w:val="nil"/>
              <w:left w:val="nil"/>
              <w:bottom w:val="single" w:color="auto" w:sz="4" w:space="0"/>
              <w:right w:val="single" w:color="auto" w:sz="4" w:space="0"/>
            </w:tcBorders>
            <w:noWrap/>
            <w:vAlign w:val="center"/>
          </w:tcPr>
          <w:p w14:paraId="03634C84">
            <w:pPr>
              <w:pStyle w:val="44"/>
              <w:rPr>
                <w:color w:val="auto"/>
              </w:rPr>
            </w:pPr>
            <w:r>
              <w:rPr>
                <w:color w:val="auto"/>
              </w:rPr>
              <w:t>M2</w:t>
            </w:r>
          </w:p>
        </w:tc>
        <w:tc>
          <w:tcPr>
            <w:tcW w:w="687" w:type="pct"/>
            <w:tcBorders>
              <w:top w:val="nil"/>
              <w:left w:val="nil"/>
              <w:bottom w:val="single" w:color="auto" w:sz="4" w:space="0"/>
              <w:right w:val="single" w:color="auto" w:sz="4" w:space="0"/>
            </w:tcBorders>
            <w:vAlign w:val="center"/>
          </w:tcPr>
          <w:p w14:paraId="7476ED36">
            <w:pPr>
              <w:pStyle w:val="44"/>
              <w:rPr>
                <w:color w:val="auto"/>
              </w:rPr>
            </w:pPr>
            <w:r>
              <w:rPr>
                <w:color w:val="auto"/>
              </w:rPr>
              <w:t xml:space="preserve">180.53 </w:t>
            </w:r>
          </w:p>
        </w:tc>
        <w:tc>
          <w:tcPr>
            <w:tcW w:w="1050" w:type="pct"/>
            <w:tcBorders>
              <w:top w:val="nil"/>
              <w:left w:val="nil"/>
              <w:bottom w:val="single" w:color="auto" w:sz="4" w:space="0"/>
              <w:right w:val="single" w:color="auto" w:sz="12" w:space="0"/>
            </w:tcBorders>
            <w:vAlign w:val="center"/>
          </w:tcPr>
          <w:p w14:paraId="7905D9FE">
            <w:pPr>
              <w:pStyle w:val="44"/>
              <w:rPr>
                <w:color w:val="auto"/>
              </w:rPr>
            </w:pPr>
          </w:p>
        </w:tc>
      </w:tr>
      <w:tr w14:paraId="426FD116">
        <w:tblPrEx>
          <w:tblCellMar>
            <w:top w:w="0" w:type="dxa"/>
            <w:left w:w="108" w:type="dxa"/>
            <w:bottom w:w="0" w:type="dxa"/>
            <w:right w:w="108" w:type="dxa"/>
          </w:tblCellMar>
        </w:tblPrEx>
        <w:trPr>
          <w:trHeight w:val="283" w:hRule="atLeast"/>
        </w:trPr>
        <w:tc>
          <w:tcPr>
            <w:tcW w:w="432" w:type="pct"/>
            <w:vMerge w:val="restart"/>
            <w:tcBorders>
              <w:top w:val="nil"/>
              <w:left w:val="single" w:color="auto" w:sz="12" w:space="0"/>
              <w:bottom w:val="single" w:color="auto" w:sz="4" w:space="0"/>
              <w:right w:val="single" w:color="auto" w:sz="4" w:space="0"/>
            </w:tcBorders>
            <w:noWrap/>
            <w:vAlign w:val="center"/>
          </w:tcPr>
          <w:p w14:paraId="67AA62E1">
            <w:pPr>
              <w:pStyle w:val="44"/>
              <w:rPr>
                <w:color w:val="auto"/>
              </w:rPr>
            </w:pPr>
            <w:r>
              <w:rPr>
                <w:color w:val="auto"/>
              </w:rPr>
              <w:t>3</w:t>
            </w:r>
          </w:p>
        </w:tc>
        <w:tc>
          <w:tcPr>
            <w:tcW w:w="1992" w:type="pct"/>
            <w:gridSpan w:val="2"/>
            <w:tcBorders>
              <w:top w:val="single" w:color="auto" w:sz="4" w:space="0"/>
              <w:left w:val="nil"/>
              <w:bottom w:val="single" w:color="auto" w:sz="4" w:space="0"/>
              <w:right w:val="single" w:color="auto" w:sz="4" w:space="0"/>
            </w:tcBorders>
            <w:noWrap/>
            <w:vAlign w:val="center"/>
          </w:tcPr>
          <w:p w14:paraId="2DED4C4F">
            <w:pPr>
              <w:pStyle w:val="44"/>
              <w:rPr>
                <w:color w:val="auto"/>
              </w:rPr>
            </w:pPr>
            <w:r>
              <w:rPr>
                <w:color w:val="auto"/>
              </w:rPr>
              <w:t>公共设施用地</w:t>
            </w:r>
          </w:p>
        </w:tc>
        <w:tc>
          <w:tcPr>
            <w:tcW w:w="839" w:type="pct"/>
            <w:tcBorders>
              <w:top w:val="nil"/>
              <w:left w:val="nil"/>
              <w:bottom w:val="single" w:color="auto" w:sz="4" w:space="0"/>
              <w:right w:val="single" w:color="auto" w:sz="4" w:space="0"/>
            </w:tcBorders>
            <w:noWrap/>
            <w:vAlign w:val="center"/>
          </w:tcPr>
          <w:p w14:paraId="7F35C91D">
            <w:pPr>
              <w:pStyle w:val="44"/>
              <w:rPr>
                <w:color w:val="auto"/>
              </w:rPr>
            </w:pPr>
            <w:r>
              <w:rPr>
                <w:color w:val="auto"/>
              </w:rPr>
              <w:t>U</w:t>
            </w:r>
          </w:p>
        </w:tc>
        <w:tc>
          <w:tcPr>
            <w:tcW w:w="687" w:type="pct"/>
            <w:tcBorders>
              <w:top w:val="nil"/>
              <w:left w:val="nil"/>
              <w:bottom w:val="single" w:color="auto" w:sz="4" w:space="0"/>
              <w:right w:val="single" w:color="auto" w:sz="4" w:space="0"/>
            </w:tcBorders>
            <w:vAlign w:val="center"/>
          </w:tcPr>
          <w:p w14:paraId="63BA1FBF">
            <w:pPr>
              <w:pStyle w:val="44"/>
              <w:rPr>
                <w:color w:val="auto"/>
              </w:rPr>
            </w:pPr>
            <w:r>
              <w:rPr>
                <w:color w:val="auto"/>
              </w:rPr>
              <w:t xml:space="preserve">15.31 </w:t>
            </w:r>
          </w:p>
        </w:tc>
        <w:tc>
          <w:tcPr>
            <w:tcW w:w="1050" w:type="pct"/>
            <w:tcBorders>
              <w:top w:val="nil"/>
              <w:left w:val="nil"/>
              <w:bottom w:val="single" w:color="auto" w:sz="4" w:space="0"/>
              <w:right w:val="single" w:color="auto" w:sz="12" w:space="0"/>
            </w:tcBorders>
            <w:vAlign w:val="center"/>
          </w:tcPr>
          <w:p w14:paraId="287F5553">
            <w:pPr>
              <w:pStyle w:val="44"/>
              <w:rPr>
                <w:color w:val="auto"/>
              </w:rPr>
            </w:pPr>
            <w:r>
              <w:rPr>
                <w:color w:val="auto"/>
              </w:rPr>
              <w:t xml:space="preserve">5.11 </w:t>
            </w:r>
          </w:p>
        </w:tc>
      </w:tr>
      <w:tr w14:paraId="7FE65791">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5733BFC7">
            <w:pPr>
              <w:pStyle w:val="44"/>
              <w:rPr>
                <w:color w:val="auto"/>
              </w:rPr>
            </w:pPr>
          </w:p>
        </w:tc>
        <w:tc>
          <w:tcPr>
            <w:tcW w:w="618" w:type="pct"/>
            <w:vMerge w:val="restart"/>
            <w:tcBorders>
              <w:top w:val="nil"/>
              <w:left w:val="single" w:color="auto" w:sz="4" w:space="0"/>
              <w:bottom w:val="single" w:color="auto" w:sz="4" w:space="0"/>
              <w:right w:val="single" w:color="auto" w:sz="4" w:space="0"/>
            </w:tcBorders>
            <w:noWrap/>
            <w:vAlign w:val="center"/>
          </w:tcPr>
          <w:p w14:paraId="3196663F">
            <w:pPr>
              <w:pStyle w:val="44"/>
              <w:rPr>
                <w:color w:val="auto"/>
              </w:rPr>
            </w:pPr>
            <w:r>
              <w:rPr>
                <w:color w:val="auto"/>
              </w:rPr>
              <w:t>其中</w:t>
            </w:r>
          </w:p>
        </w:tc>
        <w:tc>
          <w:tcPr>
            <w:tcW w:w="1374" w:type="pct"/>
            <w:tcBorders>
              <w:top w:val="nil"/>
              <w:left w:val="nil"/>
              <w:bottom w:val="single" w:color="auto" w:sz="4" w:space="0"/>
              <w:right w:val="single" w:color="auto" w:sz="4" w:space="0"/>
            </w:tcBorders>
            <w:noWrap/>
            <w:vAlign w:val="center"/>
          </w:tcPr>
          <w:p w14:paraId="44FF6EFD">
            <w:pPr>
              <w:pStyle w:val="44"/>
              <w:rPr>
                <w:color w:val="auto"/>
              </w:rPr>
            </w:pPr>
            <w:r>
              <w:rPr>
                <w:color w:val="auto"/>
              </w:rPr>
              <w:t>供电用地</w:t>
            </w:r>
          </w:p>
        </w:tc>
        <w:tc>
          <w:tcPr>
            <w:tcW w:w="839" w:type="pct"/>
            <w:tcBorders>
              <w:top w:val="nil"/>
              <w:left w:val="nil"/>
              <w:bottom w:val="single" w:color="auto" w:sz="4" w:space="0"/>
              <w:right w:val="single" w:color="auto" w:sz="4" w:space="0"/>
            </w:tcBorders>
            <w:noWrap/>
            <w:vAlign w:val="center"/>
          </w:tcPr>
          <w:p w14:paraId="2A6EDA7E">
            <w:pPr>
              <w:pStyle w:val="44"/>
              <w:rPr>
                <w:color w:val="auto"/>
              </w:rPr>
            </w:pPr>
            <w:r>
              <w:rPr>
                <w:color w:val="auto"/>
              </w:rPr>
              <w:t>U12</w:t>
            </w:r>
          </w:p>
        </w:tc>
        <w:tc>
          <w:tcPr>
            <w:tcW w:w="687" w:type="pct"/>
            <w:tcBorders>
              <w:top w:val="nil"/>
              <w:left w:val="nil"/>
              <w:bottom w:val="single" w:color="auto" w:sz="4" w:space="0"/>
              <w:right w:val="single" w:color="auto" w:sz="4" w:space="0"/>
            </w:tcBorders>
            <w:vAlign w:val="center"/>
          </w:tcPr>
          <w:p w14:paraId="40EE0EEC">
            <w:pPr>
              <w:pStyle w:val="44"/>
              <w:rPr>
                <w:color w:val="auto"/>
              </w:rPr>
            </w:pPr>
            <w:r>
              <w:rPr>
                <w:color w:val="auto"/>
              </w:rPr>
              <w:t xml:space="preserve">0.77 </w:t>
            </w:r>
          </w:p>
        </w:tc>
        <w:tc>
          <w:tcPr>
            <w:tcW w:w="1050" w:type="pct"/>
            <w:tcBorders>
              <w:top w:val="nil"/>
              <w:left w:val="nil"/>
              <w:bottom w:val="single" w:color="auto" w:sz="4" w:space="0"/>
              <w:right w:val="single" w:color="auto" w:sz="12" w:space="0"/>
            </w:tcBorders>
            <w:vAlign w:val="center"/>
          </w:tcPr>
          <w:p w14:paraId="3C931A38">
            <w:pPr>
              <w:pStyle w:val="44"/>
              <w:rPr>
                <w:color w:val="auto"/>
              </w:rPr>
            </w:pPr>
          </w:p>
        </w:tc>
      </w:tr>
      <w:tr w14:paraId="0B03F9E6">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4FF33574">
            <w:pPr>
              <w:pStyle w:val="44"/>
              <w:rPr>
                <w:color w:val="auto"/>
              </w:rPr>
            </w:pPr>
          </w:p>
        </w:tc>
        <w:tc>
          <w:tcPr>
            <w:tcW w:w="618" w:type="pct"/>
            <w:vMerge w:val="continue"/>
            <w:tcBorders>
              <w:top w:val="nil"/>
              <w:left w:val="single" w:color="auto" w:sz="4" w:space="0"/>
              <w:bottom w:val="single" w:color="auto" w:sz="4" w:space="0"/>
              <w:right w:val="single" w:color="auto" w:sz="4" w:space="0"/>
            </w:tcBorders>
            <w:vAlign w:val="center"/>
          </w:tcPr>
          <w:p w14:paraId="7FBF4DDB">
            <w:pPr>
              <w:pStyle w:val="44"/>
              <w:rPr>
                <w:color w:val="auto"/>
              </w:rPr>
            </w:pPr>
          </w:p>
        </w:tc>
        <w:tc>
          <w:tcPr>
            <w:tcW w:w="1374" w:type="pct"/>
            <w:tcBorders>
              <w:top w:val="nil"/>
              <w:left w:val="nil"/>
              <w:bottom w:val="single" w:color="auto" w:sz="4" w:space="0"/>
              <w:right w:val="single" w:color="auto" w:sz="4" w:space="0"/>
            </w:tcBorders>
            <w:noWrap/>
            <w:vAlign w:val="center"/>
          </w:tcPr>
          <w:p w14:paraId="70217731">
            <w:pPr>
              <w:pStyle w:val="44"/>
              <w:rPr>
                <w:color w:val="auto"/>
              </w:rPr>
            </w:pPr>
            <w:r>
              <w:rPr>
                <w:color w:val="auto"/>
              </w:rPr>
              <w:t>供燃气用地</w:t>
            </w:r>
          </w:p>
        </w:tc>
        <w:tc>
          <w:tcPr>
            <w:tcW w:w="839" w:type="pct"/>
            <w:tcBorders>
              <w:top w:val="nil"/>
              <w:left w:val="nil"/>
              <w:bottom w:val="single" w:color="auto" w:sz="4" w:space="0"/>
              <w:right w:val="single" w:color="auto" w:sz="4" w:space="0"/>
            </w:tcBorders>
            <w:noWrap/>
            <w:vAlign w:val="center"/>
          </w:tcPr>
          <w:p w14:paraId="24EF95FA">
            <w:pPr>
              <w:pStyle w:val="44"/>
              <w:rPr>
                <w:color w:val="auto"/>
              </w:rPr>
            </w:pPr>
            <w:r>
              <w:rPr>
                <w:color w:val="auto"/>
              </w:rPr>
              <w:t>U13</w:t>
            </w:r>
          </w:p>
        </w:tc>
        <w:tc>
          <w:tcPr>
            <w:tcW w:w="687" w:type="pct"/>
            <w:tcBorders>
              <w:top w:val="nil"/>
              <w:left w:val="nil"/>
              <w:bottom w:val="single" w:color="auto" w:sz="4" w:space="0"/>
              <w:right w:val="single" w:color="auto" w:sz="4" w:space="0"/>
            </w:tcBorders>
            <w:vAlign w:val="center"/>
          </w:tcPr>
          <w:p w14:paraId="7C2A9BED">
            <w:pPr>
              <w:pStyle w:val="44"/>
              <w:rPr>
                <w:color w:val="auto"/>
              </w:rPr>
            </w:pPr>
            <w:r>
              <w:rPr>
                <w:color w:val="auto"/>
              </w:rPr>
              <w:t xml:space="preserve">0.73 </w:t>
            </w:r>
          </w:p>
        </w:tc>
        <w:tc>
          <w:tcPr>
            <w:tcW w:w="1050" w:type="pct"/>
            <w:tcBorders>
              <w:top w:val="nil"/>
              <w:left w:val="nil"/>
              <w:bottom w:val="single" w:color="auto" w:sz="4" w:space="0"/>
              <w:right w:val="single" w:color="auto" w:sz="12" w:space="0"/>
            </w:tcBorders>
            <w:vAlign w:val="center"/>
          </w:tcPr>
          <w:p w14:paraId="2A42FE65">
            <w:pPr>
              <w:pStyle w:val="44"/>
              <w:rPr>
                <w:color w:val="auto"/>
              </w:rPr>
            </w:pPr>
          </w:p>
        </w:tc>
      </w:tr>
      <w:tr w14:paraId="528C78C9">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72892DCF">
            <w:pPr>
              <w:pStyle w:val="44"/>
              <w:rPr>
                <w:color w:val="auto"/>
              </w:rPr>
            </w:pPr>
          </w:p>
        </w:tc>
        <w:tc>
          <w:tcPr>
            <w:tcW w:w="618" w:type="pct"/>
            <w:vMerge w:val="continue"/>
            <w:tcBorders>
              <w:top w:val="nil"/>
              <w:left w:val="single" w:color="auto" w:sz="4" w:space="0"/>
              <w:bottom w:val="single" w:color="auto" w:sz="4" w:space="0"/>
              <w:right w:val="single" w:color="auto" w:sz="4" w:space="0"/>
            </w:tcBorders>
            <w:vAlign w:val="center"/>
          </w:tcPr>
          <w:p w14:paraId="30EC3A19">
            <w:pPr>
              <w:pStyle w:val="44"/>
              <w:rPr>
                <w:color w:val="auto"/>
              </w:rPr>
            </w:pPr>
          </w:p>
        </w:tc>
        <w:tc>
          <w:tcPr>
            <w:tcW w:w="1374" w:type="pct"/>
            <w:tcBorders>
              <w:top w:val="nil"/>
              <w:left w:val="nil"/>
              <w:bottom w:val="single" w:color="auto" w:sz="4" w:space="0"/>
              <w:right w:val="single" w:color="auto" w:sz="4" w:space="0"/>
            </w:tcBorders>
            <w:noWrap/>
            <w:vAlign w:val="center"/>
          </w:tcPr>
          <w:p w14:paraId="2A00387B">
            <w:pPr>
              <w:pStyle w:val="44"/>
              <w:rPr>
                <w:color w:val="auto"/>
              </w:rPr>
            </w:pPr>
            <w:r>
              <w:rPr>
                <w:color w:val="auto"/>
              </w:rPr>
              <w:t>加油加气站用地</w:t>
            </w:r>
          </w:p>
        </w:tc>
        <w:tc>
          <w:tcPr>
            <w:tcW w:w="839" w:type="pct"/>
            <w:tcBorders>
              <w:top w:val="nil"/>
              <w:left w:val="nil"/>
              <w:bottom w:val="single" w:color="auto" w:sz="4" w:space="0"/>
              <w:right w:val="single" w:color="auto" w:sz="4" w:space="0"/>
            </w:tcBorders>
            <w:noWrap/>
            <w:vAlign w:val="center"/>
          </w:tcPr>
          <w:p w14:paraId="4A6948C5">
            <w:pPr>
              <w:pStyle w:val="44"/>
              <w:rPr>
                <w:color w:val="auto"/>
              </w:rPr>
            </w:pPr>
            <w:r>
              <w:rPr>
                <w:color w:val="auto"/>
              </w:rPr>
              <w:t>B41</w:t>
            </w:r>
          </w:p>
        </w:tc>
        <w:tc>
          <w:tcPr>
            <w:tcW w:w="687" w:type="pct"/>
            <w:tcBorders>
              <w:top w:val="nil"/>
              <w:left w:val="nil"/>
              <w:bottom w:val="single" w:color="auto" w:sz="4" w:space="0"/>
              <w:right w:val="single" w:color="auto" w:sz="4" w:space="0"/>
            </w:tcBorders>
            <w:vAlign w:val="center"/>
          </w:tcPr>
          <w:p w14:paraId="56B2FC99">
            <w:pPr>
              <w:pStyle w:val="44"/>
              <w:rPr>
                <w:color w:val="auto"/>
              </w:rPr>
            </w:pPr>
            <w:r>
              <w:rPr>
                <w:color w:val="auto"/>
              </w:rPr>
              <w:t xml:space="preserve">0.41 </w:t>
            </w:r>
          </w:p>
        </w:tc>
        <w:tc>
          <w:tcPr>
            <w:tcW w:w="1050" w:type="pct"/>
            <w:tcBorders>
              <w:top w:val="nil"/>
              <w:left w:val="nil"/>
              <w:bottom w:val="single" w:color="auto" w:sz="4" w:space="0"/>
              <w:right w:val="single" w:color="auto" w:sz="12" w:space="0"/>
            </w:tcBorders>
            <w:vAlign w:val="center"/>
          </w:tcPr>
          <w:p w14:paraId="75292322">
            <w:pPr>
              <w:pStyle w:val="44"/>
              <w:rPr>
                <w:color w:val="auto"/>
              </w:rPr>
            </w:pPr>
          </w:p>
        </w:tc>
      </w:tr>
      <w:tr w14:paraId="154DE659">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3C01BCAD">
            <w:pPr>
              <w:pStyle w:val="44"/>
              <w:rPr>
                <w:color w:val="auto"/>
              </w:rPr>
            </w:pPr>
          </w:p>
        </w:tc>
        <w:tc>
          <w:tcPr>
            <w:tcW w:w="618" w:type="pct"/>
            <w:vMerge w:val="continue"/>
            <w:tcBorders>
              <w:top w:val="nil"/>
              <w:left w:val="single" w:color="auto" w:sz="4" w:space="0"/>
              <w:bottom w:val="single" w:color="auto" w:sz="4" w:space="0"/>
              <w:right w:val="single" w:color="auto" w:sz="4" w:space="0"/>
            </w:tcBorders>
            <w:vAlign w:val="center"/>
          </w:tcPr>
          <w:p w14:paraId="0DA8E05E">
            <w:pPr>
              <w:pStyle w:val="44"/>
              <w:rPr>
                <w:color w:val="auto"/>
              </w:rPr>
            </w:pPr>
          </w:p>
        </w:tc>
        <w:tc>
          <w:tcPr>
            <w:tcW w:w="1374" w:type="pct"/>
            <w:tcBorders>
              <w:top w:val="nil"/>
              <w:left w:val="nil"/>
              <w:bottom w:val="single" w:color="auto" w:sz="4" w:space="0"/>
              <w:right w:val="single" w:color="auto" w:sz="4" w:space="0"/>
            </w:tcBorders>
            <w:noWrap/>
            <w:vAlign w:val="center"/>
          </w:tcPr>
          <w:p w14:paraId="7BE6DD35">
            <w:pPr>
              <w:pStyle w:val="44"/>
              <w:rPr>
                <w:color w:val="auto"/>
              </w:rPr>
            </w:pPr>
            <w:r>
              <w:rPr>
                <w:color w:val="auto"/>
              </w:rPr>
              <w:t>环境卫生设施用地</w:t>
            </w:r>
          </w:p>
        </w:tc>
        <w:tc>
          <w:tcPr>
            <w:tcW w:w="839" w:type="pct"/>
            <w:tcBorders>
              <w:top w:val="nil"/>
              <w:left w:val="nil"/>
              <w:bottom w:val="single" w:color="auto" w:sz="4" w:space="0"/>
              <w:right w:val="single" w:color="auto" w:sz="4" w:space="0"/>
            </w:tcBorders>
            <w:noWrap/>
            <w:vAlign w:val="center"/>
          </w:tcPr>
          <w:p w14:paraId="6020160D">
            <w:pPr>
              <w:pStyle w:val="44"/>
              <w:rPr>
                <w:color w:val="auto"/>
              </w:rPr>
            </w:pPr>
            <w:r>
              <w:rPr>
                <w:color w:val="auto"/>
              </w:rPr>
              <w:t>U22</w:t>
            </w:r>
          </w:p>
        </w:tc>
        <w:tc>
          <w:tcPr>
            <w:tcW w:w="687" w:type="pct"/>
            <w:tcBorders>
              <w:top w:val="nil"/>
              <w:left w:val="nil"/>
              <w:bottom w:val="single" w:color="auto" w:sz="4" w:space="0"/>
              <w:right w:val="single" w:color="auto" w:sz="4" w:space="0"/>
            </w:tcBorders>
            <w:vAlign w:val="center"/>
          </w:tcPr>
          <w:p w14:paraId="7DAEE66A">
            <w:pPr>
              <w:pStyle w:val="44"/>
              <w:rPr>
                <w:color w:val="auto"/>
              </w:rPr>
            </w:pPr>
            <w:r>
              <w:rPr>
                <w:color w:val="auto"/>
              </w:rPr>
              <w:t xml:space="preserve">13.40 </w:t>
            </w:r>
          </w:p>
        </w:tc>
        <w:tc>
          <w:tcPr>
            <w:tcW w:w="1050" w:type="pct"/>
            <w:tcBorders>
              <w:top w:val="nil"/>
              <w:left w:val="nil"/>
              <w:bottom w:val="single" w:color="auto" w:sz="4" w:space="0"/>
              <w:right w:val="single" w:color="auto" w:sz="12" w:space="0"/>
            </w:tcBorders>
            <w:vAlign w:val="center"/>
          </w:tcPr>
          <w:p w14:paraId="3FE85673">
            <w:pPr>
              <w:pStyle w:val="44"/>
              <w:rPr>
                <w:color w:val="auto"/>
              </w:rPr>
            </w:pPr>
          </w:p>
        </w:tc>
      </w:tr>
      <w:tr w14:paraId="7AB94ED7">
        <w:tblPrEx>
          <w:tblCellMar>
            <w:top w:w="0" w:type="dxa"/>
            <w:left w:w="108" w:type="dxa"/>
            <w:bottom w:w="0" w:type="dxa"/>
            <w:right w:w="108" w:type="dxa"/>
          </w:tblCellMar>
        </w:tblPrEx>
        <w:trPr>
          <w:trHeight w:val="283" w:hRule="atLeast"/>
        </w:trPr>
        <w:tc>
          <w:tcPr>
            <w:tcW w:w="432" w:type="pct"/>
            <w:tcBorders>
              <w:top w:val="nil"/>
              <w:left w:val="single" w:color="auto" w:sz="12" w:space="0"/>
              <w:bottom w:val="single" w:color="auto" w:sz="4" w:space="0"/>
              <w:right w:val="single" w:color="auto" w:sz="4" w:space="0"/>
            </w:tcBorders>
            <w:noWrap/>
            <w:vAlign w:val="center"/>
          </w:tcPr>
          <w:p w14:paraId="48552C8E">
            <w:pPr>
              <w:pStyle w:val="44"/>
              <w:rPr>
                <w:color w:val="auto"/>
              </w:rPr>
            </w:pPr>
            <w:r>
              <w:rPr>
                <w:color w:val="auto"/>
              </w:rPr>
              <w:t>4</w:t>
            </w:r>
          </w:p>
        </w:tc>
        <w:tc>
          <w:tcPr>
            <w:tcW w:w="1992" w:type="pct"/>
            <w:gridSpan w:val="2"/>
            <w:tcBorders>
              <w:top w:val="single" w:color="auto" w:sz="4" w:space="0"/>
              <w:left w:val="nil"/>
              <w:bottom w:val="single" w:color="auto" w:sz="4" w:space="0"/>
              <w:right w:val="single" w:color="auto" w:sz="4" w:space="0"/>
            </w:tcBorders>
            <w:noWrap/>
            <w:vAlign w:val="center"/>
          </w:tcPr>
          <w:p w14:paraId="4732C996">
            <w:pPr>
              <w:pStyle w:val="44"/>
              <w:rPr>
                <w:color w:val="auto"/>
              </w:rPr>
            </w:pPr>
            <w:r>
              <w:rPr>
                <w:color w:val="auto"/>
              </w:rPr>
              <w:t>道路交通设施用地</w:t>
            </w:r>
          </w:p>
        </w:tc>
        <w:tc>
          <w:tcPr>
            <w:tcW w:w="839" w:type="pct"/>
            <w:tcBorders>
              <w:top w:val="nil"/>
              <w:left w:val="nil"/>
              <w:bottom w:val="single" w:color="auto" w:sz="4" w:space="0"/>
              <w:right w:val="single" w:color="auto" w:sz="4" w:space="0"/>
            </w:tcBorders>
            <w:noWrap/>
            <w:vAlign w:val="center"/>
          </w:tcPr>
          <w:p w14:paraId="4A59C227">
            <w:pPr>
              <w:pStyle w:val="44"/>
              <w:rPr>
                <w:color w:val="auto"/>
              </w:rPr>
            </w:pPr>
            <w:r>
              <w:rPr>
                <w:color w:val="auto"/>
              </w:rPr>
              <w:t>S</w:t>
            </w:r>
          </w:p>
        </w:tc>
        <w:tc>
          <w:tcPr>
            <w:tcW w:w="687" w:type="pct"/>
            <w:tcBorders>
              <w:top w:val="nil"/>
              <w:left w:val="nil"/>
              <w:bottom w:val="single" w:color="auto" w:sz="4" w:space="0"/>
              <w:right w:val="single" w:color="auto" w:sz="4" w:space="0"/>
            </w:tcBorders>
            <w:vAlign w:val="center"/>
          </w:tcPr>
          <w:p w14:paraId="605CB1FE">
            <w:pPr>
              <w:pStyle w:val="44"/>
              <w:rPr>
                <w:color w:val="auto"/>
              </w:rPr>
            </w:pPr>
            <w:r>
              <w:rPr>
                <w:color w:val="auto"/>
              </w:rPr>
              <w:t xml:space="preserve">50.71 </w:t>
            </w:r>
          </w:p>
        </w:tc>
        <w:tc>
          <w:tcPr>
            <w:tcW w:w="1050" w:type="pct"/>
            <w:tcBorders>
              <w:top w:val="nil"/>
              <w:left w:val="nil"/>
              <w:bottom w:val="single" w:color="auto" w:sz="4" w:space="0"/>
              <w:right w:val="single" w:color="auto" w:sz="12" w:space="0"/>
            </w:tcBorders>
            <w:vAlign w:val="center"/>
          </w:tcPr>
          <w:p w14:paraId="2954DEFD">
            <w:pPr>
              <w:pStyle w:val="44"/>
              <w:rPr>
                <w:color w:val="auto"/>
              </w:rPr>
            </w:pPr>
            <w:r>
              <w:rPr>
                <w:color w:val="auto"/>
              </w:rPr>
              <w:t xml:space="preserve">16.92 </w:t>
            </w:r>
          </w:p>
        </w:tc>
      </w:tr>
      <w:tr w14:paraId="51C96422">
        <w:tblPrEx>
          <w:tblCellMar>
            <w:top w:w="0" w:type="dxa"/>
            <w:left w:w="108" w:type="dxa"/>
            <w:bottom w:w="0" w:type="dxa"/>
            <w:right w:w="108" w:type="dxa"/>
          </w:tblCellMar>
        </w:tblPrEx>
        <w:trPr>
          <w:trHeight w:val="283" w:hRule="atLeast"/>
        </w:trPr>
        <w:tc>
          <w:tcPr>
            <w:tcW w:w="432" w:type="pct"/>
            <w:vMerge w:val="restart"/>
            <w:tcBorders>
              <w:top w:val="nil"/>
              <w:left w:val="single" w:color="auto" w:sz="12" w:space="0"/>
              <w:bottom w:val="single" w:color="auto" w:sz="4" w:space="0"/>
              <w:right w:val="single" w:color="auto" w:sz="4" w:space="0"/>
            </w:tcBorders>
            <w:noWrap/>
            <w:vAlign w:val="center"/>
          </w:tcPr>
          <w:p w14:paraId="4F59964A">
            <w:pPr>
              <w:pStyle w:val="44"/>
              <w:rPr>
                <w:color w:val="auto"/>
              </w:rPr>
            </w:pPr>
            <w:r>
              <w:rPr>
                <w:color w:val="auto"/>
              </w:rPr>
              <w:t>5</w:t>
            </w:r>
          </w:p>
        </w:tc>
        <w:tc>
          <w:tcPr>
            <w:tcW w:w="1992" w:type="pct"/>
            <w:gridSpan w:val="2"/>
            <w:tcBorders>
              <w:top w:val="single" w:color="auto" w:sz="4" w:space="0"/>
              <w:left w:val="nil"/>
              <w:bottom w:val="single" w:color="auto" w:sz="4" w:space="0"/>
              <w:right w:val="single" w:color="auto" w:sz="4" w:space="0"/>
            </w:tcBorders>
            <w:vAlign w:val="center"/>
          </w:tcPr>
          <w:p w14:paraId="15DEB196">
            <w:pPr>
              <w:pStyle w:val="44"/>
              <w:rPr>
                <w:color w:val="auto"/>
              </w:rPr>
            </w:pPr>
            <w:r>
              <w:rPr>
                <w:color w:val="auto"/>
              </w:rPr>
              <w:t>公园与防护用地</w:t>
            </w:r>
          </w:p>
        </w:tc>
        <w:tc>
          <w:tcPr>
            <w:tcW w:w="839" w:type="pct"/>
            <w:tcBorders>
              <w:top w:val="nil"/>
              <w:left w:val="nil"/>
              <w:bottom w:val="single" w:color="auto" w:sz="4" w:space="0"/>
              <w:right w:val="single" w:color="auto" w:sz="4" w:space="0"/>
            </w:tcBorders>
            <w:vAlign w:val="center"/>
          </w:tcPr>
          <w:p w14:paraId="7E4B7DB9">
            <w:pPr>
              <w:pStyle w:val="44"/>
              <w:rPr>
                <w:color w:val="auto"/>
              </w:rPr>
            </w:pPr>
            <w:r>
              <w:rPr>
                <w:color w:val="auto"/>
              </w:rPr>
              <w:t>G</w:t>
            </w:r>
          </w:p>
        </w:tc>
        <w:tc>
          <w:tcPr>
            <w:tcW w:w="687" w:type="pct"/>
            <w:tcBorders>
              <w:top w:val="nil"/>
              <w:left w:val="nil"/>
              <w:bottom w:val="single" w:color="auto" w:sz="4" w:space="0"/>
              <w:right w:val="single" w:color="auto" w:sz="4" w:space="0"/>
            </w:tcBorders>
            <w:vAlign w:val="center"/>
          </w:tcPr>
          <w:p w14:paraId="703ABCBC">
            <w:pPr>
              <w:pStyle w:val="44"/>
              <w:rPr>
                <w:color w:val="auto"/>
              </w:rPr>
            </w:pPr>
            <w:r>
              <w:rPr>
                <w:color w:val="auto"/>
              </w:rPr>
              <w:t xml:space="preserve">16.85 </w:t>
            </w:r>
          </w:p>
        </w:tc>
        <w:tc>
          <w:tcPr>
            <w:tcW w:w="1050" w:type="pct"/>
            <w:tcBorders>
              <w:top w:val="nil"/>
              <w:left w:val="nil"/>
              <w:bottom w:val="single" w:color="auto" w:sz="4" w:space="0"/>
              <w:right w:val="single" w:color="auto" w:sz="12" w:space="0"/>
            </w:tcBorders>
            <w:vAlign w:val="center"/>
          </w:tcPr>
          <w:p w14:paraId="24FCE53C">
            <w:pPr>
              <w:pStyle w:val="44"/>
              <w:rPr>
                <w:color w:val="auto"/>
              </w:rPr>
            </w:pPr>
            <w:r>
              <w:rPr>
                <w:color w:val="auto"/>
              </w:rPr>
              <w:t xml:space="preserve">5.62 </w:t>
            </w:r>
          </w:p>
        </w:tc>
      </w:tr>
      <w:tr w14:paraId="723C3D74">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734E41A3">
            <w:pPr>
              <w:pStyle w:val="44"/>
              <w:rPr>
                <w:color w:val="auto"/>
              </w:rPr>
            </w:pPr>
          </w:p>
        </w:tc>
        <w:tc>
          <w:tcPr>
            <w:tcW w:w="618" w:type="pct"/>
            <w:vMerge w:val="restart"/>
            <w:tcBorders>
              <w:top w:val="nil"/>
              <w:left w:val="single" w:color="auto" w:sz="4" w:space="0"/>
              <w:bottom w:val="single" w:color="auto" w:sz="4" w:space="0"/>
              <w:right w:val="single" w:color="auto" w:sz="4" w:space="0"/>
            </w:tcBorders>
            <w:vAlign w:val="center"/>
          </w:tcPr>
          <w:p w14:paraId="53DD05A6">
            <w:pPr>
              <w:pStyle w:val="44"/>
              <w:rPr>
                <w:color w:val="auto"/>
              </w:rPr>
            </w:pPr>
            <w:r>
              <w:rPr>
                <w:color w:val="auto"/>
              </w:rPr>
              <w:t>其中</w:t>
            </w:r>
          </w:p>
        </w:tc>
        <w:tc>
          <w:tcPr>
            <w:tcW w:w="1374" w:type="pct"/>
            <w:tcBorders>
              <w:top w:val="nil"/>
              <w:left w:val="nil"/>
              <w:bottom w:val="single" w:color="auto" w:sz="4" w:space="0"/>
              <w:right w:val="single" w:color="auto" w:sz="4" w:space="0"/>
            </w:tcBorders>
            <w:vAlign w:val="center"/>
          </w:tcPr>
          <w:p w14:paraId="39000F5C">
            <w:pPr>
              <w:pStyle w:val="44"/>
              <w:rPr>
                <w:color w:val="auto"/>
              </w:rPr>
            </w:pPr>
            <w:r>
              <w:rPr>
                <w:color w:val="auto"/>
              </w:rPr>
              <w:t>公园绿地</w:t>
            </w:r>
          </w:p>
        </w:tc>
        <w:tc>
          <w:tcPr>
            <w:tcW w:w="839" w:type="pct"/>
            <w:tcBorders>
              <w:top w:val="nil"/>
              <w:left w:val="nil"/>
              <w:bottom w:val="single" w:color="auto" w:sz="4" w:space="0"/>
              <w:right w:val="single" w:color="auto" w:sz="4" w:space="0"/>
            </w:tcBorders>
            <w:vAlign w:val="center"/>
          </w:tcPr>
          <w:p w14:paraId="50F39B38">
            <w:pPr>
              <w:pStyle w:val="44"/>
              <w:rPr>
                <w:color w:val="auto"/>
              </w:rPr>
            </w:pPr>
            <w:r>
              <w:rPr>
                <w:color w:val="auto"/>
              </w:rPr>
              <w:t>G1</w:t>
            </w:r>
          </w:p>
        </w:tc>
        <w:tc>
          <w:tcPr>
            <w:tcW w:w="687" w:type="pct"/>
            <w:tcBorders>
              <w:top w:val="nil"/>
              <w:left w:val="nil"/>
              <w:bottom w:val="single" w:color="auto" w:sz="4" w:space="0"/>
              <w:right w:val="single" w:color="auto" w:sz="4" w:space="0"/>
            </w:tcBorders>
            <w:vAlign w:val="center"/>
          </w:tcPr>
          <w:p w14:paraId="00DC5DA7">
            <w:pPr>
              <w:pStyle w:val="44"/>
              <w:rPr>
                <w:color w:val="auto"/>
              </w:rPr>
            </w:pPr>
            <w:r>
              <w:rPr>
                <w:color w:val="auto"/>
              </w:rPr>
              <w:t xml:space="preserve">2.96 </w:t>
            </w:r>
          </w:p>
        </w:tc>
        <w:tc>
          <w:tcPr>
            <w:tcW w:w="1050" w:type="pct"/>
            <w:tcBorders>
              <w:top w:val="nil"/>
              <w:left w:val="nil"/>
              <w:bottom w:val="single" w:color="auto" w:sz="4" w:space="0"/>
              <w:right w:val="single" w:color="auto" w:sz="12" w:space="0"/>
            </w:tcBorders>
            <w:vAlign w:val="center"/>
          </w:tcPr>
          <w:p w14:paraId="2E58F6E2">
            <w:pPr>
              <w:pStyle w:val="44"/>
              <w:rPr>
                <w:color w:val="auto"/>
              </w:rPr>
            </w:pPr>
          </w:p>
        </w:tc>
      </w:tr>
      <w:tr w14:paraId="3EB76A6D">
        <w:tblPrEx>
          <w:tblCellMar>
            <w:top w:w="0" w:type="dxa"/>
            <w:left w:w="108" w:type="dxa"/>
            <w:bottom w:w="0" w:type="dxa"/>
            <w:right w:w="108" w:type="dxa"/>
          </w:tblCellMar>
        </w:tblPrEx>
        <w:trPr>
          <w:trHeight w:val="283" w:hRule="atLeast"/>
        </w:trPr>
        <w:tc>
          <w:tcPr>
            <w:tcW w:w="432" w:type="pct"/>
            <w:vMerge w:val="continue"/>
            <w:tcBorders>
              <w:top w:val="nil"/>
              <w:left w:val="single" w:color="auto" w:sz="12" w:space="0"/>
              <w:bottom w:val="single" w:color="auto" w:sz="4" w:space="0"/>
              <w:right w:val="single" w:color="auto" w:sz="4" w:space="0"/>
            </w:tcBorders>
            <w:vAlign w:val="center"/>
          </w:tcPr>
          <w:p w14:paraId="3D444F99">
            <w:pPr>
              <w:pStyle w:val="44"/>
              <w:rPr>
                <w:color w:val="auto"/>
              </w:rPr>
            </w:pPr>
          </w:p>
        </w:tc>
        <w:tc>
          <w:tcPr>
            <w:tcW w:w="618" w:type="pct"/>
            <w:vMerge w:val="continue"/>
            <w:tcBorders>
              <w:top w:val="nil"/>
              <w:left w:val="single" w:color="auto" w:sz="4" w:space="0"/>
              <w:bottom w:val="single" w:color="auto" w:sz="4" w:space="0"/>
              <w:right w:val="single" w:color="auto" w:sz="4" w:space="0"/>
            </w:tcBorders>
            <w:vAlign w:val="center"/>
          </w:tcPr>
          <w:p w14:paraId="4DD8A898">
            <w:pPr>
              <w:pStyle w:val="44"/>
              <w:rPr>
                <w:color w:val="auto"/>
              </w:rPr>
            </w:pPr>
          </w:p>
        </w:tc>
        <w:tc>
          <w:tcPr>
            <w:tcW w:w="1374" w:type="pct"/>
            <w:tcBorders>
              <w:top w:val="nil"/>
              <w:left w:val="nil"/>
              <w:bottom w:val="single" w:color="auto" w:sz="4" w:space="0"/>
              <w:right w:val="single" w:color="auto" w:sz="4" w:space="0"/>
            </w:tcBorders>
            <w:vAlign w:val="center"/>
          </w:tcPr>
          <w:p w14:paraId="461D31F1">
            <w:pPr>
              <w:pStyle w:val="44"/>
              <w:rPr>
                <w:color w:val="auto"/>
              </w:rPr>
            </w:pPr>
            <w:r>
              <w:rPr>
                <w:color w:val="auto"/>
              </w:rPr>
              <w:t>防护绿地</w:t>
            </w:r>
          </w:p>
        </w:tc>
        <w:tc>
          <w:tcPr>
            <w:tcW w:w="839" w:type="pct"/>
            <w:tcBorders>
              <w:top w:val="nil"/>
              <w:left w:val="nil"/>
              <w:bottom w:val="single" w:color="auto" w:sz="4" w:space="0"/>
              <w:right w:val="single" w:color="auto" w:sz="4" w:space="0"/>
            </w:tcBorders>
            <w:vAlign w:val="center"/>
          </w:tcPr>
          <w:p w14:paraId="402E2990">
            <w:pPr>
              <w:pStyle w:val="44"/>
              <w:rPr>
                <w:color w:val="auto"/>
              </w:rPr>
            </w:pPr>
            <w:r>
              <w:rPr>
                <w:color w:val="auto"/>
              </w:rPr>
              <w:t>G2</w:t>
            </w:r>
          </w:p>
        </w:tc>
        <w:tc>
          <w:tcPr>
            <w:tcW w:w="687" w:type="pct"/>
            <w:tcBorders>
              <w:top w:val="nil"/>
              <w:left w:val="nil"/>
              <w:bottom w:val="single" w:color="auto" w:sz="4" w:space="0"/>
              <w:right w:val="single" w:color="auto" w:sz="4" w:space="0"/>
            </w:tcBorders>
            <w:vAlign w:val="center"/>
          </w:tcPr>
          <w:p w14:paraId="66858C53">
            <w:pPr>
              <w:pStyle w:val="44"/>
              <w:rPr>
                <w:color w:val="auto"/>
              </w:rPr>
            </w:pPr>
            <w:r>
              <w:rPr>
                <w:color w:val="auto"/>
              </w:rPr>
              <w:t xml:space="preserve">13.89 </w:t>
            </w:r>
          </w:p>
        </w:tc>
        <w:tc>
          <w:tcPr>
            <w:tcW w:w="1050" w:type="pct"/>
            <w:tcBorders>
              <w:top w:val="nil"/>
              <w:left w:val="nil"/>
              <w:bottom w:val="single" w:color="auto" w:sz="4" w:space="0"/>
              <w:right w:val="single" w:color="auto" w:sz="12" w:space="0"/>
            </w:tcBorders>
            <w:vAlign w:val="center"/>
          </w:tcPr>
          <w:p w14:paraId="1518A3B9">
            <w:pPr>
              <w:pStyle w:val="44"/>
              <w:rPr>
                <w:color w:val="auto"/>
              </w:rPr>
            </w:pPr>
          </w:p>
        </w:tc>
      </w:tr>
      <w:tr w14:paraId="6936B24F">
        <w:tblPrEx>
          <w:tblCellMar>
            <w:top w:w="0" w:type="dxa"/>
            <w:left w:w="108" w:type="dxa"/>
            <w:bottom w:w="0" w:type="dxa"/>
            <w:right w:w="108" w:type="dxa"/>
          </w:tblCellMar>
        </w:tblPrEx>
        <w:trPr>
          <w:trHeight w:val="283" w:hRule="atLeast"/>
        </w:trPr>
        <w:tc>
          <w:tcPr>
            <w:tcW w:w="432" w:type="pct"/>
            <w:tcBorders>
              <w:top w:val="nil"/>
              <w:left w:val="single" w:color="auto" w:sz="12" w:space="0"/>
              <w:bottom w:val="single" w:color="auto" w:sz="4" w:space="0"/>
              <w:right w:val="single" w:color="auto" w:sz="4" w:space="0"/>
            </w:tcBorders>
            <w:vAlign w:val="center"/>
          </w:tcPr>
          <w:p w14:paraId="6270463B">
            <w:pPr>
              <w:pStyle w:val="44"/>
              <w:rPr>
                <w:color w:val="auto"/>
              </w:rPr>
            </w:pPr>
            <w:r>
              <w:rPr>
                <w:color w:val="auto"/>
              </w:rPr>
              <w:t>6</w:t>
            </w:r>
          </w:p>
        </w:tc>
        <w:tc>
          <w:tcPr>
            <w:tcW w:w="1992" w:type="pct"/>
            <w:gridSpan w:val="2"/>
            <w:tcBorders>
              <w:top w:val="single" w:color="auto" w:sz="4" w:space="0"/>
              <w:left w:val="nil"/>
              <w:bottom w:val="single" w:color="auto" w:sz="4" w:space="0"/>
              <w:right w:val="single" w:color="auto" w:sz="4" w:space="0"/>
            </w:tcBorders>
            <w:vAlign w:val="center"/>
          </w:tcPr>
          <w:p w14:paraId="40F20FEF">
            <w:pPr>
              <w:pStyle w:val="44"/>
              <w:rPr>
                <w:color w:val="auto"/>
              </w:rPr>
            </w:pPr>
            <w:r>
              <w:rPr>
                <w:color w:val="auto"/>
              </w:rPr>
              <w:t>总建设用地</w:t>
            </w:r>
          </w:p>
        </w:tc>
        <w:tc>
          <w:tcPr>
            <w:tcW w:w="839" w:type="pct"/>
            <w:tcBorders>
              <w:top w:val="nil"/>
              <w:left w:val="nil"/>
              <w:bottom w:val="single" w:color="auto" w:sz="4" w:space="0"/>
              <w:right w:val="single" w:color="auto" w:sz="4" w:space="0"/>
            </w:tcBorders>
            <w:vAlign w:val="center"/>
          </w:tcPr>
          <w:p w14:paraId="7E85017F">
            <w:pPr>
              <w:pStyle w:val="44"/>
              <w:rPr>
                <w:color w:val="auto"/>
              </w:rPr>
            </w:pPr>
            <w:r>
              <w:rPr>
                <w:color w:val="auto"/>
              </w:rPr>
              <w:t>　</w:t>
            </w:r>
          </w:p>
        </w:tc>
        <w:tc>
          <w:tcPr>
            <w:tcW w:w="687" w:type="pct"/>
            <w:tcBorders>
              <w:top w:val="nil"/>
              <w:left w:val="nil"/>
              <w:bottom w:val="single" w:color="auto" w:sz="4" w:space="0"/>
              <w:right w:val="single" w:color="auto" w:sz="4" w:space="0"/>
            </w:tcBorders>
            <w:vAlign w:val="center"/>
          </w:tcPr>
          <w:p w14:paraId="12092866">
            <w:pPr>
              <w:pStyle w:val="44"/>
              <w:rPr>
                <w:color w:val="auto"/>
              </w:rPr>
            </w:pPr>
            <w:r>
              <w:rPr>
                <w:color w:val="auto"/>
              </w:rPr>
              <w:t xml:space="preserve">299.74 </w:t>
            </w:r>
          </w:p>
        </w:tc>
        <w:tc>
          <w:tcPr>
            <w:tcW w:w="1050" w:type="pct"/>
            <w:tcBorders>
              <w:top w:val="nil"/>
              <w:left w:val="nil"/>
              <w:bottom w:val="single" w:color="auto" w:sz="4" w:space="0"/>
              <w:right w:val="single" w:color="auto" w:sz="12" w:space="0"/>
            </w:tcBorders>
            <w:vAlign w:val="center"/>
          </w:tcPr>
          <w:p w14:paraId="50750C4E">
            <w:pPr>
              <w:pStyle w:val="44"/>
              <w:rPr>
                <w:color w:val="auto"/>
              </w:rPr>
            </w:pPr>
            <w:r>
              <w:rPr>
                <w:color w:val="auto"/>
              </w:rPr>
              <w:t xml:space="preserve">100.00 </w:t>
            </w:r>
          </w:p>
        </w:tc>
      </w:tr>
      <w:tr w14:paraId="3FCD6F34">
        <w:tblPrEx>
          <w:tblCellMar>
            <w:top w:w="0" w:type="dxa"/>
            <w:left w:w="108" w:type="dxa"/>
            <w:bottom w:w="0" w:type="dxa"/>
            <w:right w:w="108" w:type="dxa"/>
          </w:tblCellMar>
        </w:tblPrEx>
        <w:trPr>
          <w:trHeight w:val="283" w:hRule="atLeast"/>
        </w:trPr>
        <w:tc>
          <w:tcPr>
            <w:tcW w:w="432" w:type="pct"/>
            <w:tcBorders>
              <w:top w:val="nil"/>
              <w:left w:val="single" w:color="auto" w:sz="12" w:space="0"/>
              <w:bottom w:val="single" w:color="auto" w:sz="4" w:space="0"/>
              <w:right w:val="single" w:color="auto" w:sz="4" w:space="0"/>
            </w:tcBorders>
            <w:vAlign w:val="center"/>
          </w:tcPr>
          <w:p w14:paraId="76BF664B">
            <w:pPr>
              <w:pStyle w:val="44"/>
              <w:rPr>
                <w:color w:val="auto"/>
              </w:rPr>
            </w:pPr>
            <w:r>
              <w:rPr>
                <w:color w:val="auto"/>
              </w:rPr>
              <w:t>7</w:t>
            </w:r>
          </w:p>
        </w:tc>
        <w:tc>
          <w:tcPr>
            <w:tcW w:w="1992" w:type="pct"/>
            <w:gridSpan w:val="2"/>
            <w:tcBorders>
              <w:top w:val="single" w:color="auto" w:sz="4" w:space="0"/>
              <w:left w:val="nil"/>
              <w:bottom w:val="single" w:color="auto" w:sz="4" w:space="0"/>
              <w:right w:val="single" w:color="auto" w:sz="4" w:space="0"/>
            </w:tcBorders>
            <w:vAlign w:val="center"/>
          </w:tcPr>
          <w:p w14:paraId="6B02F76F">
            <w:pPr>
              <w:pStyle w:val="44"/>
              <w:rPr>
                <w:color w:val="auto"/>
              </w:rPr>
            </w:pPr>
            <w:r>
              <w:rPr>
                <w:color w:val="auto"/>
              </w:rPr>
              <w:t>非建设用地</w:t>
            </w:r>
          </w:p>
        </w:tc>
        <w:tc>
          <w:tcPr>
            <w:tcW w:w="839" w:type="pct"/>
            <w:tcBorders>
              <w:top w:val="nil"/>
              <w:left w:val="nil"/>
              <w:bottom w:val="single" w:color="auto" w:sz="4" w:space="0"/>
              <w:right w:val="single" w:color="auto" w:sz="4" w:space="0"/>
            </w:tcBorders>
            <w:vAlign w:val="center"/>
          </w:tcPr>
          <w:p w14:paraId="00D61F34">
            <w:pPr>
              <w:pStyle w:val="44"/>
              <w:rPr>
                <w:color w:val="auto"/>
              </w:rPr>
            </w:pPr>
            <w:r>
              <w:rPr>
                <w:color w:val="auto"/>
              </w:rPr>
              <w:t>E</w:t>
            </w:r>
          </w:p>
        </w:tc>
        <w:tc>
          <w:tcPr>
            <w:tcW w:w="687" w:type="pct"/>
            <w:tcBorders>
              <w:top w:val="nil"/>
              <w:left w:val="nil"/>
              <w:bottom w:val="single" w:color="auto" w:sz="4" w:space="0"/>
              <w:right w:val="single" w:color="auto" w:sz="4" w:space="0"/>
            </w:tcBorders>
            <w:vAlign w:val="center"/>
          </w:tcPr>
          <w:p w14:paraId="5E2102A4">
            <w:pPr>
              <w:pStyle w:val="44"/>
              <w:rPr>
                <w:color w:val="auto"/>
              </w:rPr>
            </w:pPr>
            <w:r>
              <w:rPr>
                <w:color w:val="auto"/>
              </w:rPr>
              <w:t xml:space="preserve">55.11 </w:t>
            </w:r>
          </w:p>
        </w:tc>
        <w:tc>
          <w:tcPr>
            <w:tcW w:w="1050" w:type="pct"/>
            <w:tcBorders>
              <w:top w:val="nil"/>
              <w:left w:val="nil"/>
              <w:bottom w:val="single" w:color="auto" w:sz="4" w:space="0"/>
              <w:right w:val="single" w:color="auto" w:sz="12" w:space="0"/>
            </w:tcBorders>
            <w:noWrap/>
            <w:vAlign w:val="center"/>
          </w:tcPr>
          <w:p w14:paraId="1F512FDD">
            <w:pPr>
              <w:pStyle w:val="44"/>
              <w:rPr>
                <w:color w:val="auto"/>
              </w:rPr>
            </w:pPr>
            <w:r>
              <w:rPr>
                <w:color w:val="auto"/>
              </w:rPr>
              <w:t>　</w:t>
            </w:r>
          </w:p>
        </w:tc>
      </w:tr>
      <w:tr w14:paraId="4BACB077">
        <w:tblPrEx>
          <w:tblCellMar>
            <w:top w:w="0" w:type="dxa"/>
            <w:left w:w="108" w:type="dxa"/>
            <w:bottom w:w="0" w:type="dxa"/>
            <w:right w:w="108" w:type="dxa"/>
          </w:tblCellMar>
        </w:tblPrEx>
        <w:trPr>
          <w:trHeight w:val="283" w:hRule="atLeast"/>
        </w:trPr>
        <w:tc>
          <w:tcPr>
            <w:tcW w:w="432" w:type="pct"/>
            <w:tcBorders>
              <w:top w:val="nil"/>
              <w:left w:val="single" w:color="auto" w:sz="12" w:space="0"/>
              <w:bottom w:val="single" w:color="auto" w:sz="4" w:space="0"/>
              <w:right w:val="single" w:color="auto" w:sz="4" w:space="0"/>
            </w:tcBorders>
            <w:vAlign w:val="center"/>
          </w:tcPr>
          <w:p w14:paraId="451A14F7">
            <w:pPr>
              <w:pStyle w:val="44"/>
              <w:rPr>
                <w:color w:val="auto"/>
              </w:rPr>
            </w:pPr>
            <w:r>
              <w:rPr>
                <w:color w:val="auto"/>
              </w:rPr>
              <w:t>　</w:t>
            </w:r>
          </w:p>
        </w:tc>
        <w:tc>
          <w:tcPr>
            <w:tcW w:w="618" w:type="pct"/>
            <w:tcBorders>
              <w:top w:val="nil"/>
              <w:left w:val="nil"/>
              <w:bottom w:val="single" w:color="auto" w:sz="4" w:space="0"/>
              <w:right w:val="single" w:color="auto" w:sz="4" w:space="0"/>
            </w:tcBorders>
            <w:noWrap/>
            <w:vAlign w:val="center"/>
          </w:tcPr>
          <w:p w14:paraId="71F7F796">
            <w:pPr>
              <w:pStyle w:val="44"/>
              <w:rPr>
                <w:color w:val="auto"/>
              </w:rPr>
            </w:pPr>
            <w:r>
              <w:rPr>
                <w:color w:val="auto"/>
              </w:rPr>
              <w:t>其中</w:t>
            </w:r>
          </w:p>
        </w:tc>
        <w:tc>
          <w:tcPr>
            <w:tcW w:w="1374" w:type="pct"/>
            <w:tcBorders>
              <w:top w:val="nil"/>
              <w:left w:val="nil"/>
              <w:bottom w:val="single" w:color="auto" w:sz="4" w:space="0"/>
              <w:right w:val="single" w:color="auto" w:sz="4" w:space="0"/>
            </w:tcBorders>
            <w:vAlign w:val="center"/>
          </w:tcPr>
          <w:p w14:paraId="36A89D8A">
            <w:pPr>
              <w:pStyle w:val="44"/>
              <w:rPr>
                <w:color w:val="auto"/>
              </w:rPr>
            </w:pPr>
            <w:r>
              <w:rPr>
                <w:color w:val="auto"/>
              </w:rPr>
              <w:t>农林用地</w:t>
            </w:r>
          </w:p>
        </w:tc>
        <w:tc>
          <w:tcPr>
            <w:tcW w:w="839" w:type="pct"/>
            <w:tcBorders>
              <w:top w:val="nil"/>
              <w:left w:val="nil"/>
              <w:bottom w:val="single" w:color="auto" w:sz="4" w:space="0"/>
              <w:right w:val="single" w:color="auto" w:sz="4" w:space="0"/>
            </w:tcBorders>
            <w:vAlign w:val="center"/>
          </w:tcPr>
          <w:p w14:paraId="357AC0A6">
            <w:pPr>
              <w:pStyle w:val="44"/>
              <w:rPr>
                <w:color w:val="auto"/>
              </w:rPr>
            </w:pPr>
            <w:r>
              <w:rPr>
                <w:color w:val="auto"/>
              </w:rPr>
              <w:t>E2</w:t>
            </w:r>
          </w:p>
        </w:tc>
        <w:tc>
          <w:tcPr>
            <w:tcW w:w="687" w:type="pct"/>
            <w:tcBorders>
              <w:top w:val="nil"/>
              <w:left w:val="nil"/>
              <w:bottom w:val="single" w:color="auto" w:sz="4" w:space="0"/>
              <w:right w:val="single" w:color="auto" w:sz="4" w:space="0"/>
            </w:tcBorders>
            <w:vAlign w:val="center"/>
          </w:tcPr>
          <w:p w14:paraId="4D723705">
            <w:pPr>
              <w:pStyle w:val="44"/>
              <w:rPr>
                <w:color w:val="auto"/>
              </w:rPr>
            </w:pPr>
            <w:r>
              <w:rPr>
                <w:color w:val="auto"/>
              </w:rPr>
              <w:t xml:space="preserve">55.11 </w:t>
            </w:r>
          </w:p>
        </w:tc>
        <w:tc>
          <w:tcPr>
            <w:tcW w:w="1050" w:type="pct"/>
            <w:tcBorders>
              <w:top w:val="nil"/>
              <w:left w:val="nil"/>
              <w:bottom w:val="single" w:color="auto" w:sz="4" w:space="0"/>
              <w:right w:val="single" w:color="auto" w:sz="12" w:space="0"/>
            </w:tcBorders>
            <w:noWrap/>
            <w:vAlign w:val="center"/>
          </w:tcPr>
          <w:p w14:paraId="55A36B91">
            <w:pPr>
              <w:pStyle w:val="44"/>
              <w:rPr>
                <w:color w:val="auto"/>
              </w:rPr>
            </w:pPr>
            <w:r>
              <w:rPr>
                <w:color w:val="auto"/>
              </w:rPr>
              <w:t>　</w:t>
            </w:r>
          </w:p>
        </w:tc>
      </w:tr>
      <w:tr w14:paraId="4D28199E">
        <w:tblPrEx>
          <w:tblCellMar>
            <w:top w:w="0" w:type="dxa"/>
            <w:left w:w="108" w:type="dxa"/>
            <w:bottom w:w="0" w:type="dxa"/>
            <w:right w:w="108" w:type="dxa"/>
          </w:tblCellMar>
        </w:tblPrEx>
        <w:trPr>
          <w:trHeight w:val="283" w:hRule="atLeast"/>
        </w:trPr>
        <w:tc>
          <w:tcPr>
            <w:tcW w:w="432" w:type="pct"/>
            <w:tcBorders>
              <w:top w:val="nil"/>
              <w:left w:val="single" w:color="auto" w:sz="12" w:space="0"/>
              <w:bottom w:val="single" w:color="auto" w:sz="12" w:space="0"/>
              <w:right w:val="single" w:color="auto" w:sz="4" w:space="0"/>
            </w:tcBorders>
            <w:vAlign w:val="center"/>
          </w:tcPr>
          <w:p w14:paraId="2167F1BC">
            <w:pPr>
              <w:pStyle w:val="44"/>
              <w:rPr>
                <w:color w:val="auto"/>
              </w:rPr>
            </w:pPr>
            <w:r>
              <w:rPr>
                <w:color w:val="auto"/>
              </w:rPr>
              <w:t>8</w:t>
            </w:r>
          </w:p>
        </w:tc>
        <w:tc>
          <w:tcPr>
            <w:tcW w:w="1992" w:type="pct"/>
            <w:gridSpan w:val="2"/>
            <w:tcBorders>
              <w:top w:val="single" w:color="auto" w:sz="4" w:space="0"/>
              <w:left w:val="nil"/>
              <w:bottom w:val="single" w:color="auto" w:sz="12" w:space="0"/>
              <w:right w:val="single" w:color="auto" w:sz="4" w:space="0"/>
            </w:tcBorders>
            <w:vAlign w:val="center"/>
          </w:tcPr>
          <w:p w14:paraId="741918DF">
            <w:pPr>
              <w:pStyle w:val="44"/>
              <w:rPr>
                <w:color w:val="auto"/>
              </w:rPr>
            </w:pPr>
            <w:r>
              <w:rPr>
                <w:color w:val="auto"/>
              </w:rPr>
              <w:t>规划范围总面积</w:t>
            </w:r>
          </w:p>
        </w:tc>
        <w:tc>
          <w:tcPr>
            <w:tcW w:w="839" w:type="pct"/>
            <w:tcBorders>
              <w:top w:val="nil"/>
              <w:left w:val="nil"/>
              <w:bottom w:val="single" w:color="auto" w:sz="12" w:space="0"/>
              <w:right w:val="single" w:color="auto" w:sz="4" w:space="0"/>
            </w:tcBorders>
            <w:noWrap/>
            <w:vAlign w:val="center"/>
          </w:tcPr>
          <w:p w14:paraId="30B5FC53">
            <w:pPr>
              <w:pStyle w:val="44"/>
              <w:rPr>
                <w:color w:val="auto"/>
              </w:rPr>
            </w:pPr>
            <w:r>
              <w:rPr>
                <w:color w:val="auto"/>
              </w:rPr>
              <w:t>　</w:t>
            </w:r>
          </w:p>
        </w:tc>
        <w:tc>
          <w:tcPr>
            <w:tcW w:w="687" w:type="pct"/>
            <w:tcBorders>
              <w:top w:val="nil"/>
              <w:left w:val="nil"/>
              <w:bottom w:val="single" w:color="auto" w:sz="12" w:space="0"/>
              <w:right w:val="single" w:color="auto" w:sz="4" w:space="0"/>
            </w:tcBorders>
            <w:vAlign w:val="center"/>
          </w:tcPr>
          <w:p w14:paraId="30F227AD">
            <w:pPr>
              <w:pStyle w:val="44"/>
              <w:rPr>
                <w:color w:val="auto"/>
              </w:rPr>
            </w:pPr>
            <w:r>
              <w:rPr>
                <w:color w:val="auto"/>
              </w:rPr>
              <w:t xml:space="preserve">354.85 </w:t>
            </w:r>
          </w:p>
        </w:tc>
        <w:tc>
          <w:tcPr>
            <w:tcW w:w="1050" w:type="pct"/>
            <w:tcBorders>
              <w:top w:val="nil"/>
              <w:left w:val="nil"/>
              <w:bottom w:val="single" w:color="auto" w:sz="12" w:space="0"/>
              <w:right w:val="single" w:color="auto" w:sz="12" w:space="0"/>
            </w:tcBorders>
            <w:noWrap/>
            <w:vAlign w:val="center"/>
          </w:tcPr>
          <w:p w14:paraId="6ECE594B">
            <w:pPr>
              <w:pStyle w:val="44"/>
              <w:rPr>
                <w:color w:val="auto"/>
              </w:rPr>
            </w:pPr>
            <w:r>
              <w:rPr>
                <w:color w:val="auto"/>
              </w:rPr>
              <w:t>　</w:t>
            </w:r>
          </w:p>
        </w:tc>
      </w:tr>
    </w:tbl>
    <w:p w14:paraId="79054920">
      <w:pPr>
        <w:pStyle w:val="4"/>
        <w:numPr>
          <w:ilvl w:val="1"/>
          <w:numId w:val="0"/>
        </w:numPr>
        <w:spacing w:before="166" w:after="166"/>
        <w:rPr>
          <w:color w:val="auto"/>
        </w:rPr>
      </w:pPr>
      <w:bookmarkStart w:id="20" w:name="_Toc1994"/>
      <w:r>
        <w:rPr>
          <w:color w:val="auto"/>
        </w:rPr>
        <w:t>2.3区域产业入住情况及布局</w:t>
      </w:r>
      <w:bookmarkEnd w:id="20"/>
    </w:p>
    <w:p w14:paraId="424352EB">
      <w:pPr>
        <w:pStyle w:val="5"/>
        <w:numPr>
          <w:ilvl w:val="0"/>
          <w:numId w:val="0"/>
        </w:numPr>
        <w:spacing w:before="166" w:after="166"/>
        <w:rPr>
          <w:color w:val="auto"/>
        </w:rPr>
      </w:pPr>
      <w:r>
        <w:rPr>
          <w:color w:val="auto"/>
        </w:rPr>
        <w:t>2.3.1 九龙工业园区A区</w:t>
      </w:r>
    </w:p>
    <w:p w14:paraId="188450D6">
      <w:pPr>
        <w:topLinePunct/>
        <w:ind w:firstLine="480"/>
        <w:rPr>
          <w:color w:val="auto"/>
          <w:szCs w:val="28"/>
        </w:rPr>
      </w:pPr>
      <w:r>
        <w:rPr>
          <w:color w:val="auto"/>
          <w:szCs w:val="28"/>
        </w:rPr>
        <w:t>（1）地块开发现状</w:t>
      </w:r>
    </w:p>
    <w:p w14:paraId="641DD082">
      <w:pPr>
        <w:topLinePunct/>
        <w:ind w:firstLine="480"/>
        <w:rPr>
          <w:color w:val="auto"/>
          <w:szCs w:val="28"/>
        </w:rPr>
      </w:pPr>
      <w:r>
        <w:rPr>
          <w:color w:val="auto"/>
          <w:szCs w:val="28"/>
        </w:rPr>
        <w:t>九龙工业园区（A区）于2009年正式开工建设，截止2021年1月底，园区内各地块陆续进行场平开发利用，开发地块以翼龙路为界，分为东西两侧分期开发建设，其中，东侧地块除了两处待建区域外，基本在2004年～2015年间开发完成；西侧地块除了两处在建外，基本在1999年～2023年间开发完成，</w:t>
      </w:r>
      <w:r>
        <w:rPr>
          <w:b/>
          <w:bCs/>
          <w:color w:val="auto"/>
          <w:szCs w:val="28"/>
        </w:rPr>
        <w:t>A区</w:t>
      </w:r>
      <w:r>
        <w:rPr>
          <w:b/>
          <w:bCs/>
          <w:color w:val="auto"/>
        </w:rPr>
        <w:t>整个</w:t>
      </w:r>
      <w:r>
        <w:rPr>
          <w:b/>
          <w:bCs/>
          <w:color w:val="auto"/>
          <w:szCs w:val="28"/>
        </w:rPr>
        <w:t>园区基本开发完毕</w:t>
      </w:r>
      <w:r>
        <w:rPr>
          <w:color w:val="auto"/>
          <w:szCs w:val="28"/>
        </w:rPr>
        <w:t>，园区场平率100%，地块开发率98.69%，共计168个地块，包括规划功能区、道路管网区、景观绿化区和水域用地区，具体开发利用如下：目前园区功能区已建项目涉及地块98个，建设面积228.47hm</w:t>
      </w:r>
      <w:r>
        <w:rPr>
          <w:color w:val="auto"/>
          <w:szCs w:val="28"/>
          <w:vertAlign w:val="superscript"/>
        </w:rPr>
        <w:t>2</w:t>
      </w:r>
      <w:r>
        <w:rPr>
          <w:color w:val="auto"/>
          <w:szCs w:val="28"/>
        </w:rPr>
        <w:t>，在建项目涉及地块2个，建设面积5.85hm</w:t>
      </w:r>
      <w:r>
        <w:rPr>
          <w:color w:val="auto"/>
          <w:szCs w:val="28"/>
          <w:vertAlign w:val="superscript"/>
        </w:rPr>
        <w:t>2</w:t>
      </w:r>
      <w:r>
        <w:rPr>
          <w:color w:val="auto"/>
          <w:szCs w:val="28"/>
        </w:rPr>
        <w:t>；场平待建项目涉及地块2个，建设面积3.12hm</w:t>
      </w:r>
      <w:r>
        <w:rPr>
          <w:color w:val="auto"/>
          <w:szCs w:val="28"/>
          <w:vertAlign w:val="superscript"/>
        </w:rPr>
        <w:t>2</w:t>
      </w:r>
      <w:r>
        <w:rPr>
          <w:color w:val="auto"/>
          <w:szCs w:val="28"/>
        </w:rPr>
        <w:t>；园区规划建设道路87.27hm</w:t>
      </w:r>
      <w:r>
        <w:rPr>
          <w:color w:val="auto"/>
          <w:szCs w:val="28"/>
          <w:vertAlign w:val="superscript"/>
        </w:rPr>
        <w:t>2</w:t>
      </w:r>
      <w:r>
        <w:rPr>
          <w:color w:val="auto"/>
          <w:szCs w:val="28"/>
        </w:rPr>
        <w:t>/23条，现状均已建设完成；完成配套市政道路设施，交通场站用地7.38hm</w:t>
      </w:r>
      <w:r>
        <w:rPr>
          <w:color w:val="auto"/>
          <w:szCs w:val="28"/>
          <w:vertAlign w:val="superscript"/>
        </w:rPr>
        <w:t>2</w:t>
      </w:r>
      <w:r>
        <w:rPr>
          <w:color w:val="auto"/>
          <w:szCs w:val="28"/>
        </w:rPr>
        <w:t>/7处，完成景观绿化地块71.61hm</w:t>
      </w:r>
      <w:r>
        <w:rPr>
          <w:color w:val="auto"/>
          <w:szCs w:val="28"/>
          <w:vertAlign w:val="superscript"/>
        </w:rPr>
        <w:t>2</w:t>
      </w:r>
      <w:r>
        <w:rPr>
          <w:color w:val="auto"/>
          <w:szCs w:val="28"/>
        </w:rPr>
        <w:t>/56处；水库水域用地17.36hm</w:t>
      </w:r>
      <w:r>
        <w:rPr>
          <w:color w:val="auto"/>
          <w:szCs w:val="28"/>
          <w:vertAlign w:val="superscript"/>
        </w:rPr>
        <w:t>2</w:t>
      </w:r>
      <w:r>
        <w:rPr>
          <w:color w:val="auto"/>
          <w:szCs w:val="28"/>
        </w:rPr>
        <w:t>/3处。</w:t>
      </w:r>
    </w:p>
    <w:p w14:paraId="7E994699">
      <w:pPr>
        <w:topLinePunct/>
        <w:ind w:firstLine="480"/>
        <w:rPr>
          <w:color w:val="auto"/>
          <w:szCs w:val="28"/>
        </w:rPr>
      </w:pPr>
      <w:r>
        <w:rPr>
          <w:color w:val="auto"/>
          <w:szCs w:val="28"/>
        </w:rPr>
        <w:t>具体各区域地块开发现状详见表2.3-1。</w:t>
      </w:r>
    </w:p>
    <w:p w14:paraId="337A3C8D">
      <w:pPr>
        <w:topLinePunct/>
        <w:ind w:firstLine="236" w:firstLineChars="98"/>
        <w:jc w:val="left"/>
        <w:rPr>
          <w:b/>
          <w:bCs/>
          <w:color w:val="auto"/>
          <w:kern w:val="0"/>
          <w:vertAlign w:val="superscript"/>
          <w:lang w:bidi="en-US"/>
        </w:rPr>
      </w:pPr>
      <w:r>
        <w:rPr>
          <w:b/>
          <w:bCs/>
          <w:color w:val="auto"/>
          <w:kern w:val="0"/>
          <w:lang w:bidi="en-US"/>
        </w:rPr>
        <w:t>表2.3-1          九龙工业园区（A区）域地块开发现状         单位：hm</w:t>
      </w:r>
      <w:r>
        <w:rPr>
          <w:b/>
          <w:bCs/>
          <w:color w:val="auto"/>
          <w:kern w:val="0"/>
          <w:vertAlign w:val="superscript"/>
          <w:lang w:bidi="en-US"/>
        </w:rPr>
        <w:t>2</w:t>
      </w:r>
    </w:p>
    <w:tbl>
      <w:tblPr>
        <w:tblStyle w:val="21"/>
        <w:tblW w:w="5000" w:type="pct"/>
        <w:tblInd w:w="0" w:type="dxa"/>
        <w:tblLayout w:type="autofit"/>
        <w:tblCellMar>
          <w:top w:w="0" w:type="dxa"/>
          <w:left w:w="108" w:type="dxa"/>
          <w:bottom w:w="0" w:type="dxa"/>
          <w:right w:w="108" w:type="dxa"/>
        </w:tblCellMar>
      </w:tblPr>
      <w:tblGrid>
        <w:gridCol w:w="1442"/>
        <w:gridCol w:w="1169"/>
        <w:gridCol w:w="1302"/>
        <w:gridCol w:w="1302"/>
        <w:gridCol w:w="1302"/>
        <w:gridCol w:w="1302"/>
        <w:gridCol w:w="1298"/>
      </w:tblGrid>
      <w:tr w14:paraId="5A13EC6E">
        <w:tblPrEx>
          <w:tblCellMar>
            <w:top w:w="0" w:type="dxa"/>
            <w:left w:w="108" w:type="dxa"/>
            <w:bottom w:w="0" w:type="dxa"/>
            <w:right w:w="108" w:type="dxa"/>
          </w:tblCellMar>
        </w:tblPrEx>
        <w:trPr>
          <w:trHeight w:val="300" w:hRule="atLeast"/>
        </w:trPr>
        <w:tc>
          <w:tcPr>
            <w:tcW w:w="1432" w:type="pct"/>
            <w:gridSpan w:val="2"/>
            <w:tcBorders>
              <w:top w:val="single" w:color="auto" w:sz="12" w:space="0"/>
              <w:left w:val="single" w:color="auto" w:sz="12" w:space="0"/>
              <w:bottom w:val="single" w:color="auto" w:sz="4" w:space="0"/>
              <w:right w:val="single" w:color="auto" w:sz="4" w:space="0"/>
            </w:tcBorders>
            <w:noWrap/>
            <w:vAlign w:val="center"/>
          </w:tcPr>
          <w:p w14:paraId="1A17D39A">
            <w:pPr>
              <w:pStyle w:val="44"/>
              <w:rPr>
                <w:color w:val="auto"/>
              </w:rPr>
            </w:pPr>
            <w:r>
              <w:rPr>
                <w:color w:val="auto"/>
              </w:rPr>
              <w:t>类型</w:t>
            </w:r>
          </w:p>
        </w:tc>
        <w:tc>
          <w:tcPr>
            <w:tcW w:w="714" w:type="pct"/>
            <w:tcBorders>
              <w:top w:val="single" w:color="auto" w:sz="12" w:space="0"/>
              <w:left w:val="nil"/>
              <w:bottom w:val="single" w:color="auto" w:sz="4" w:space="0"/>
              <w:right w:val="single" w:color="auto" w:sz="4" w:space="0"/>
            </w:tcBorders>
            <w:noWrap/>
            <w:vAlign w:val="center"/>
          </w:tcPr>
          <w:p w14:paraId="4813A0B4">
            <w:pPr>
              <w:pStyle w:val="44"/>
              <w:rPr>
                <w:color w:val="auto"/>
              </w:rPr>
            </w:pPr>
            <w:r>
              <w:rPr>
                <w:color w:val="auto"/>
              </w:rPr>
              <w:t>已建</w:t>
            </w:r>
          </w:p>
        </w:tc>
        <w:tc>
          <w:tcPr>
            <w:tcW w:w="714" w:type="pct"/>
            <w:tcBorders>
              <w:top w:val="single" w:color="auto" w:sz="12" w:space="0"/>
              <w:left w:val="nil"/>
              <w:bottom w:val="single" w:color="auto" w:sz="4" w:space="0"/>
              <w:right w:val="single" w:color="auto" w:sz="4" w:space="0"/>
            </w:tcBorders>
            <w:noWrap/>
            <w:vAlign w:val="center"/>
          </w:tcPr>
          <w:p w14:paraId="695E320D">
            <w:pPr>
              <w:pStyle w:val="44"/>
              <w:rPr>
                <w:color w:val="auto"/>
              </w:rPr>
            </w:pPr>
            <w:r>
              <w:rPr>
                <w:color w:val="auto"/>
              </w:rPr>
              <w:t>在建</w:t>
            </w:r>
          </w:p>
        </w:tc>
        <w:tc>
          <w:tcPr>
            <w:tcW w:w="714" w:type="pct"/>
            <w:tcBorders>
              <w:top w:val="single" w:color="auto" w:sz="12" w:space="0"/>
              <w:left w:val="nil"/>
              <w:bottom w:val="single" w:color="auto" w:sz="4" w:space="0"/>
              <w:right w:val="single" w:color="auto" w:sz="4" w:space="0"/>
            </w:tcBorders>
            <w:noWrap/>
            <w:vAlign w:val="center"/>
          </w:tcPr>
          <w:p w14:paraId="34C8BDB1">
            <w:pPr>
              <w:pStyle w:val="44"/>
              <w:rPr>
                <w:color w:val="auto"/>
              </w:rPr>
            </w:pPr>
            <w:r>
              <w:rPr>
                <w:color w:val="auto"/>
              </w:rPr>
              <w:t>已场平</w:t>
            </w:r>
          </w:p>
        </w:tc>
        <w:tc>
          <w:tcPr>
            <w:tcW w:w="714" w:type="pct"/>
            <w:tcBorders>
              <w:top w:val="single" w:color="auto" w:sz="12" w:space="0"/>
              <w:left w:val="nil"/>
              <w:bottom w:val="single" w:color="auto" w:sz="4" w:space="0"/>
              <w:right w:val="single" w:color="auto" w:sz="4" w:space="0"/>
            </w:tcBorders>
            <w:noWrap/>
            <w:vAlign w:val="center"/>
          </w:tcPr>
          <w:p w14:paraId="00777B0D">
            <w:pPr>
              <w:pStyle w:val="44"/>
              <w:rPr>
                <w:color w:val="auto"/>
              </w:rPr>
            </w:pPr>
            <w:r>
              <w:rPr>
                <w:color w:val="auto"/>
              </w:rPr>
              <w:t>未建</w:t>
            </w:r>
          </w:p>
        </w:tc>
        <w:tc>
          <w:tcPr>
            <w:tcW w:w="713" w:type="pct"/>
            <w:tcBorders>
              <w:top w:val="single" w:color="auto" w:sz="12" w:space="0"/>
              <w:left w:val="nil"/>
              <w:bottom w:val="single" w:color="auto" w:sz="4" w:space="0"/>
              <w:right w:val="single" w:color="auto" w:sz="12" w:space="0"/>
            </w:tcBorders>
            <w:noWrap/>
            <w:vAlign w:val="center"/>
          </w:tcPr>
          <w:p w14:paraId="7450BA1C">
            <w:pPr>
              <w:pStyle w:val="44"/>
              <w:rPr>
                <w:color w:val="auto"/>
              </w:rPr>
            </w:pPr>
            <w:r>
              <w:rPr>
                <w:color w:val="auto"/>
              </w:rPr>
              <w:t>合计</w:t>
            </w:r>
          </w:p>
        </w:tc>
      </w:tr>
      <w:tr w14:paraId="54CBE7BE">
        <w:tblPrEx>
          <w:tblCellMar>
            <w:top w:w="0" w:type="dxa"/>
            <w:left w:w="108" w:type="dxa"/>
            <w:bottom w:w="0" w:type="dxa"/>
            <w:right w:w="108" w:type="dxa"/>
          </w:tblCellMar>
        </w:tblPrEx>
        <w:trPr>
          <w:trHeight w:val="300" w:hRule="atLeast"/>
        </w:trPr>
        <w:tc>
          <w:tcPr>
            <w:tcW w:w="1432" w:type="pct"/>
            <w:gridSpan w:val="2"/>
            <w:tcBorders>
              <w:top w:val="single" w:color="auto" w:sz="4" w:space="0"/>
              <w:left w:val="single" w:color="auto" w:sz="12" w:space="0"/>
              <w:bottom w:val="single" w:color="auto" w:sz="4" w:space="0"/>
              <w:right w:val="single" w:color="auto" w:sz="4" w:space="0"/>
            </w:tcBorders>
            <w:noWrap/>
            <w:vAlign w:val="center"/>
          </w:tcPr>
          <w:p w14:paraId="659174BA">
            <w:pPr>
              <w:pStyle w:val="44"/>
              <w:rPr>
                <w:color w:val="auto"/>
              </w:rPr>
            </w:pPr>
            <w:r>
              <w:rPr>
                <w:color w:val="auto"/>
              </w:rPr>
              <w:t>规划功能区</w:t>
            </w:r>
          </w:p>
        </w:tc>
        <w:tc>
          <w:tcPr>
            <w:tcW w:w="714" w:type="pct"/>
            <w:tcBorders>
              <w:top w:val="nil"/>
              <w:left w:val="nil"/>
              <w:bottom w:val="single" w:color="auto" w:sz="4" w:space="0"/>
              <w:right w:val="single" w:color="auto" w:sz="4" w:space="0"/>
            </w:tcBorders>
            <w:noWrap/>
            <w:vAlign w:val="center"/>
          </w:tcPr>
          <w:p w14:paraId="1131D4BA">
            <w:pPr>
              <w:pStyle w:val="44"/>
              <w:rPr>
                <w:color w:val="auto"/>
              </w:rPr>
            </w:pPr>
            <w:r>
              <w:rPr>
                <w:color w:val="auto"/>
              </w:rPr>
              <w:t xml:space="preserve">228.47 </w:t>
            </w:r>
          </w:p>
        </w:tc>
        <w:tc>
          <w:tcPr>
            <w:tcW w:w="714" w:type="pct"/>
            <w:tcBorders>
              <w:top w:val="nil"/>
              <w:left w:val="nil"/>
              <w:bottom w:val="single" w:color="auto" w:sz="4" w:space="0"/>
              <w:right w:val="single" w:color="auto" w:sz="4" w:space="0"/>
            </w:tcBorders>
            <w:noWrap/>
            <w:vAlign w:val="center"/>
          </w:tcPr>
          <w:p w14:paraId="32182032">
            <w:pPr>
              <w:pStyle w:val="44"/>
              <w:rPr>
                <w:color w:val="auto"/>
              </w:rPr>
            </w:pPr>
            <w:r>
              <w:rPr>
                <w:color w:val="auto"/>
              </w:rPr>
              <w:t xml:space="preserve">5.85 </w:t>
            </w:r>
          </w:p>
        </w:tc>
        <w:tc>
          <w:tcPr>
            <w:tcW w:w="714" w:type="pct"/>
            <w:tcBorders>
              <w:top w:val="nil"/>
              <w:left w:val="nil"/>
              <w:bottom w:val="single" w:color="auto" w:sz="4" w:space="0"/>
              <w:right w:val="single" w:color="auto" w:sz="4" w:space="0"/>
            </w:tcBorders>
            <w:noWrap/>
            <w:vAlign w:val="center"/>
          </w:tcPr>
          <w:p w14:paraId="0F37F5A7">
            <w:pPr>
              <w:pStyle w:val="44"/>
              <w:rPr>
                <w:color w:val="auto"/>
              </w:rPr>
            </w:pPr>
            <w:r>
              <w:rPr>
                <w:color w:val="auto"/>
              </w:rPr>
              <w:t xml:space="preserve">3.12 </w:t>
            </w:r>
          </w:p>
        </w:tc>
        <w:tc>
          <w:tcPr>
            <w:tcW w:w="714" w:type="pct"/>
            <w:tcBorders>
              <w:top w:val="nil"/>
              <w:left w:val="nil"/>
              <w:bottom w:val="single" w:color="auto" w:sz="4" w:space="0"/>
              <w:right w:val="single" w:color="auto" w:sz="4" w:space="0"/>
            </w:tcBorders>
            <w:noWrap/>
            <w:vAlign w:val="center"/>
          </w:tcPr>
          <w:p w14:paraId="270696F4">
            <w:pPr>
              <w:pStyle w:val="44"/>
              <w:rPr>
                <w:color w:val="auto"/>
              </w:rPr>
            </w:pPr>
            <w:r>
              <w:rPr>
                <w:color w:val="auto"/>
              </w:rPr>
              <w:t xml:space="preserve">0.00 </w:t>
            </w:r>
          </w:p>
        </w:tc>
        <w:tc>
          <w:tcPr>
            <w:tcW w:w="713" w:type="pct"/>
            <w:tcBorders>
              <w:top w:val="nil"/>
              <w:left w:val="nil"/>
              <w:bottom w:val="single" w:color="auto" w:sz="4" w:space="0"/>
              <w:right w:val="single" w:color="auto" w:sz="12" w:space="0"/>
            </w:tcBorders>
            <w:noWrap/>
            <w:vAlign w:val="center"/>
          </w:tcPr>
          <w:p w14:paraId="65E3F4B7">
            <w:pPr>
              <w:pStyle w:val="44"/>
              <w:rPr>
                <w:color w:val="auto"/>
              </w:rPr>
            </w:pPr>
            <w:r>
              <w:rPr>
                <w:color w:val="auto"/>
              </w:rPr>
              <w:t xml:space="preserve">237.44 </w:t>
            </w:r>
          </w:p>
        </w:tc>
      </w:tr>
      <w:tr w14:paraId="2E06C322">
        <w:tblPrEx>
          <w:tblCellMar>
            <w:top w:w="0" w:type="dxa"/>
            <w:left w:w="108" w:type="dxa"/>
            <w:bottom w:w="0" w:type="dxa"/>
            <w:right w:w="108" w:type="dxa"/>
          </w:tblCellMar>
        </w:tblPrEx>
        <w:trPr>
          <w:trHeight w:val="300" w:hRule="atLeast"/>
        </w:trPr>
        <w:tc>
          <w:tcPr>
            <w:tcW w:w="791" w:type="pct"/>
            <w:vMerge w:val="restart"/>
            <w:tcBorders>
              <w:top w:val="nil"/>
              <w:left w:val="single" w:color="auto" w:sz="12" w:space="0"/>
              <w:bottom w:val="single" w:color="auto" w:sz="4" w:space="0"/>
              <w:right w:val="single" w:color="auto" w:sz="4" w:space="0"/>
            </w:tcBorders>
            <w:noWrap/>
            <w:vAlign w:val="center"/>
          </w:tcPr>
          <w:p w14:paraId="5E8F4644">
            <w:pPr>
              <w:pStyle w:val="44"/>
              <w:rPr>
                <w:color w:val="auto"/>
              </w:rPr>
            </w:pPr>
            <w:r>
              <w:rPr>
                <w:color w:val="auto"/>
              </w:rPr>
              <w:t>公共设施</w:t>
            </w:r>
          </w:p>
        </w:tc>
        <w:tc>
          <w:tcPr>
            <w:tcW w:w="641" w:type="pct"/>
            <w:tcBorders>
              <w:top w:val="nil"/>
              <w:left w:val="nil"/>
              <w:bottom w:val="single" w:color="auto" w:sz="4" w:space="0"/>
              <w:right w:val="single" w:color="auto" w:sz="4" w:space="0"/>
            </w:tcBorders>
            <w:noWrap/>
            <w:vAlign w:val="center"/>
          </w:tcPr>
          <w:p w14:paraId="38EAF7E1">
            <w:pPr>
              <w:pStyle w:val="44"/>
              <w:rPr>
                <w:color w:val="auto"/>
              </w:rPr>
            </w:pPr>
            <w:r>
              <w:rPr>
                <w:color w:val="auto"/>
              </w:rPr>
              <w:t>道路工程</w:t>
            </w:r>
          </w:p>
        </w:tc>
        <w:tc>
          <w:tcPr>
            <w:tcW w:w="714" w:type="pct"/>
            <w:tcBorders>
              <w:top w:val="nil"/>
              <w:left w:val="nil"/>
              <w:bottom w:val="single" w:color="auto" w:sz="4" w:space="0"/>
              <w:right w:val="single" w:color="auto" w:sz="4" w:space="0"/>
            </w:tcBorders>
            <w:noWrap/>
            <w:vAlign w:val="center"/>
          </w:tcPr>
          <w:p w14:paraId="4C6B9A79">
            <w:pPr>
              <w:pStyle w:val="44"/>
              <w:rPr>
                <w:color w:val="auto"/>
              </w:rPr>
            </w:pPr>
            <w:r>
              <w:rPr>
                <w:color w:val="auto"/>
              </w:rPr>
              <w:t xml:space="preserve">94.65 </w:t>
            </w:r>
          </w:p>
        </w:tc>
        <w:tc>
          <w:tcPr>
            <w:tcW w:w="714" w:type="pct"/>
            <w:tcBorders>
              <w:top w:val="nil"/>
              <w:left w:val="nil"/>
              <w:bottom w:val="single" w:color="auto" w:sz="4" w:space="0"/>
              <w:right w:val="single" w:color="auto" w:sz="4" w:space="0"/>
            </w:tcBorders>
            <w:noWrap/>
            <w:vAlign w:val="center"/>
          </w:tcPr>
          <w:p w14:paraId="3ABB64A8">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443BC658">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61560BAC">
            <w:pPr>
              <w:pStyle w:val="44"/>
              <w:rPr>
                <w:color w:val="auto"/>
              </w:rPr>
            </w:pPr>
            <w:r>
              <w:rPr>
                <w:color w:val="auto"/>
              </w:rPr>
              <w:t xml:space="preserve">0.00 </w:t>
            </w:r>
          </w:p>
        </w:tc>
        <w:tc>
          <w:tcPr>
            <w:tcW w:w="713" w:type="pct"/>
            <w:tcBorders>
              <w:top w:val="nil"/>
              <w:left w:val="nil"/>
              <w:bottom w:val="single" w:color="auto" w:sz="4" w:space="0"/>
              <w:right w:val="single" w:color="auto" w:sz="12" w:space="0"/>
            </w:tcBorders>
            <w:noWrap/>
            <w:vAlign w:val="center"/>
          </w:tcPr>
          <w:p w14:paraId="384F5599">
            <w:pPr>
              <w:pStyle w:val="44"/>
              <w:rPr>
                <w:color w:val="auto"/>
              </w:rPr>
            </w:pPr>
            <w:r>
              <w:rPr>
                <w:color w:val="auto"/>
              </w:rPr>
              <w:t xml:space="preserve">94.65 </w:t>
            </w:r>
          </w:p>
        </w:tc>
      </w:tr>
      <w:tr w14:paraId="093BFCAA">
        <w:tblPrEx>
          <w:tblCellMar>
            <w:top w:w="0" w:type="dxa"/>
            <w:left w:w="108" w:type="dxa"/>
            <w:bottom w:w="0" w:type="dxa"/>
            <w:right w:w="108" w:type="dxa"/>
          </w:tblCellMar>
        </w:tblPrEx>
        <w:trPr>
          <w:trHeight w:val="300" w:hRule="atLeast"/>
        </w:trPr>
        <w:tc>
          <w:tcPr>
            <w:tcW w:w="791" w:type="pct"/>
            <w:vMerge w:val="continue"/>
            <w:tcBorders>
              <w:top w:val="nil"/>
              <w:left w:val="single" w:color="auto" w:sz="12" w:space="0"/>
              <w:bottom w:val="single" w:color="auto" w:sz="4" w:space="0"/>
              <w:right w:val="single" w:color="auto" w:sz="4" w:space="0"/>
            </w:tcBorders>
            <w:vAlign w:val="center"/>
          </w:tcPr>
          <w:p w14:paraId="10B24836">
            <w:pPr>
              <w:pStyle w:val="44"/>
              <w:rPr>
                <w:color w:val="auto"/>
              </w:rPr>
            </w:pPr>
          </w:p>
        </w:tc>
        <w:tc>
          <w:tcPr>
            <w:tcW w:w="641" w:type="pct"/>
            <w:tcBorders>
              <w:top w:val="nil"/>
              <w:left w:val="nil"/>
              <w:bottom w:val="single" w:color="auto" w:sz="4" w:space="0"/>
              <w:right w:val="single" w:color="auto" w:sz="4" w:space="0"/>
            </w:tcBorders>
            <w:noWrap/>
            <w:vAlign w:val="center"/>
          </w:tcPr>
          <w:p w14:paraId="0C5BA2B7">
            <w:pPr>
              <w:pStyle w:val="44"/>
              <w:rPr>
                <w:color w:val="auto"/>
              </w:rPr>
            </w:pPr>
            <w:r>
              <w:rPr>
                <w:color w:val="auto"/>
              </w:rPr>
              <w:t>景观绿化</w:t>
            </w:r>
          </w:p>
        </w:tc>
        <w:tc>
          <w:tcPr>
            <w:tcW w:w="714" w:type="pct"/>
            <w:tcBorders>
              <w:top w:val="nil"/>
              <w:left w:val="nil"/>
              <w:bottom w:val="single" w:color="auto" w:sz="4" w:space="0"/>
              <w:right w:val="single" w:color="auto" w:sz="4" w:space="0"/>
            </w:tcBorders>
            <w:noWrap/>
            <w:vAlign w:val="center"/>
          </w:tcPr>
          <w:p w14:paraId="1F58CF60">
            <w:pPr>
              <w:pStyle w:val="44"/>
              <w:rPr>
                <w:color w:val="auto"/>
              </w:rPr>
            </w:pPr>
            <w:r>
              <w:rPr>
                <w:color w:val="auto"/>
              </w:rPr>
              <w:t xml:space="preserve">71.61 </w:t>
            </w:r>
          </w:p>
        </w:tc>
        <w:tc>
          <w:tcPr>
            <w:tcW w:w="714" w:type="pct"/>
            <w:tcBorders>
              <w:top w:val="nil"/>
              <w:left w:val="nil"/>
              <w:bottom w:val="single" w:color="auto" w:sz="4" w:space="0"/>
              <w:right w:val="single" w:color="auto" w:sz="4" w:space="0"/>
            </w:tcBorders>
            <w:noWrap/>
            <w:vAlign w:val="center"/>
          </w:tcPr>
          <w:p w14:paraId="2FEDA4BA">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3682CD7F">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3D8C6D7B">
            <w:pPr>
              <w:pStyle w:val="44"/>
              <w:rPr>
                <w:color w:val="auto"/>
              </w:rPr>
            </w:pPr>
            <w:r>
              <w:rPr>
                <w:color w:val="auto"/>
              </w:rPr>
              <w:t xml:space="preserve">0.00 </w:t>
            </w:r>
          </w:p>
        </w:tc>
        <w:tc>
          <w:tcPr>
            <w:tcW w:w="713" w:type="pct"/>
            <w:tcBorders>
              <w:top w:val="nil"/>
              <w:left w:val="nil"/>
              <w:bottom w:val="single" w:color="auto" w:sz="4" w:space="0"/>
              <w:right w:val="single" w:color="auto" w:sz="12" w:space="0"/>
            </w:tcBorders>
            <w:noWrap/>
            <w:vAlign w:val="center"/>
          </w:tcPr>
          <w:p w14:paraId="213EC6F8">
            <w:pPr>
              <w:pStyle w:val="44"/>
              <w:rPr>
                <w:color w:val="auto"/>
              </w:rPr>
            </w:pPr>
            <w:r>
              <w:rPr>
                <w:color w:val="auto"/>
              </w:rPr>
              <w:t xml:space="preserve">71.61 </w:t>
            </w:r>
          </w:p>
        </w:tc>
      </w:tr>
      <w:tr w14:paraId="475134F8">
        <w:tblPrEx>
          <w:tblCellMar>
            <w:top w:w="0" w:type="dxa"/>
            <w:left w:w="108" w:type="dxa"/>
            <w:bottom w:w="0" w:type="dxa"/>
            <w:right w:w="108" w:type="dxa"/>
          </w:tblCellMar>
        </w:tblPrEx>
        <w:trPr>
          <w:trHeight w:val="300" w:hRule="atLeast"/>
        </w:trPr>
        <w:tc>
          <w:tcPr>
            <w:tcW w:w="791" w:type="pct"/>
            <w:tcBorders>
              <w:top w:val="nil"/>
              <w:left w:val="single" w:color="auto" w:sz="12" w:space="0"/>
              <w:bottom w:val="single" w:color="auto" w:sz="4" w:space="0"/>
              <w:right w:val="single" w:color="auto" w:sz="4" w:space="0"/>
            </w:tcBorders>
            <w:noWrap/>
            <w:vAlign w:val="center"/>
          </w:tcPr>
          <w:p w14:paraId="493FC81E">
            <w:pPr>
              <w:pStyle w:val="44"/>
              <w:rPr>
                <w:color w:val="auto"/>
              </w:rPr>
            </w:pPr>
            <w:r>
              <w:rPr>
                <w:color w:val="auto"/>
              </w:rPr>
              <w:t>小计</w:t>
            </w:r>
          </w:p>
        </w:tc>
        <w:tc>
          <w:tcPr>
            <w:tcW w:w="641" w:type="pct"/>
            <w:tcBorders>
              <w:top w:val="nil"/>
              <w:left w:val="nil"/>
              <w:bottom w:val="single" w:color="auto" w:sz="4" w:space="0"/>
              <w:right w:val="single" w:color="auto" w:sz="4" w:space="0"/>
            </w:tcBorders>
            <w:noWrap/>
            <w:vAlign w:val="center"/>
          </w:tcPr>
          <w:p w14:paraId="28550738">
            <w:pPr>
              <w:pStyle w:val="44"/>
              <w:rPr>
                <w:color w:val="auto"/>
              </w:rPr>
            </w:pPr>
            <w:r>
              <w:rPr>
                <w:color w:val="auto"/>
              </w:rPr>
              <w:t>　</w:t>
            </w:r>
          </w:p>
        </w:tc>
        <w:tc>
          <w:tcPr>
            <w:tcW w:w="714" w:type="pct"/>
            <w:tcBorders>
              <w:top w:val="nil"/>
              <w:left w:val="nil"/>
              <w:bottom w:val="single" w:color="auto" w:sz="4" w:space="0"/>
              <w:right w:val="single" w:color="auto" w:sz="4" w:space="0"/>
            </w:tcBorders>
            <w:noWrap/>
            <w:vAlign w:val="center"/>
          </w:tcPr>
          <w:p w14:paraId="0819751D">
            <w:pPr>
              <w:pStyle w:val="44"/>
              <w:rPr>
                <w:color w:val="auto"/>
              </w:rPr>
            </w:pPr>
            <w:r>
              <w:rPr>
                <w:color w:val="auto"/>
              </w:rPr>
              <w:t xml:space="preserve">394.73 </w:t>
            </w:r>
          </w:p>
        </w:tc>
        <w:tc>
          <w:tcPr>
            <w:tcW w:w="714" w:type="pct"/>
            <w:tcBorders>
              <w:top w:val="nil"/>
              <w:left w:val="nil"/>
              <w:bottom w:val="single" w:color="auto" w:sz="4" w:space="0"/>
              <w:right w:val="single" w:color="auto" w:sz="4" w:space="0"/>
            </w:tcBorders>
            <w:noWrap/>
            <w:vAlign w:val="center"/>
          </w:tcPr>
          <w:p w14:paraId="015A3045">
            <w:pPr>
              <w:pStyle w:val="44"/>
              <w:rPr>
                <w:color w:val="auto"/>
              </w:rPr>
            </w:pPr>
            <w:r>
              <w:rPr>
                <w:color w:val="auto"/>
              </w:rPr>
              <w:t xml:space="preserve">5.85 </w:t>
            </w:r>
          </w:p>
        </w:tc>
        <w:tc>
          <w:tcPr>
            <w:tcW w:w="714" w:type="pct"/>
            <w:tcBorders>
              <w:top w:val="nil"/>
              <w:left w:val="nil"/>
              <w:bottom w:val="single" w:color="auto" w:sz="4" w:space="0"/>
              <w:right w:val="single" w:color="auto" w:sz="4" w:space="0"/>
            </w:tcBorders>
            <w:noWrap/>
            <w:vAlign w:val="center"/>
          </w:tcPr>
          <w:p w14:paraId="2B8F19A2">
            <w:pPr>
              <w:pStyle w:val="44"/>
              <w:rPr>
                <w:color w:val="auto"/>
              </w:rPr>
            </w:pPr>
            <w:r>
              <w:rPr>
                <w:color w:val="auto"/>
              </w:rPr>
              <w:t xml:space="preserve">3.12 </w:t>
            </w:r>
          </w:p>
        </w:tc>
        <w:tc>
          <w:tcPr>
            <w:tcW w:w="714" w:type="pct"/>
            <w:tcBorders>
              <w:top w:val="nil"/>
              <w:left w:val="nil"/>
              <w:bottom w:val="single" w:color="auto" w:sz="4" w:space="0"/>
              <w:right w:val="single" w:color="auto" w:sz="4" w:space="0"/>
            </w:tcBorders>
            <w:noWrap/>
            <w:vAlign w:val="center"/>
          </w:tcPr>
          <w:p w14:paraId="54B9DDED">
            <w:pPr>
              <w:pStyle w:val="44"/>
              <w:rPr>
                <w:color w:val="auto"/>
              </w:rPr>
            </w:pPr>
            <w:r>
              <w:rPr>
                <w:color w:val="auto"/>
              </w:rPr>
              <w:t xml:space="preserve">0.00 </w:t>
            </w:r>
          </w:p>
        </w:tc>
        <w:tc>
          <w:tcPr>
            <w:tcW w:w="713" w:type="pct"/>
            <w:tcBorders>
              <w:top w:val="nil"/>
              <w:left w:val="nil"/>
              <w:bottom w:val="single" w:color="auto" w:sz="4" w:space="0"/>
              <w:right w:val="single" w:color="auto" w:sz="12" w:space="0"/>
            </w:tcBorders>
            <w:noWrap/>
            <w:vAlign w:val="center"/>
          </w:tcPr>
          <w:p w14:paraId="3E627C62">
            <w:pPr>
              <w:pStyle w:val="44"/>
              <w:rPr>
                <w:color w:val="auto"/>
              </w:rPr>
            </w:pPr>
            <w:r>
              <w:rPr>
                <w:color w:val="auto"/>
              </w:rPr>
              <w:t xml:space="preserve">403.70 </w:t>
            </w:r>
          </w:p>
        </w:tc>
      </w:tr>
      <w:tr w14:paraId="43A421D8">
        <w:tblPrEx>
          <w:tblCellMar>
            <w:top w:w="0" w:type="dxa"/>
            <w:left w:w="108" w:type="dxa"/>
            <w:bottom w:w="0" w:type="dxa"/>
            <w:right w:w="108" w:type="dxa"/>
          </w:tblCellMar>
        </w:tblPrEx>
        <w:trPr>
          <w:trHeight w:val="300" w:hRule="atLeast"/>
        </w:trPr>
        <w:tc>
          <w:tcPr>
            <w:tcW w:w="791" w:type="pct"/>
            <w:tcBorders>
              <w:top w:val="nil"/>
              <w:left w:val="single" w:color="auto" w:sz="12" w:space="0"/>
              <w:bottom w:val="nil"/>
              <w:right w:val="single" w:color="auto" w:sz="4" w:space="0"/>
            </w:tcBorders>
            <w:noWrap/>
            <w:vAlign w:val="center"/>
          </w:tcPr>
          <w:p w14:paraId="6B3489EC">
            <w:pPr>
              <w:pStyle w:val="44"/>
              <w:rPr>
                <w:color w:val="auto"/>
              </w:rPr>
            </w:pPr>
            <w:r>
              <w:rPr>
                <w:color w:val="auto"/>
              </w:rPr>
              <w:t>非建设用地</w:t>
            </w:r>
          </w:p>
        </w:tc>
        <w:tc>
          <w:tcPr>
            <w:tcW w:w="641" w:type="pct"/>
            <w:tcBorders>
              <w:top w:val="nil"/>
              <w:left w:val="nil"/>
              <w:bottom w:val="single" w:color="auto" w:sz="4" w:space="0"/>
              <w:right w:val="single" w:color="auto" w:sz="4" w:space="0"/>
            </w:tcBorders>
            <w:noWrap/>
            <w:vAlign w:val="center"/>
          </w:tcPr>
          <w:p w14:paraId="0EEFCA0B">
            <w:pPr>
              <w:pStyle w:val="44"/>
              <w:rPr>
                <w:color w:val="auto"/>
              </w:rPr>
            </w:pPr>
            <w:r>
              <w:rPr>
                <w:color w:val="auto"/>
              </w:rPr>
              <w:t>水域</w:t>
            </w:r>
          </w:p>
        </w:tc>
        <w:tc>
          <w:tcPr>
            <w:tcW w:w="714" w:type="pct"/>
            <w:tcBorders>
              <w:top w:val="nil"/>
              <w:left w:val="nil"/>
              <w:bottom w:val="single" w:color="auto" w:sz="4" w:space="0"/>
              <w:right w:val="single" w:color="auto" w:sz="4" w:space="0"/>
            </w:tcBorders>
            <w:noWrap/>
            <w:vAlign w:val="center"/>
          </w:tcPr>
          <w:p w14:paraId="402941D9">
            <w:pPr>
              <w:pStyle w:val="44"/>
              <w:rPr>
                <w:color w:val="auto"/>
              </w:rPr>
            </w:pPr>
            <w:r>
              <w:rPr>
                <w:color w:val="auto"/>
              </w:rPr>
              <w:t xml:space="preserve">17.36 </w:t>
            </w:r>
          </w:p>
        </w:tc>
        <w:tc>
          <w:tcPr>
            <w:tcW w:w="714" w:type="pct"/>
            <w:tcBorders>
              <w:top w:val="nil"/>
              <w:left w:val="nil"/>
              <w:bottom w:val="single" w:color="auto" w:sz="4" w:space="0"/>
              <w:right w:val="single" w:color="auto" w:sz="4" w:space="0"/>
            </w:tcBorders>
            <w:noWrap/>
            <w:vAlign w:val="center"/>
          </w:tcPr>
          <w:p w14:paraId="2337AC02">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5C3E7368">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204CDEF5">
            <w:pPr>
              <w:pStyle w:val="44"/>
              <w:rPr>
                <w:color w:val="auto"/>
              </w:rPr>
            </w:pPr>
            <w:r>
              <w:rPr>
                <w:color w:val="auto"/>
              </w:rPr>
              <w:t xml:space="preserve">0.00 </w:t>
            </w:r>
          </w:p>
        </w:tc>
        <w:tc>
          <w:tcPr>
            <w:tcW w:w="713" w:type="pct"/>
            <w:tcBorders>
              <w:top w:val="nil"/>
              <w:left w:val="nil"/>
              <w:bottom w:val="single" w:color="auto" w:sz="4" w:space="0"/>
              <w:right w:val="single" w:color="auto" w:sz="12" w:space="0"/>
            </w:tcBorders>
            <w:noWrap/>
            <w:vAlign w:val="center"/>
          </w:tcPr>
          <w:p w14:paraId="32ACB5AD">
            <w:pPr>
              <w:pStyle w:val="44"/>
              <w:rPr>
                <w:color w:val="auto"/>
              </w:rPr>
            </w:pPr>
            <w:r>
              <w:rPr>
                <w:color w:val="auto"/>
              </w:rPr>
              <w:t xml:space="preserve">17.36 </w:t>
            </w:r>
          </w:p>
        </w:tc>
      </w:tr>
      <w:tr w14:paraId="03D7D81C">
        <w:tblPrEx>
          <w:tblCellMar>
            <w:top w:w="0" w:type="dxa"/>
            <w:left w:w="108" w:type="dxa"/>
            <w:bottom w:w="0" w:type="dxa"/>
            <w:right w:w="108" w:type="dxa"/>
          </w:tblCellMar>
        </w:tblPrEx>
        <w:trPr>
          <w:trHeight w:val="300" w:hRule="atLeast"/>
        </w:trPr>
        <w:tc>
          <w:tcPr>
            <w:tcW w:w="1432" w:type="pct"/>
            <w:gridSpan w:val="2"/>
            <w:tcBorders>
              <w:top w:val="single" w:color="auto" w:sz="4" w:space="0"/>
              <w:left w:val="single" w:color="auto" w:sz="12" w:space="0"/>
              <w:bottom w:val="single" w:color="auto" w:sz="4" w:space="0"/>
              <w:right w:val="single" w:color="auto" w:sz="4" w:space="0"/>
            </w:tcBorders>
            <w:noWrap/>
            <w:vAlign w:val="center"/>
          </w:tcPr>
          <w:p w14:paraId="30D5ABE3">
            <w:pPr>
              <w:pStyle w:val="44"/>
              <w:rPr>
                <w:color w:val="auto"/>
              </w:rPr>
            </w:pPr>
            <w:r>
              <w:rPr>
                <w:color w:val="auto"/>
              </w:rPr>
              <w:t>小计　</w:t>
            </w:r>
          </w:p>
        </w:tc>
        <w:tc>
          <w:tcPr>
            <w:tcW w:w="714" w:type="pct"/>
            <w:tcBorders>
              <w:top w:val="nil"/>
              <w:left w:val="nil"/>
              <w:bottom w:val="single" w:color="auto" w:sz="4" w:space="0"/>
              <w:right w:val="single" w:color="auto" w:sz="4" w:space="0"/>
            </w:tcBorders>
            <w:noWrap/>
            <w:vAlign w:val="center"/>
          </w:tcPr>
          <w:p w14:paraId="28BD5255">
            <w:pPr>
              <w:pStyle w:val="44"/>
              <w:rPr>
                <w:color w:val="auto"/>
              </w:rPr>
            </w:pPr>
            <w:r>
              <w:rPr>
                <w:color w:val="auto"/>
              </w:rPr>
              <w:t xml:space="preserve">17.36 </w:t>
            </w:r>
          </w:p>
        </w:tc>
        <w:tc>
          <w:tcPr>
            <w:tcW w:w="714" w:type="pct"/>
            <w:tcBorders>
              <w:top w:val="nil"/>
              <w:left w:val="nil"/>
              <w:bottom w:val="single" w:color="auto" w:sz="4" w:space="0"/>
              <w:right w:val="single" w:color="auto" w:sz="4" w:space="0"/>
            </w:tcBorders>
            <w:noWrap/>
            <w:vAlign w:val="center"/>
          </w:tcPr>
          <w:p w14:paraId="2179BEC7">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06452924">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4A565B68">
            <w:pPr>
              <w:pStyle w:val="44"/>
              <w:rPr>
                <w:color w:val="auto"/>
              </w:rPr>
            </w:pPr>
            <w:r>
              <w:rPr>
                <w:color w:val="auto"/>
              </w:rPr>
              <w:t xml:space="preserve">0.00 </w:t>
            </w:r>
          </w:p>
        </w:tc>
        <w:tc>
          <w:tcPr>
            <w:tcW w:w="713" w:type="pct"/>
            <w:tcBorders>
              <w:top w:val="nil"/>
              <w:left w:val="nil"/>
              <w:bottom w:val="single" w:color="auto" w:sz="4" w:space="0"/>
              <w:right w:val="single" w:color="auto" w:sz="12" w:space="0"/>
            </w:tcBorders>
            <w:noWrap/>
            <w:vAlign w:val="center"/>
          </w:tcPr>
          <w:p w14:paraId="654E0F5C">
            <w:pPr>
              <w:pStyle w:val="44"/>
              <w:rPr>
                <w:color w:val="auto"/>
              </w:rPr>
            </w:pPr>
            <w:r>
              <w:rPr>
                <w:color w:val="auto"/>
              </w:rPr>
              <w:t xml:space="preserve">17.36 </w:t>
            </w:r>
          </w:p>
        </w:tc>
      </w:tr>
      <w:tr w14:paraId="6670FD0E">
        <w:tblPrEx>
          <w:tblCellMar>
            <w:top w:w="0" w:type="dxa"/>
            <w:left w:w="108" w:type="dxa"/>
            <w:bottom w:w="0" w:type="dxa"/>
            <w:right w:w="108" w:type="dxa"/>
          </w:tblCellMar>
        </w:tblPrEx>
        <w:trPr>
          <w:trHeight w:val="300" w:hRule="atLeast"/>
        </w:trPr>
        <w:tc>
          <w:tcPr>
            <w:tcW w:w="1432" w:type="pct"/>
            <w:gridSpan w:val="2"/>
            <w:tcBorders>
              <w:top w:val="nil"/>
              <w:left w:val="single" w:color="auto" w:sz="12" w:space="0"/>
              <w:bottom w:val="single" w:color="auto" w:sz="12" w:space="0"/>
              <w:right w:val="single" w:color="auto" w:sz="4" w:space="0"/>
            </w:tcBorders>
            <w:noWrap/>
            <w:vAlign w:val="center"/>
          </w:tcPr>
          <w:p w14:paraId="2AB2968E">
            <w:pPr>
              <w:pStyle w:val="44"/>
              <w:rPr>
                <w:color w:val="auto"/>
              </w:rPr>
            </w:pPr>
            <w:r>
              <w:rPr>
                <w:color w:val="auto"/>
              </w:rPr>
              <w:t>合计　</w:t>
            </w:r>
          </w:p>
        </w:tc>
        <w:tc>
          <w:tcPr>
            <w:tcW w:w="714" w:type="pct"/>
            <w:tcBorders>
              <w:top w:val="nil"/>
              <w:left w:val="nil"/>
              <w:bottom w:val="single" w:color="auto" w:sz="12" w:space="0"/>
              <w:right w:val="single" w:color="auto" w:sz="4" w:space="0"/>
            </w:tcBorders>
            <w:noWrap/>
            <w:vAlign w:val="center"/>
          </w:tcPr>
          <w:p w14:paraId="1AF5FE41">
            <w:pPr>
              <w:pStyle w:val="44"/>
              <w:rPr>
                <w:color w:val="auto"/>
              </w:rPr>
            </w:pPr>
            <w:r>
              <w:rPr>
                <w:color w:val="auto"/>
              </w:rPr>
              <w:t xml:space="preserve">412.09 </w:t>
            </w:r>
          </w:p>
        </w:tc>
        <w:tc>
          <w:tcPr>
            <w:tcW w:w="714" w:type="pct"/>
            <w:tcBorders>
              <w:top w:val="nil"/>
              <w:left w:val="nil"/>
              <w:bottom w:val="single" w:color="auto" w:sz="12" w:space="0"/>
              <w:right w:val="single" w:color="auto" w:sz="4" w:space="0"/>
            </w:tcBorders>
            <w:noWrap/>
            <w:vAlign w:val="center"/>
          </w:tcPr>
          <w:p w14:paraId="1C613E59">
            <w:pPr>
              <w:pStyle w:val="44"/>
              <w:rPr>
                <w:color w:val="auto"/>
              </w:rPr>
            </w:pPr>
            <w:r>
              <w:rPr>
                <w:color w:val="auto"/>
              </w:rPr>
              <w:t xml:space="preserve">5.85 </w:t>
            </w:r>
          </w:p>
        </w:tc>
        <w:tc>
          <w:tcPr>
            <w:tcW w:w="714" w:type="pct"/>
            <w:tcBorders>
              <w:top w:val="nil"/>
              <w:left w:val="nil"/>
              <w:bottom w:val="single" w:color="auto" w:sz="12" w:space="0"/>
              <w:right w:val="single" w:color="auto" w:sz="4" w:space="0"/>
            </w:tcBorders>
            <w:noWrap/>
            <w:vAlign w:val="center"/>
          </w:tcPr>
          <w:p w14:paraId="100758DE">
            <w:pPr>
              <w:pStyle w:val="44"/>
              <w:rPr>
                <w:color w:val="auto"/>
              </w:rPr>
            </w:pPr>
            <w:r>
              <w:rPr>
                <w:color w:val="auto"/>
              </w:rPr>
              <w:t xml:space="preserve">3.12 </w:t>
            </w:r>
          </w:p>
        </w:tc>
        <w:tc>
          <w:tcPr>
            <w:tcW w:w="714" w:type="pct"/>
            <w:tcBorders>
              <w:top w:val="nil"/>
              <w:left w:val="nil"/>
              <w:bottom w:val="single" w:color="auto" w:sz="12" w:space="0"/>
              <w:right w:val="single" w:color="auto" w:sz="4" w:space="0"/>
            </w:tcBorders>
            <w:noWrap/>
            <w:vAlign w:val="center"/>
          </w:tcPr>
          <w:p w14:paraId="4A118A22">
            <w:pPr>
              <w:pStyle w:val="44"/>
              <w:rPr>
                <w:color w:val="auto"/>
              </w:rPr>
            </w:pPr>
            <w:r>
              <w:rPr>
                <w:color w:val="auto"/>
              </w:rPr>
              <w:t xml:space="preserve">0.00 </w:t>
            </w:r>
          </w:p>
        </w:tc>
        <w:tc>
          <w:tcPr>
            <w:tcW w:w="713" w:type="pct"/>
            <w:tcBorders>
              <w:top w:val="nil"/>
              <w:left w:val="nil"/>
              <w:bottom w:val="single" w:color="auto" w:sz="12" w:space="0"/>
              <w:right w:val="single" w:color="auto" w:sz="12" w:space="0"/>
            </w:tcBorders>
            <w:noWrap/>
            <w:vAlign w:val="center"/>
          </w:tcPr>
          <w:p w14:paraId="639CC7B6">
            <w:pPr>
              <w:pStyle w:val="44"/>
              <w:rPr>
                <w:color w:val="auto"/>
              </w:rPr>
            </w:pPr>
            <w:r>
              <w:rPr>
                <w:color w:val="auto"/>
              </w:rPr>
              <w:t xml:space="preserve">421.06 </w:t>
            </w:r>
          </w:p>
        </w:tc>
      </w:tr>
    </w:tbl>
    <w:p w14:paraId="115A2021">
      <w:pPr>
        <w:ind w:firstLine="480"/>
        <w:rPr>
          <w:color w:val="auto"/>
        </w:rPr>
      </w:pPr>
      <w:r>
        <w:rPr>
          <w:color w:val="auto"/>
        </w:rPr>
        <w:t>（2）入住企业情况</w:t>
      </w:r>
    </w:p>
    <w:p w14:paraId="7F49F66E">
      <w:pPr>
        <w:ind w:firstLine="480"/>
        <w:rPr>
          <w:color w:val="auto"/>
        </w:rPr>
      </w:pPr>
      <w:r>
        <w:rPr>
          <w:color w:val="auto"/>
        </w:rPr>
        <w:t>经现状调查，目前九龙工业园区（A区）入驻企业有重庆啤酒股份有限公司（新区）、联发欣悦、巴国锦苑、西城景秀、金科.绿韵康城、光华.风和日丽小区、金科云湖天都、金科西城大院、巴国龙庭、巴国公馆、广田巴国绿云小区、财信时光里小区、万科西城公园里小区、云湖绿岛、奥园壹号巴黎苑、盘龙金茂悦、盘龙兴苑、九龙星光、双龙苑小区、福星颐美名阁小区和等约111个企业和住宅小区。</w:t>
      </w:r>
    </w:p>
    <w:p w14:paraId="7C9AA08B">
      <w:pPr>
        <w:topLinePunct/>
        <w:ind w:firstLine="480"/>
        <w:rPr>
          <w:color w:val="auto"/>
          <w:szCs w:val="24"/>
        </w:rPr>
      </w:pPr>
      <w:r>
        <w:rPr>
          <w:color w:val="auto"/>
        </w:rPr>
        <w:t>九龙工业园区A区功能定位为以高新技术产业开发为主的综合科技新城，目前A区面积占用了九龙街道的大部分面积，入驻的主导产业均是高新技术产业，</w:t>
      </w:r>
      <w:r>
        <w:rPr>
          <w:color w:val="auto"/>
          <w:szCs w:val="24"/>
        </w:rPr>
        <w:t>符合规划发展产业要求。</w:t>
      </w:r>
    </w:p>
    <w:p w14:paraId="764C239E">
      <w:pPr>
        <w:topLinePunct/>
        <w:ind w:firstLine="480"/>
        <w:rPr>
          <w:color w:val="auto"/>
        </w:rPr>
      </w:pPr>
      <w:r>
        <w:rPr>
          <w:color w:val="auto"/>
        </w:rPr>
        <w:t>据调查，九龙工业园区A区入驻企业不存在自备水源，均由和尚山水厂供水。</w:t>
      </w:r>
    </w:p>
    <w:p w14:paraId="0E61B371">
      <w:pPr>
        <w:topLinePunct/>
        <w:ind w:firstLine="0" w:firstLineChars="0"/>
        <w:rPr>
          <w:b/>
          <w:bCs/>
          <w:color w:val="auto"/>
          <w:kern w:val="0"/>
          <w:lang w:bidi="en-US"/>
        </w:rPr>
      </w:pPr>
      <w:r>
        <w:rPr>
          <w:b/>
          <w:bCs/>
          <w:color w:val="auto"/>
          <w:kern w:val="0"/>
          <w:lang w:bidi="en-US"/>
        </w:rPr>
        <w:t>表2.3-2            九龙工业园区A区入住企业和住宅小区统计表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2"/>
        <w:gridCol w:w="1530"/>
        <w:gridCol w:w="3200"/>
        <w:gridCol w:w="1949"/>
        <w:gridCol w:w="1636"/>
      </w:tblGrid>
      <w:tr w14:paraId="14430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440" w:type="pct"/>
            <w:noWrap/>
            <w:vAlign w:val="center"/>
          </w:tcPr>
          <w:p w14:paraId="1D4BAB57">
            <w:pPr>
              <w:pStyle w:val="44"/>
              <w:rPr>
                <w:color w:val="auto"/>
              </w:rPr>
            </w:pPr>
            <w:r>
              <w:rPr>
                <w:color w:val="auto"/>
              </w:rPr>
              <w:t>编号</w:t>
            </w:r>
          </w:p>
        </w:tc>
        <w:tc>
          <w:tcPr>
            <w:tcW w:w="839" w:type="pct"/>
            <w:vAlign w:val="center"/>
          </w:tcPr>
          <w:p w14:paraId="27ECDF0F">
            <w:pPr>
              <w:pStyle w:val="44"/>
              <w:rPr>
                <w:color w:val="auto"/>
              </w:rPr>
            </w:pPr>
            <w:r>
              <w:rPr>
                <w:color w:val="auto"/>
              </w:rPr>
              <w:t>地块编号</w:t>
            </w:r>
          </w:p>
        </w:tc>
        <w:tc>
          <w:tcPr>
            <w:tcW w:w="1755" w:type="pct"/>
            <w:noWrap/>
            <w:vAlign w:val="center"/>
          </w:tcPr>
          <w:p w14:paraId="70CCA1BA">
            <w:pPr>
              <w:pStyle w:val="44"/>
              <w:rPr>
                <w:color w:val="auto"/>
              </w:rPr>
            </w:pPr>
            <w:r>
              <w:rPr>
                <w:color w:val="auto"/>
              </w:rPr>
              <w:t>建设单位</w:t>
            </w:r>
          </w:p>
        </w:tc>
        <w:tc>
          <w:tcPr>
            <w:tcW w:w="1069" w:type="pct"/>
            <w:noWrap/>
            <w:vAlign w:val="center"/>
          </w:tcPr>
          <w:p w14:paraId="0B1DEF63">
            <w:pPr>
              <w:pStyle w:val="44"/>
              <w:rPr>
                <w:color w:val="auto"/>
              </w:rPr>
            </w:pPr>
            <w:r>
              <w:rPr>
                <w:color w:val="auto"/>
              </w:rPr>
              <w:t>占地面积（hm</w:t>
            </w:r>
            <w:r>
              <w:rPr>
                <w:color w:val="auto"/>
                <w:vertAlign w:val="superscript"/>
              </w:rPr>
              <w:t>2</w:t>
            </w:r>
            <w:r>
              <w:rPr>
                <w:color w:val="auto"/>
              </w:rPr>
              <w:t>）</w:t>
            </w:r>
          </w:p>
        </w:tc>
        <w:tc>
          <w:tcPr>
            <w:tcW w:w="897" w:type="pct"/>
            <w:noWrap/>
            <w:vAlign w:val="center"/>
          </w:tcPr>
          <w:p w14:paraId="00855C9D">
            <w:pPr>
              <w:pStyle w:val="44"/>
              <w:rPr>
                <w:color w:val="auto"/>
              </w:rPr>
            </w:pPr>
            <w:r>
              <w:rPr>
                <w:color w:val="auto"/>
              </w:rPr>
              <w:t>开发时间</w:t>
            </w:r>
          </w:p>
        </w:tc>
      </w:tr>
      <w:tr w14:paraId="7374E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56A3321">
            <w:pPr>
              <w:pStyle w:val="44"/>
              <w:rPr>
                <w:color w:val="auto"/>
              </w:rPr>
            </w:pPr>
            <w:r>
              <w:rPr>
                <w:color w:val="auto"/>
              </w:rPr>
              <w:t>1</w:t>
            </w:r>
          </w:p>
        </w:tc>
        <w:tc>
          <w:tcPr>
            <w:tcW w:w="839" w:type="pct"/>
            <w:noWrap/>
            <w:vAlign w:val="center"/>
          </w:tcPr>
          <w:p w14:paraId="302EB203">
            <w:pPr>
              <w:pStyle w:val="44"/>
              <w:rPr>
                <w:color w:val="auto"/>
              </w:rPr>
            </w:pPr>
            <w:r>
              <w:rPr>
                <w:color w:val="auto"/>
              </w:rPr>
              <w:t>LB9-6/06</w:t>
            </w:r>
          </w:p>
        </w:tc>
        <w:tc>
          <w:tcPr>
            <w:tcW w:w="1755" w:type="pct"/>
            <w:noWrap/>
            <w:vAlign w:val="center"/>
          </w:tcPr>
          <w:p w14:paraId="3EAA92D9">
            <w:pPr>
              <w:pStyle w:val="44"/>
              <w:rPr>
                <w:color w:val="auto"/>
              </w:rPr>
            </w:pPr>
            <w:r>
              <w:rPr>
                <w:color w:val="auto"/>
              </w:rPr>
              <w:t>巴国锦苑</w:t>
            </w:r>
          </w:p>
        </w:tc>
        <w:tc>
          <w:tcPr>
            <w:tcW w:w="1069" w:type="pct"/>
            <w:noWrap/>
            <w:vAlign w:val="center"/>
          </w:tcPr>
          <w:p w14:paraId="784C2396">
            <w:pPr>
              <w:pStyle w:val="44"/>
              <w:rPr>
                <w:color w:val="auto"/>
              </w:rPr>
            </w:pPr>
            <w:r>
              <w:rPr>
                <w:color w:val="auto"/>
              </w:rPr>
              <w:t>1.21</w:t>
            </w:r>
          </w:p>
        </w:tc>
        <w:tc>
          <w:tcPr>
            <w:tcW w:w="897" w:type="pct"/>
            <w:noWrap/>
            <w:vAlign w:val="center"/>
          </w:tcPr>
          <w:p w14:paraId="638135C4">
            <w:pPr>
              <w:pStyle w:val="44"/>
              <w:rPr>
                <w:color w:val="auto"/>
              </w:rPr>
            </w:pPr>
            <w:r>
              <w:rPr>
                <w:color w:val="auto"/>
              </w:rPr>
              <w:t>2010年</w:t>
            </w:r>
          </w:p>
        </w:tc>
      </w:tr>
      <w:tr w14:paraId="47527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9DD7D5F">
            <w:pPr>
              <w:pStyle w:val="44"/>
              <w:rPr>
                <w:color w:val="auto"/>
              </w:rPr>
            </w:pPr>
            <w:r>
              <w:rPr>
                <w:color w:val="auto"/>
              </w:rPr>
              <w:t>2</w:t>
            </w:r>
          </w:p>
        </w:tc>
        <w:tc>
          <w:tcPr>
            <w:tcW w:w="839" w:type="pct"/>
            <w:noWrap/>
            <w:vAlign w:val="center"/>
          </w:tcPr>
          <w:p w14:paraId="51CE47DD">
            <w:pPr>
              <w:pStyle w:val="44"/>
              <w:rPr>
                <w:color w:val="auto"/>
              </w:rPr>
            </w:pPr>
            <w:r>
              <w:rPr>
                <w:color w:val="auto"/>
              </w:rPr>
              <w:t>LB9-3/05</w:t>
            </w:r>
          </w:p>
        </w:tc>
        <w:tc>
          <w:tcPr>
            <w:tcW w:w="1755" w:type="pct"/>
            <w:noWrap/>
            <w:vAlign w:val="center"/>
          </w:tcPr>
          <w:p w14:paraId="5B477B4A">
            <w:pPr>
              <w:pStyle w:val="44"/>
              <w:rPr>
                <w:color w:val="auto"/>
              </w:rPr>
            </w:pPr>
            <w:r>
              <w:rPr>
                <w:color w:val="auto"/>
              </w:rPr>
              <w:t>西城景秀</w:t>
            </w:r>
          </w:p>
        </w:tc>
        <w:tc>
          <w:tcPr>
            <w:tcW w:w="1069" w:type="pct"/>
            <w:noWrap/>
            <w:vAlign w:val="center"/>
          </w:tcPr>
          <w:p w14:paraId="420DB16E">
            <w:pPr>
              <w:pStyle w:val="44"/>
              <w:rPr>
                <w:color w:val="auto"/>
              </w:rPr>
            </w:pPr>
            <w:r>
              <w:rPr>
                <w:color w:val="auto"/>
              </w:rPr>
              <w:t>0.42</w:t>
            </w:r>
          </w:p>
        </w:tc>
        <w:tc>
          <w:tcPr>
            <w:tcW w:w="897" w:type="pct"/>
            <w:noWrap/>
            <w:vAlign w:val="center"/>
          </w:tcPr>
          <w:p w14:paraId="084126DD">
            <w:pPr>
              <w:pStyle w:val="44"/>
              <w:rPr>
                <w:color w:val="auto"/>
              </w:rPr>
            </w:pPr>
            <w:r>
              <w:rPr>
                <w:color w:val="auto"/>
              </w:rPr>
              <w:t>2011年</w:t>
            </w:r>
          </w:p>
        </w:tc>
      </w:tr>
      <w:tr w14:paraId="37774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F37D0EE">
            <w:pPr>
              <w:pStyle w:val="44"/>
              <w:rPr>
                <w:color w:val="auto"/>
              </w:rPr>
            </w:pPr>
            <w:r>
              <w:rPr>
                <w:color w:val="auto"/>
              </w:rPr>
              <w:t>3</w:t>
            </w:r>
          </w:p>
        </w:tc>
        <w:tc>
          <w:tcPr>
            <w:tcW w:w="839" w:type="pct"/>
            <w:noWrap/>
            <w:vAlign w:val="center"/>
          </w:tcPr>
          <w:p w14:paraId="0D64EE50">
            <w:pPr>
              <w:pStyle w:val="44"/>
              <w:rPr>
                <w:color w:val="auto"/>
              </w:rPr>
            </w:pPr>
            <w:r>
              <w:rPr>
                <w:color w:val="auto"/>
              </w:rPr>
              <w:t>QE1-5/04</w:t>
            </w:r>
          </w:p>
        </w:tc>
        <w:tc>
          <w:tcPr>
            <w:tcW w:w="1755" w:type="pct"/>
            <w:noWrap/>
            <w:vAlign w:val="center"/>
          </w:tcPr>
          <w:p w14:paraId="5182EDFE">
            <w:pPr>
              <w:pStyle w:val="44"/>
              <w:rPr>
                <w:color w:val="auto"/>
              </w:rPr>
            </w:pPr>
            <w:r>
              <w:rPr>
                <w:color w:val="auto"/>
              </w:rPr>
              <w:t>金科.绿韵康城</w:t>
            </w:r>
          </w:p>
        </w:tc>
        <w:tc>
          <w:tcPr>
            <w:tcW w:w="1069" w:type="pct"/>
            <w:noWrap/>
            <w:vAlign w:val="center"/>
          </w:tcPr>
          <w:p w14:paraId="13B80F7B">
            <w:pPr>
              <w:pStyle w:val="44"/>
              <w:rPr>
                <w:color w:val="auto"/>
              </w:rPr>
            </w:pPr>
            <w:r>
              <w:rPr>
                <w:color w:val="auto"/>
              </w:rPr>
              <w:t>1.37</w:t>
            </w:r>
          </w:p>
        </w:tc>
        <w:tc>
          <w:tcPr>
            <w:tcW w:w="897" w:type="pct"/>
            <w:noWrap/>
            <w:vAlign w:val="center"/>
          </w:tcPr>
          <w:p w14:paraId="62272AA6">
            <w:pPr>
              <w:pStyle w:val="44"/>
              <w:rPr>
                <w:color w:val="auto"/>
              </w:rPr>
            </w:pPr>
            <w:r>
              <w:rPr>
                <w:color w:val="auto"/>
              </w:rPr>
              <w:t>2005年</w:t>
            </w:r>
          </w:p>
        </w:tc>
      </w:tr>
      <w:tr w14:paraId="1387A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AD51A32">
            <w:pPr>
              <w:pStyle w:val="44"/>
              <w:rPr>
                <w:color w:val="auto"/>
              </w:rPr>
            </w:pPr>
            <w:r>
              <w:rPr>
                <w:color w:val="auto"/>
              </w:rPr>
              <w:t>4</w:t>
            </w:r>
          </w:p>
        </w:tc>
        <w:tc>
          <w:tcPr>
            <w:tcW w:w="839" w:type="pct"/>
            <w:noWrap/>
            <w:vAlign w:val="center"/>
          </w:tcPr>
          <w:p w14:paraId="748F854E">
            <w:pPr>
              <w:pStyle w:val="44"/>
              <w:rPr>
                <w:color w:val="auto"/>
              </w:rPr>
            </w:pPr>
            <w:r>
              <w:rPr>
                <w:color w:val="auto"/>
              </w:rPr>
              <w:t>QE2-3/05</w:t>
            </w:r>
          </w:p>
        </w:tc>
        <w:tc>
          <w:tcPr>
            <w:tcW w:w="1755" w:type="pct"/>
            <w:noWrap/>
            <w:vAlign w:val="center"/>
          </w:tcPr>
          <w:p w14:paraId="5E685C14">
            <w:pPr>
              <w:pStyle w:val="44"/>
              <w:rPr>
                <w:color w:val="auto"/>
              </w:rPr>
            </w:pPr>
            <w:r>
              <w:rPr>
                <w:color w:val="auto"/>
              </w:rPr>
              <w:t>九龙坡金科机电城B区</w:t>
            </w:r>
          </w:p>
        </w:tc>
        <w:tc>
          <w:tcPr>
            <w:tcW w:w="1069" w:type="pct"/>
            <w:noWrap/>
            <w:vAlign w:val="center"/>
          </w:tcPr>
          <w:p w14:paraId="0B890082">
            <w:pPr>
              <w:pStyle w:val="44"/>
              <w:rPr>
                <w:color w:val="auto"/>
              </w:rPr>
            </w:pPr>
            <w:r>
              <w:rPr>
                <w:color w:val="auto"/>
              </w:rPr>
              <w:t>1.82</w:t>
            </w:r>
          </w:p>
        </w:tc>
        <w:tc>
          <w:tcPr>
            <w:tcW w:w="897" w:type="pct"/>
            <w:noWrap/>
            <w:vAlign w:val="center"/>
          </w:tcPr>
          <w:p w14:paraId="6F7C56A4">
            <w:pPr>
              <w:pStyle w:val="44"/>
              <w:rPr>
                <w:color w:val="auto"/>
              </w:rPr>
            </w:pPr>
            <w:r>
              <w:rPr>
                <w:color w:val="auto"/>
              </w:rPr>
              <w:t>2013年</w:t>
            </w:r>
          </w:p>
        </w:tc>
      </w:tr>
      <w:tr w14:paraId="498CA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83DDC71">
            <w:pPr>
              <w:pStyle w:val="44"/>
              <w:rPr>
                <w:color w:val="auto"/>
              </w:rPr>
            </w:pPr>
            <w:r>
              <w:rPr>
                <w:color w:val="auto"/>
              </w:rPr>
              <w:t>5</w:t>
            </w:r>
          </w:p>
        </w:tc>
        <w:tc>
          <w:tcPr>
            <w:tcW w:w="839" w:type="pct"/>
            <w:noWrap/>
            <w:vAlign w:val="center"/>
          </w:tcPr>
          <w:p w14:paraId="59A874F6">
            <w:pPr>
              <w:pStyle w:val="44"/>
              <w:rPr>
                <w:color w:val="auto"/>
              </w:rPr>
            </w:pPr>
            <w:r>
              <w:rPr>
                <w:color w:val="auto"/>
              </w:rPr>
              <w:t>QE2-7/03</w:t>
            </w:r>
          </w:p>
        </w:tc>
        <w:tc>
          <w:tcPr>
            <w:tcW w:w="1755" w:type="pct"/>
            <w:noWrap/>
            <w:vAlign w:val="center"/>
          </w:tcPr>
          <w:p w14:paraId="6D6F9C38">
            <w:pPr>
              <w:pStyle w:val="44"/>
              <w:rPr>
                <w:color w:val="auto"/>
              </w:rPr>
            </w:pPr>
            <w:r>
              <w:rPr>
                <w:color w:val="auto"/>
              </w:rPr>
              <w:t>光华，风和日丽小区</w:t>
            </w:r>
          </w:p>
        </w:tc>
        <w:tc>
          <w:tcPr>
            <w:tcW w:w="1069" w:type="pct"/>
            <w:noWrap/>
            <w:vAlign w:val="center"/>
          </w:tcPr>
          <w:p w14:paraId="777B32E1">
            <w:pPr>
              <w:pStyle w:val="44"/>
              <w:rPr>
                <w:color w:val="auto"/>
              </w:rPr>
            </w:pPr>
            <w:r>
              <w:rPr>
                <w:color w:val="auto"/>
              </w:rPr>
              <w:t>1.89</w:t>
            </w:r>
          </w:p>
        </w:tc>
        <w:tc>
          <w:tcPr>
            <w:tcW w:w="897" w:type="pct"/>
            <w:noWrap/>
            <w:vAlign w:val="center"/>
          </w:tcPr>
          <w:p w14:paraId="776D9E3C">
            <w:pPr>
              <w:pStyle w:val="44"/>
              <w:rPr>
                <w:color w:val="auto"/>
              </w:rPr>
            </w:pPr>
            <w:r>
              <w:rPr>
                <w:color w:val="auto"/>
              </w:rPr>
              <w:t>2012年</w:t>
            </w:r>
          </w:p>
        </w:tc>
      </w:tr>
      <w:tr w14:paraId="14E80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ADDC948">
            <w:pPr>
              <w:pStyle w:val="44"/>
              <w:rPr>
                <w:color w:val="auto"/>
              </w:rPr>
            </w:pPr>
            <w:r>
              <w:rPr>
                <w:color w:val="auto"/>
              </w:rPr>
              <w:t>6</w:t>
            </w:r>
          </w:p>
        </w:tc>
        <w:tc>
          <w:tcPr>
            <w:tcW w:w="839" w:type="pct"/>
            <w:noWrap/>
            <w:vAlign w:val="center"/>
          </w:tcPr>
          <w:p w14:paraId="0E4E3BD8">
            <w:pPr>
              <w:pStyle w:val="44"/>
              <w:rPr>
                <w:color w:val="auto"/>
              </w:rPr>
            </w:pPr>
            <w:r>
              <w:rPr>
                <w:color w:val="auto"/>
              </w:rPr>
              <w:t>QE2-4/03</w:t>
            </w:r>
          </w:p>
        </w:tc>
        <w:tc>
          <w:tcPr>
            <w:tcW w:w="1755" w:type="pct"/>
            <w:noWrap/>
            <w:vAlign w:val="center"/>
          </w:tcPr>
          <w:p w14:paraId="2EDDAA7D">
            <w:pPr>
              <w:pStyle w:val="44"/>
              <w:rPr>
                <w:color w:val="auto"/>
              </w:rPr>
            </w:pPr>
            <w:r>
              <w:rPr>
                <w:color w:val="auto"/>
              </w:rPr>
              <w:t>金科云湖天都</w:t>
            </w:r>
          </w:p>
        </w:tc>
        <w:tc>
          <w:tcPr>
            <w:tcW w:w="1069" w:type="pct"/>
            <w:noWrap/>
            <w:vAlign w:val="center"/>
          </w:tcPr>
          <w:p w14:paraId="6A137F1B">
            <w:pPr>
              <w:pStyle w:val="44"/>
              <w:rPr>
                <w:color w:val="auto"/>
              </w:rPr>
            </w:pPr>
            <w:r>
              <w:rPr>
                <w:color w:val="auto"/>
              </w:rPr>
              <w:t>7.54</w:t>
            </w:r>
          </w:p>
        </w:tc>
        <w:tc>
          <w:tcPr>
            <w:tcW w:w="897" w:type="pct"/>
            <w:noWrap/>
            <w:vAlign w:val="center"/>
          </w:tcPr>
          <w:p w14:paraId="07F54560">
            <w:pPr>
              <w:pStyle w:val="44"/>
              <w:rPr>
                <w:color w:val="auto"/>
              </w:rPr>
            </w:pPr>
            <w:r>
              <w:rPr>
                <w:color w:val="auto"/>
              </w:rPr>
              <w:t>2006年</w:t>
            </w:r>
          </w:p>
        </w:tc>
      </w:tr>
      <w:tr w14:paraId="0BFF7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85B0362">
            <w:pPr>
              <w:pStyle w:val="44"/>
              <w:rPr>
                <w:color w:val="auto"/>
              </w:rPr>
            </w:pPr>
            <w:r>
              <w:rPr>
                <w:color w:val="auto"/>
              </w:rPr>
              <w:t>7</w:t>
            </w:r>
          </w:p>
        </w:tc>
        <w:tc>
          <w:tcPr>
            <w:tcW w:w="839" w:type="pct"/>
            <w:vMerge w:val="restart"/>
            <w:noWrap/>
            <w:vAlign w:val="center"/>
          </w:tcPr>
          <w:p w14:paraId="454EEDD2">
            <w:pPr>
              <w:pStyle w:val="44"/>
              <w:rPr>
                <w:color w:val="auto"/>
              </w:rPr>
            </w:pPr>
            <w:r>
              <w:rPr>
                <w:color w:val="auto"/>
              </w:rPr>
              <w:t>L10-4-3/04</w:t>
            </w:r>
          </w:p>
        </w:tc>
        <w:tc>
          <w:tcPr>
            <w:tcW w:w="1755" w:type="pct"/>
            <w:noWrap/>
            <w:vAlign w:val="center"/>
          </w:tcPr>
          <w:p w14:paraId="7D73A43B">
            <w:pPr>
              <w:pStyle w:val="44"/>
              <w:rPr>
                <w:color w:val="auto"/>
              </w:rPr>
            </w:pPr>
            <w:r>
              <w:rPr>
                <w:color w:val="auto"/>
              </w:rPr>
              <w:t>本田销售服务店</w:t>
            </w:r>
          </w:p>
        </w:tc>
        <w:tc>
          <w:tcPr>
            <w:tcW w:w="1069" w:type="pct"/>
            <w:vMerge w:val="restart"/>
            <w:noWrap/>
            <w:vAlign w:val="center"/>
          </w:tcPr>
          <w:p w14:paraId="6F7D3EEC">
            <w:pPr>
              <w:pStyle w:val="44"/>
              <w:rPr>
                <w:color w:val="auto"/>
              </w:rPr>
            </w:pPr>
            <w:r>
              <w:rPr>
                <w:color w:val="auto"/>
              </w:rPr>
              <w:t>1.09</w:t>
            </w:r>
          </w:p>
        </w:tc>
        <w:tc>
          <w:tcPr>
            <w:tcW w:w="897" w:type="pct"/>
            <w:noWrap/>
            <w:vAlign w:val="center"/>
          </w:tcPr>
          <w:p w14:paraId="0E8510B7">
            <w:pPr>
              <w:pStyle w:val="44"/>
              <w:rPr>
                <w:color w:val="auto"/>
              </w:rPr>
            </w:pPr>
            <w:r>
              <w:rPr>
                <w:color w:val="auto"/>
              </w:rPr>
              <w:t>2010年</w:t>
            </w:r>
          </w:p>
        </w:tc>
      </w:tr>
      <w:tr w14:paraId="5B3B4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F17CDE0">
            <w:pPr>
              <w:pStyle w:val="44"/>
              <w:rPr>
                <w:color w:val="auto"/>
              </w:rPr>
            </w:pPr>
            <w:r>
              <w:rPr>
                <w:color w:val="auto"/>
              </w:rPr>
              <w:t>8</w:t>
            </w:r>
          </w:p>
        </w:tc>
        <w:tc>
          <w:tcPr>
            <w:tcW w:w="839" w:type="pct"/>
            <w:vMerge w:val="continue"/>
            <w:vAlign w:val="center"/>
          </w:tcPr>
          <w:p w14:paraId="74513738">
            <w:pPr>
              <w:pStyle w:val="44"/>
              <w:rPr>
                <w:color w:val="auto"/>
              </w:rPr>
            </w:pPr>
          </w:p>
        </w:tc>
        <w:tc>
          <w:tcPr>
            <w:tcW w:w="1755" w:type="pct"/>
            <w:noWrap/>
            <w:vAlign w:val="center"/>
          </w:tcPr>
          <w:p w14:paraId="1C188741">
            <w:pPr>
              <w:pStyle w:val="44"/>
              <w:rPr>
                <w:color w:val="auto"/>
              </w:rPr>
            </w:pPr>
            <w:r>
              <w:rPr>
                <w:color w:val="auto"/>
              </w:rPr>
              <w:t>喜悦主题婚礼酒店</w:t>
            </w:r>
          </w:p>
        </w:tc>
        <w:tc>
          <w:tcPr>
            <w:tcW w:w="1069" w:type="pct"/>
            <w:vMerge w:val="continue"/>
            <w:vAlign w:val="center"/>
          </w:tcPr>
          <w:p w14:paraId="64FF45AB">
            <w:pPr>
              <w:pStyle w:val="44"/>
              <w:rPr>
                <w:color w:val="auto"/>
              </w:rPr>
            </w:pPr>
          </w:p>
        </w:tc>
        <w:tc>
          <w:tcPr>
            <w:tcW w:w="897" w:type="pct"/>
            <w:noWrap/>
            <w:vAlign w:val="center"/>
          </w:tcPr>
          <w:p w14:paraId="3E950395">
            <w:pPr>
              <w:pStyle w:val="44"/>
              <w:rPr>
                <w:color w:val="auto"/>
              </w:rPr>
            </w:pPr>
            <w:r>
              <w:rPr>
                <w:color w:val="auto"/>
              </w:rPr>
              <w:t>2011年</w:t>
            </w:r>
          </w:p>
        </w:tc>
      </w:tr>
      <w:tr w14:paraId="661E6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E4C22F0">
            <w:pPr>
              <w:pStyle w:val="44"/>
              <w:rPr>
                <w:color w:val="auto"/>
              </w:rPr>
            </w:pPr>
            <w:r>
              <w:rPr>
                <w:color w:val="auto"/>
              </w:rPr>
              <w:t>9</w:t>
            </w:r>
          </w:p>
        </w:tc>
        <w:tc>
          <w:tcPr>
            <w:tcW w:w="839" w:type="pct"/>
            <w:noWrap/>
            <w:vAlign w:val="center"/>
          </w:tcPr>
          <w:p w14:paraId="4EF8EB18">
            <w:pPr>
              <w:pStyle w:val="44"/>
              <w:rPr>
                <w:color w:val="auto"/>
              </w:rPr>
            </w:pPr>
            <w:r>
              <w:rPr>
                <w:color w:val="auto"/>
              </w:rPr>
              <w:t>QE3-2/05</w:t>
            </w:r>
          </w:p>
        </w:tc>
        <w:tc>
          <w:tcPr>
            <w:tcW w:w="1755" w:type="pct"/>
            <w:noWrap/>
            <w:vAlign w:val="center"/>
          </w:tcPr>
          <w:p w14:paraId="0FD2F8F9">
            <w:pPr>
              <w:pStyle w:val="44"/>
              <w:rPr>
                <w:color w:val="auto"/>
              </w:rPr>
            </w:pPr>
            <w:r>
              <w:rPr>
                <w:color w:val="auto"/>
              </w:rPr>
              <w:t>金科西城大院</w:t>
            </w:r>
          </w:p>
        </w:tc>
        <w:tc>
          <w:tcPr>
            <w:tcW w:w="1069" w:type="pct"/>
            <w:noWrap/>
            <w:vAlign w:val="center"/>
          </w:tcPr>
          <w:p w14:paraId="73F5CAEE">
            <w:pPr>
              <w:pStyle w:val="44"/>
              <w:rPr>
                <w:color w:val="auto"/>
              </w:rPr>
            </w:pPr>
            <w:r>
              <w:rPr>
                <w:color w:val="auto"/>
              </w:rPr>
              <w:t>8.03</w:t>
            </w:r>
          </w:p>
        </w:tc>
        <w:tc>
          <w:tcPr>
            <w:tcW w:w="897" w:type="pct"/>
            <w:noWrap/>
            <w:vAlign w:val="center"/>
          </w:tcPr>
          <w:p w14:paraId="1A2C25DA">
            <w:pPr>
              <w:pStyle w:val="44"/>
              <w:rPr>
                <w:color w:val="auto"/>
              </w:rPr>
            </w:pPr>
            <w:r>
              <w:rPr>
                <w:color w:val="auto"/>
              </w:rPr>
              <w:t>2008年</w:t>
            </w:r>
          </w:p>
        </w:tc>
      </w:tr>
      <w:tr w14:paraId="1E220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8A6AFD9">
            <w:pPr>
              <w:pStyle w:val="44"/>
              <w:rPr>
                <w:color w:val="auto"/>
              </w:rPr>
            </w:pPr>
            <w:r>
              <w:rPr>
                <w:color w:val="auto"/>
              </w:rPr>
              <w:t>10</w:t>
            </w:r>
          </w:p>
        </w:tc>
        <w:tc>
          <w:tcPr>
            <w:tcW w:w="839" w:type="pct"/>
            <w:vMerge w:val="restart"/>
            <w:noWrap/>
            <w:vAlign w:val="center"/>
          </w:tcPr>
          <w:p w14:paraId="23343AE5">
            <w:pPr>
              <w:pStyle w:val="44"/>
              <w:rPr>
                <w:color w:val="auto"/>
              </w:rPr>
            </w:pPr>
            <w:r>
              <w:rPr>
                <w:color w:val="auto"/>
              </w:rPr>
              <w:t>QE3-3/05</w:t>
            </w:r>
          </w:p>
        </w:tc>
        <w:tc>
          <w:tcPr>
            <w:tcW w:w="1755" w:type="pct"/>
            <w:noWrap/>
            <w:vAlign w:val="center"/>
          </w:tcPr>
          <w:p w14:paraId="7B064D40">
            <w:pPr>
              <w:pStyle w:val="44"/>
              <w:rPr>
                <w:color w:val="auto"/>
              </w:rPr>
            </w:pPr>
            <w:r>
              <w:rPr>
                <w:color w:val="auto"/>
              </w:rPr>
              <w:t>金科机电城D区</w:t>
            </w:r>
          </w:p>
        </w:tc>
        <w:tc>
          <w:tcPr>
            <w:tcW w:w="1069" w:type="pct"/>
            <w:vMerge w:val="restart"/>
            <w:noWrap/>
            <w:vAlign w:val="center"/>
          </w:tcPr>
          <w:p w14:paraId="0B68F1C7">
            <w:pPr>
              <w:pStyle w:val="44"/>
              <w:rPr>
                <w:color w:val="auto"/>
              </w:rPr>
            </w:pPr>
            <w:r>
              <w:rPr>
                <w:color w:val="auto"/>
              </w:rPr>
              <w:t>2.84</w:t>
            </w:r>
          </w:p>
        </w:tc>
        <w:tc>
          <w:tcPr>
            <w:tcW w:w="897" w:type="pct"/>
            <w:noWrap/>
            <w:vAlign w:val="center"/>
          </w:tcPr>
          <w:p w14:paraId="1B6F8901">
            <w:pPr>
              <w:pStyle w:val="44"/>
              <w:rPr>
                <w:color w:val="auto"/>
              </w:rPr>
            </w:pPr>
            <w:r>
              <w:rPr>
                <w:color w:val="auto"/>
              </w:rPr>
              <w:t>2005年</w:t>
            </w:r>
          </w:p>
        </w:tc>
      </w:tr>
      <w:tr w14:paraId="67CB7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D77CE65">
            <w:pPr>
              <w:pStyle w:val="44"/>
              <w:rPr>
                <w:color w:val="auto"/>
              </w:rPr>
            </w:pPr>
            <w:r>
              <w:rPr>
                <w:color w:val="auto"/>
              </w:rPr>
              <w:t>11</w:t>
            </w:r>
          </w:p>
        </w:tc>
        <w:tc>
          <w:tcPr>
            <w:tcW w:w="839" w:type="pct"/>
            <w:vMerge w:val="continue"/>
            <w:vAlign w:val="center"/>
          </w:tcPr>
          <w:p w14:paraId="39532EB0">
            <w:pPr>
              <w:pStyle w:val="44"/>
              <w:rPr>
                <w:color w:val="auto"/>
              </w:rPr>
            </w:pPr>
          </w:p>
        </w:tc>
        <w:tc>
          <w:tcPr>
            <w:tcW w:w="1755" w:type="pct"/>
            <w:noWrap/>
            <w:vAlign w:val="center"/>
          </w:tcPr>
          <w:p w14:paraId="613F2355">
            <w:pPr>
              <w:pStyle w:val="44"/>
              <w:rPr>
                <w:color w:val="auto"/>
              </w:rPr>
            </w:pPr>
            <w:r>
              <w:rPr>
                <w:color w:val="auto"/>
              </w:rPr>
              <w:t>恒胜机电市场</w:t>
            </w:r>
          </w:p>
        </w:tc>
        <w:tc>
          <w:tcPr>
            <w:tcW w:w="1069" w:type="pct"/>
            <w:vMerge w:val="continue"/>
            <w:vAlign w:val="center"/>
          </w:tcPr>
          <w:p w14:paraId="75F2DC44">
            <w:pPr>
              <w:pStyle w:val="44"/>
              <w:rPr>
                <w:color w:val="auto"/>
              </w:rPr>
            </w:pPr>
          </w:p>
        </w:tc>
        <w:tc>
          <w:tcPr>
            <w:tcW w:w="897" w:type="pct"/>
            <w:noWrap/>
            <w:vAlign w:val="center"/>
          </w:tcPr>
          <w:p w14:paraId="7FD5B891">
            <w:pPr>
              <w:pStyle w:val="44"/>
              <w:rPr>
                <w:color w:val="auto"/>
              </w:rPr>
            </w:pPr>
            <w:r>
              <w:rPr>
                <w:color w:val="auto"/>
              </w:rPr>
              <w:t>2006年</w:t>
            </w:r>
          </w:p>
        </w:tc>
      </w:tr>
      <w:tr w14:paraId="22CE1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A3E3EC5">
            <w:pPr>
              <w:pStyle w:val="44"/>
              <w:rPr>
                <w:color w:val="auto"/>
              </w:rPr>
            </w:pPr>
            <w:r>
              <w:rPr>
                <w:color w:val="auto"/>
              </w:rPr>
              <w:t>12</w:t>
            </w:r>
          </w:p>
        </w:tc>
        <w:tc>
          <w:tcPr>
            <w:tcW w:w="839" w:type="pct"/>
            <w:vMerge w:val="continue"/>
            <w:vAlign w:val="center"/>
          </w:tcPr>
          <w:p w14:paraId="373CAAFA">
            <w:pPr>
              <w:pStyle w:val="44"/>
              <w:rPr>
                <w:color w:val="auto"/>
              </w:rPr>
            </w:pPr>
          </w:p>
        </w:tc>
        <w:tc>
          <w:tcPr>
            <w:tcW w:w="1755" w:type="pct"/>
            <w:noWrap/>
            <w:vAlign w:val="center"/>
          </w:tcPr>
          <w:p w14:paraId="57BA701A">
            <w:pPr>
              <w:pStyle w:val="44"/>
              <w:rPr>
                <w:color w:val="auto"/>
              </w:rPr>
            </w:pPr>
            <w:r>
              <w:rPr>
                <w:color w:val="auto"/>
              </w:rPr>
              <w:t>西城医院</w:t>
            </w:r>
          </w:p>
        </w:tc>
        <w:tc>
          <w:tcPr>
            <w:tcW w:w="1069" w:type="pct"/>
            <w:vMerge w:val="continue"/>
            <w:vAlign w:val="center"/>
          </w:tcPr>
          <w:p w14:paraId="12DACC39">
            <w:pPr>
              <w:pStyle w:val="44"/>
              <w:rPr>
                <w:color w:val="auto"/>
              </w:rPr>
            </w:pPr>
          </w:p>
        </w:tc>
        <w:tc>
          <w:tcPr>
            <w:tcW w:w="897" w:type="pct"/>
            <w:noWrap/>
            <w:vAlign w:val="center"/>
          </w:tcPr>
          <w:p w14:paraId="5E6BB72D">
            <w:pPr>
              <w:pStyle w:val="44"/>
              <w:rPr>
                <w:color w:val="auto"/>
              </w:rPr>
            </w:pPr>
            <w:r>
              <w:rPr>
                <w:color w:val="auto"/>
              </w:rPr>
              <w:t>2009年</w:t>
            </w:r>
          </w:p>
        </w:tc>
      </w:tr>
      <w:tr w14:paraId="5CE13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E7486EC">
            <w:pPr>
              <w:pStyle w:val="44"/>
              <w:rPr>
                <w:color w:val="auto"/>
              </w:rPr>
            </w:pPr>
            <w:r>
              <w:rPr>
                <w:color w:val="auto"/>
              </w:rPr>
              <w:t>13</w:t>
            </w:r>
          </w:p>
        </w:tc>
        <w:tc>
          <w:tcPr>
            <w:tcW w:w="839" w:type="pct"/>
            <w:noWrap/>
            <w:vAlign w:val="center"/>
          </w:tcPr>
          <w:p w14:paraId="428F4A80">
            <w:pPr>
              <w:pStyle w:val="44"/>
              <w:rPr>
                <w:color w:val="auto"/>
              </w:rPr>
            </w:pPr>
            <w:r>
              <w:rPr>
                <w:color w:val="auto"/>
              </w:rPr>
              <w:t>A04-1/06</w:t>
            </w:r>
          </w:p>
        </w:tc>
        <w:tc>
          <w:tcPr>
            <w:tcW w:w="1755" w:type="pct"/>
            <w:noWrap/>
            <w:vAlign w:val="center"/>
          </w:tcPr>
          <w:p w14:paraId="0ABDFCD1">
            <w:pPr>
              <w:pStyle w:val="44"/>
              <w:rPr>
                <w:color w:val="auto"/>
              </w:rPr>
            </w:pPr>
            <w:r>
              <w:rPr>
                <w:color w:val="auto"/>
              </w:rPr>
              <w:t>巴国龙庭</w:t>
            </w:r>
          </w:p>
        </w:tc>
        <w:tc>
          <w:tcPr>
            <w:tcW w:w="1069" w:type="pct"/>
            <w:noWrap/>
            <w:vAlign w:val="center"/>
          </w:tcPr>
          <w:p w14:paraId="1D870F8B">
            <w:pPr>
              <w:pStyle w:val="44"/>
              <w:rPr>
                <w:color w:val="auto"/>
              </w:rPr>
            </w:pPr>
            <w:r>
              <w:rPr>
                <w:color w:val="auto"/>
              </w:rPr>
              <w:t>3.54</w:t>
            </w:r>
          </w:p>
        </w:tc>
        <w:tc>
          <w:tcPr>
            <w:tcW w:w="897" w:type="pct"/>
            <w:noWrap/>
            <w:vAlign w:val="center"/>
          </w:tcPr>
          <w:p w14:paraId="2670FEC9">
            <w:pPr>
              <w:pStyle w:val="44"/>
              <w:rPr>
                <w:color w:val="auto"/>
              </w:rPr>
            </w:pPr>
            <w:r>
              <w:rPr>
                <w:color w:val="auto"/>
              </w:rPr>
              <w:t>2008年</w:t>
            </w:r>
          </w:p>
        </w:tc>
      </w:tr>
      <w:tr w14:paraId="28C7CD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6A9F27E">
            <w:pPr>
              <w:pStyle w:val="44"/>
              <w:rPr>
                <w:color w:val="auto"/>
              </w:rPr>
            </w:pPr>
            <w:r>
              <w:rPr>
                <w:color w:val="auto"/>
              </w:rPr>
              <w:t>14</w:t>
            </w:r>
          </w:p>
        </w:tc>
        <w:tc>
          <w:tcPr>
            <w:tcW w:w="839" w:type="pct"/>
            <w:noWrap/>
            <w:vAlign w:val="center"/>
          </w:tcPr>
          <w:p w14:paraId="0154AF4D">
            <w:pPr>
              <w:pStyle w:val="44"/>
              <w:rPr>
                <w:color w:val="auto"/>
              </w:rPr>
            </w:pPr>
            <w:r>
              <w:rPr>
                <w:color w:val="auto"/>
              </w:rPr>
              <w:t>A07-1/05</w:t>
            </w:r>
          </w:p>
        </w:tc>
        <w:tc>
          <w:tcPr>
            <w:tcW w:w="1755" w:type="pct"/>
            <w:noWrap/>
            <w:vAlign w:val="center"/>
          </w:tcPr>
          <w:p w14:paraId="3D3ADB22">
            <w:pPr>
              <w:pStyle w:val="44"/>
              <w:rPr>
                <w:color w:val="auto"/>
              </w:rPr>
            </w:pPr>
            <w:r>
              <w:rPr>
                <w:color w:val="auto"/>
              </w:rPr>
              <w:t>巴国公馆</w:t>
            </w:r>
          </w:p>
        </w:tc>
        <w:tc>
          <w:tcPr>
            <w:tcW w:w="1069" w:type="pct"/>
            <w:noWrap/>
            <w:vAlign w:val="center"/>
          </w:tcPr>
          <w:p w14:paraId="4490BF11">
            <w:pPr>
              <w:pStyle w:val="44"/>
              <w:rPr>
                <w:color w:val="auto"/>
              </w:rPr>
            </w:pPr>
            <w:r>
              <w:rPr>
                <w:color w:val="auto"/>
              </w:rPr>
              <w:t>5.64</w:t>
            </w:r>
          </w:p>
        </w:tc>
        <w:tc>
          <w:tcPr>
            <w:tcW w:w="897" w:type="pct"/>
            <w:noWrap/>
            <w:vAlign w:val="center"/>
          </w:tcPr>
          <w:p w14:paraId="5582AEAA">
            <w:pPr>
              <w:pStyle w:val="44"/>
              <w:rPr>
                <w:color w:val="auto"/>
              </w:rPr>
            </w:pPr>
            <w:r>
              <w:rPr>
                <w:color w:val="auto"/>
              </w:rPr>
              <w:t>2008年</w:t>
            </w:r>
          </w:p>
        </w:tc>
      </w:tr>
      <w:tr w14:paraId="32357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F0F5AA2">
            <w:pPr>
              <w:pStyle w:val="44"/>
              <w:rPr>
                <w:color w:val="auto"/>
              </w:rPr>
            </w:pPr>
            <w:r>
              <w:rPr>
                <w:color w:val="auto"/>
              </w:rPr>
              <w:t>15</w:t>
            </w:r>
          </w:p>
        </w:tc>
        <w:tc>
          <w:tcPr>
            <w:tcW w:w="839" w:type="pct"/>
            <w:noWrap/>
            <w:vAlign w:val="center"/>
          </w:tcPr>
          <w:p w14:paraId="3642D125">
            <w:pPr>
              <w:pStyle w:val="44"/>
              <w:rPr>
                <w:color w:val="auto"/>
              </w:rPr>
            </w:pPr>
            <w:r>
              <w:rPr>
                <w:color w:val="auto"/>
              </w:rPr>
              <w:t>Ae5-13/04</w:t>
            </w:r>
          </w:p>
        </w:tc>
        <w:tc>
          <w:tcPr>
            <w:tcW w:w="1755" w:type="pct"/>
            <w:noWrap/>
            <w:vAlign w:val="center"/>
          </w:tcPr>
          <w:p w14:paraId="61F1C3BA">
            <w:pPr>
              <w:pStyle w:val="44"/>
              <w:rPr>
                <w:color w:val="auto"/>
              </w:rPr>
            </w:pPr>
            <w:r>
              <w:rPr>
                <w:color w:val="auto"/>
              </w:rPr>
              <w:t>建材库房用地</w:t>
            </w:r>
          </w:p>
        </w:tc>
        <w:tc>
          <w:tcPr>
            <w:tcW w:w="1069" w:type="pct"/>
            <w:noWrap/>
            <w:vAlign w:val="center"/>
          </w:tcPr>
          <w:p w14:paraId="7E72C0BC">
            <w:pPr>
              <w:pStyle w:val="44"/>
              <w:rPr>
                <w:color w:val="auto"/>
              </w:rPr>
            </w:pPr>
            <w:r>
              <w:rPr>
                <w:color w:val="auto"/>
              </w:rPr>
              <w:t>0.98</w:t>
            </w:r>
          </w:p>
        </w:tc>
        <w:tc>
          <w:tcPr>
            <w:tcW w:w="897" w:type="pct"/>
            <w:noWrap/>
            <w:vAlign w:val="center"/>
          </w:tcPr>
          <w:p w14:paraId="54B2DA95">
            <w:pPr>
              <w:pStyle w:val="44"/>
              <w:rPr>
                <w:color w:val="auto"/>
              </w:rPr>
            </w:pPr>
            <w:r>
              <w:rPr>
                <w:color w:val="auto"/>
              </w:rPr>
              <w:t>2004年</w:t>
            </w:r>
          </w:p>
        </w:tc>
      </w:tr>
      <w:tr w14:paraId="1AFD4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119453B">
            <w:pPr>
              <w:pStyle w:val="44"/>
              <w:rPr>
                <w:color w:val="auto"/>
              </w:rPr>
            </w:pPr>
            <w:r>
              <w:rPr>
                <w:color w:val="auto"/>
              </w:rPr>
              <w:t>16</w:t>
            </w:r>
          </w:p>
        </w:tc>
        <w:tc>
          <w:tcPr>
            <w:tcW w:w="839" w:type="pct"/>
            <w:noWrap/>
            <w:vAlign w:val="center"/>
          </w:tcPr>
          <w:p w14:paraId="0EC61BB5">
            <w:pPr>
              <w:pStyle w:val="44"/>
              <w:rPr>
                <w:color w:val="auto"/>
              </w:rPr>
            </w:pPr>
            <w:r>
              <w:rPr>
                <w:color w:val="auto"/>
              </w:rPr>
              <w:t>Ae5-6/05</w:t>
            </w:r>
          </w:p>
        </w:tc>
        <w:tc>
          <w:tcPr>
            <w:tcW w:w="1755" w:type="pct"/>
            <w:noWrap/>
            <w:vAlign w:val="center"/>
          </w:tcPr>
          <w:p w14:paraId="218D572E">
            <w:pPr>
              <w:pStyle w:val="44"/>
              <w:rPr>
                <w:color w:val="auto"/>
              </w:rPr>
            </w:pPr>
            <w:r>
              <w:rPr>
                <w:color w:val="auto"/>
              </w:rPr>
              <w:t>绿云绣小区</w:t>
            </w:r>
          </w:p>
        </w:tc>
        <w:tc>
          <w:tcPr>
            <w:tcW w:w="1069" w:type="pct"/>
            <w:noWrap/>
            <w:vAlign w:val="center"/>
          </w:tcPr>
          <w:p w14:paraId="292BE8AA">
            <w:pPr>
              <w:pStyle w:val="44"/>
              <w:rPr>
                <w:color w:val="auto"/>
              </w:rPr>
            </w:pPr>
            <w:r>
              <w:rPr>
                <w:color w:val="auto"/>
              </w:rPr>
              <w:t>1.63</w:t>
            </w:r>
          </w:p>
        </w:tc>
        <w:tc>
          <w:tcPr>
            <w:tcW w:w="897" w:type="pct"/>
            <w:noWrap/>
            <w:vAlign w:val="center"/>
          </w:tcPr>
          <w:p w14:paraId="169D33D2">
            <w:pPr>
              <w:pStyle w:val="44"/>
              <w:rPr>
                <w:color w:val="auto"/>
              </w:rPr>
            </w:pPr>
            <w:r>
              <w:rPr>
                <w:color w:val="auto"/>
              </w:rPr>
              <w:t>2005年</w:t>
            </w:r>
          </w:p>
        </w:tc>
      </w:tr>
      <w:tr w14:paraId="36002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601428A">
            <w:pPr>
              <w:pStyle w:val="44"/>
              <w:rPr>
                <w:color w:val="auto"/>
              </w:rPr>
            </w:pPr>
            <w:r>
              <w:rPr>
                <w:color w:val="auto"/>
              </w:rPr>
              <w:t>17</w:t>
            </w:r>
          </w:p>
        </w:tc>
        <w:tc>
          <w:tcPr>
            <w:tcW w:w="839" w:type="pct"/>
            <w:vMerge w:val="restart"/>
            <w:noWrap/>
            <w:vAlign w:val="center"/>
          </w:tcPr>
          <w:p w14:paraId="464C9578">
            <w:pPr>
              <w:pStyle w:val="44"/>
              <w:rPr>
                <w:color w:val="auto"/>
              </w:rPr>
            </w:pPr>
            <w:r>
              <w:rPr>
                <w:color w:val="auto"/>
              </w:rPr>
              <w:t>Ae5-3/06</w:t>
            </w:r>
          </w:p>
        </w:tc>
        <w:tc>
          <w:tcPr>
            <w:tcW w:w="1755" w:type="pct"/>
            <w:noWrap/>
            <w:vAlign w:val="center"/>
          </w:tcPr>
          <w:p w14:paraId="3DC2EC0B">
            <w:pPr>
              <w:pStyle w:val="44"/>
              <w:rPr>
                <w:color w:val="auto"/>
              </w:rPr>
            </w:pPr>
            <w:r>
              <w:rPr>
                <w:color w:val="auto"/>
              </w:rPr>
              <w:t>广田巴国绿云小区</w:t>
            </w:r>
          </w:p>
        </w:tc>
        <w:tc>
          <w:tcPr>
            <w:tcW w:w="1069" w:type="pct"/>
            <w:vMerge w:val="restart"/>
            <w:noWrap/>
            <w:vAlign w:val="center"/>
          </w:tcPr>
          <w:p w14:paraId="6AFE4100">
            <w:pPr>
              <w:pStyle w:val="44"/>
              <w:rPr>
                <w:color w:val="auto"/>
              </w:rPr>
            </w:pPr>
            <w:r>
              <w:rPr>
                <w:color w:val="auto"/>
              </w:rPr>
              <w:t>1.88</w:t>
            </w:r>
          </w:p>
        </w:tc>
        <w:tc>
          <w:tcPr>
            <w:tcW w:w="897" w:type="pct"/>
            <w:noWrap/>
            <w:vAlign w:val="center"/>
          </w:tcPr>
          <w:p w14:paraId="5EEBA918">
            <w:pPr>
              <w:pStyle w:val="44"/>
              <w:rPr>
                <w:color w:val="auto"/>
              </w:rPr>
            </w:pPr>
            <w:r>
              <w:rPr>
                <w:color w:val="auto"/>
              </w:rPr>
              <w:t>2010年</w:t>
            </w:r>
          </w:p>
        </w:tc>
      </w:tr>
      <w:tr w14:paraId="55B4F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14834A7">
            <w:pPr>
              <w:pStyle w:val="44"/>
              <w:rPr>
                <w:color w:val="auto"/>
              </w:rPr>
            </w:pPr>
            <w:r>
              <w:rPr>
                <w:color w:val="auto"/>
              </w:rPr>
              <w:t>18</w:t>
            </w:r>
          </w:p>
        </w:tc>
        <w:tc>
          <w:tcPr>
            <w:tcW w:w="839" w:type="pct"/>
            <w:vMerge w:val="continue"/>
            <w:vAlign w:val="center"/>
          </w:tcPr>
          <w:p w14:paraId="104F6B48">
            <w:pPr>
              <w:pStyle w:val="44"/>
              <w:rPr>
                <w:color w:val="auto"/>
              </w:rPr>
            </w:pPr>
          </w:p>
        </w:tc>
        <w:tc>
          <w:tcPr>
            <w:tcW w:w="1755" w:type="pct"/>
            <w:noWrap/>
            <w:vAlign w:val="center"/>
          </w:tcPr>
          <w:p w14:paraId="4283B5C0">
            <w:pPr>
              <w:pStyle w:val="44"/>
              <w:rPr>
                <w:color w:val="auto"/>
              </w:rPr>
            </w:pPr>
            <w:r>
              <w:rPr>
                <w:color w:val="auto"/>
              </w:rPr>
              <w:t>重庆巴国城二手市场</w:t>
            </w:r>
          </w:p>
        </w:tc>
        <w:tc>
          <w:tcPr>
            <w:tcW w:w="1069" w:type="pct"/>
            <w:vMerge w:val="continue"/>
            <w:vAlign w:val="center"/>
          </w:tcPr>
          <w:p w14:paraId="5E9AC62C">
            <w:pPr>
              <w:pStyle w:val="44"/>
              <w:rPr>
                <w:color w:val="auto"/>
              </w:rPr>
            </w:pPr>
          </w:p>
        </w:tc>
        <w:tc>
          <w:tcPr>
            <w:tcW w:w="897" w:type="pct"/>
            <w:noWrap/>
            <w:vAlign w:val="center"/>
          </w:tcPr>
          <w:p w14:paraId="59D05DDF">
            <w:pPr>
              <w:pStyle w:val="44"/>
              <w:rPr>
                <w:color w:val="auto"/>
              </w:rPr>
            </w:pPr>
            <w:r>
              <w:rPr>
                <w:color w:val="auto"/>
              </w:rPr>
              <w:t>2009年</w:t>
            </w:r>
          </w:p>
        </w:tc>
      </w:tr>
      <w:tr w14:paraId="1E241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A8FD2D5">
            <w:pPr>
              <w:pStyle w:val="44"/>
              <w:rPr>
                <w:color w:val="auto"/>
              </w:rPr>
            </w:pPr>
            <w:r>
              <w:rPr>
                <w:color w:val="auto"/>
              </w:rPr>
              <w:t>19</w:t>
            </w:r>
          </w:p>
        </w:tc>
        <w:tc>
          <w:tcPr>
            <w:tcW w:w="839" w:type="pct"/>
            <w:vMerge w:val="restart"/>
            <w:noWrap/>
            <w:vAlign w:val="center"/>
          </w:tcPr>
          <w:p w14:paraId="302C7FB2">
            <w:pPr>
              <w:pStyle w:val="44"/>
              <w:rPr>
                <w:color w:val="auto"/>
              </w:rPr>
            </w:pPr>
            <w:r>
              <w:rPr>
                <w:color w:val="auto"/>
              </w:rPr>
              <w:t>NF1-7/06</w:t>
            </w:r>
          </w:p>
        </w:tc>
        <w:tc>
          <w:tcPr>
            <w:tcW w:w="1755" w:type="pct"/>
            <w:noWrap/>
            <w:vAlign w:val="center"/>
          </w:tcPr>
          <w:p w14:paraId="04EDB502">
            <w:pPr>
              <w:pStyle w:val="44"/>
              <w:rPr>
                <w:color w:val="auto"/>
              </w:rPr>
            </w:pPr>
            <w:r>
              <w:rPr>
                <w:color w:val="auto"/>
              </w:rPr>
              <w:t>泰亨集团</w:t>
            </w:r>
          </w:p>
        </w:tc>
        <w:tc>
          <w:tcPr>
            <w:tcW w:w="1069" w:type="pct"/>
            <w:vMerge w:val="restart"/>
            <w:noWrap/>
            <w:vAlign w:val="center"/>
          </w:tcPr>
          <w:p w14:paraId="2E0B7DAA">
            <w:pPr>
              <w:pStyle w:val="44"/>
              <w:rPr>
                <w:color w:val="auto"/>
              </w:rPr>
            </w:pPr>
            <w:r>
              <w:rPr>
                <w:color w:val="auto"/>
              </w:rPr>
              <w:t>1.2</w:t>
            </w:r>
          </w:p>
        </w:tc>
        <w:tc>
          <w:tcPr>
            <w:tcW w:w="897" w:type="pct"/>
            <w:noWrap/>
            <w:vAlign w:val="center"/>
          </w:tcPr>
          <w:p w14:paraId="3E31C1E7">
            <w:pPr>
              <w:pStyle w:val="44"/>
              <w:rPr>
                <w:color w:val="auto"/>
              </w:rPr>
            </w:pPr>
            <w:r>
              <w:rPr>
                <w:color w:val="auto"/>
              </w:rPr>
              <w:t>1999年</w:t>
            </w:r>
          </w:p>
        </w:tc>
      </w:tr>
      <w:tr w14:paraId="4E87B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B6F1BA0">
            <w:pPr>
              <w:pStyle w:val="44"/>
              <w:rPr>
                <w:color w:val="auto"/>
              </w:rPr>
            </w:pPr>
            <w:r>
              <w:rPr>
                <w:color w:val="auto"/>
              </w:rPr>
              <w:t>20　</w:t>
            </w:r>
          </w:p>
        </w:tc>
        <w:tc>
          <w:tcPr>
            <w:tcW w:w="839" w:type="pct"/>
            <w:vMerge w:val="continue"/>
            <w:vAlign w:val="center"/>
          </w:tcPr>
          <w:p w14:paraId="76C1ADBB">
            <w:pPr>
              <w:pStyle w:val="44"/>
              <w:rPr>
                <w:color w:val="auto"/>
              </w:rPr>
            </w:pPr>
          </w:p>
        </w:tc>
        <w:tc>
          <w:tcPr>
            <w:tcW w:w="1755" w:type="pct"/>
            <w:noWrap/>
            <w:vAlign w:val="center"/>
          </w:tcPr>
          <w:p w14:paraId="4BA022FC">
            <w:pPr>
              <w:pStyle w:val="44"/>
              <w:rPr>
                <w:color w:val="auto"/>
              </w:rPr>
            </w:pPr>
            <w:r>
              <w:rPr>
                <w:color w:val="auto"/>
              </w:rPr>
              <w:t>彩云印象</w:t>
            </w:r>
          </w:p>
        </w:tc>
        <w:tc>
          <w:tcPr>
            <w:tcW w:w="1069" w:type="pct"/>
            <w:vMerge w:val="continue"/>
            <w:vAlign w:val="center"/>
          </w:tcPr>
          <w:p w14:paraId="426BDB03">
            <w:pPr>
              <w:pStyle w:val="44"/>
              <w:rPr>
                <w:color w:val="auto"/>
              </w:rPr>
            </w:pPr>
          </w:p>
        </w:tc>
        <w:tc>
          <w:tcPr>
            <w:tcW w:w="897" w:type="pct"/>
            <w:noWrap/>
            <w:vAlign w:val="center"/>
          </w:tcPr>
          <w:p w14:paraId="20BB13F4">
            <w:pPr>
              <w:pStyle w:val="44"/>
              <w:rPr>
                <w:color w:val="auto"/>
              </w:rPr>
            </w:pPr>
            <w:r>
              <w:rPr>
                <w:color w:val="auto"/>
              </w:rPr>
              <w:t>2000年</w:t>
            </w:r>
          </w:p>
        </w:tc>
      </w:tr>
      <w:tr w14:paraId="4FB29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FC4013B">
            <w:pPr>
              <w:pStyle w:val="44"/>
              <w:rPr>
                <w:color w:val="auto"/>
              </w:rPr>
            </w:pPr>
            <w:r>
              <w:rPr>
                <w:color w:val="auto"/>
              </w:rPr>
              <w:t>21</w:t>
            </w:r>
          </w:p>
        </w:tc>
        <w:tc>
          <w:tcPr>
            <w:tcW w:w="839" w:type="pct"/>
            <w:noWrap/>
            <w:vAlign w:val="center"/>
          </w:tcPr>
          <w:p w14:paraId="79004C46">
            <w:pPr>
              <w:pStyle w:val="44"/>
              <w:rPr>
                <w:color w:val="auto"/>
              </w:rPr>
            </w:pPr>
            <w:r>
              <w:rPr>
                <w:color w:val="auto"/>
              </w:rPr>
              <w:t>NF1-9/06</w:t>
            </w:r>
          </w:p>
        </w:tc>
        <w:tc>
          <w:tcPr>
            <w:tcW w:w="1755" w:type="pct"/>
            <w:noWrap/>
            <w:vAlign w:val="center"/>
          </w:tcPr>
          <w:p w14:paraId="59EEF215">
            <w:pPr>
              <w:pStyle w:val="44"/>
              <w:rPr>
                <w:color w:val="auto"/>
              </w:rPr>
            </w:pPr>
            <w:r>
              <w:rPr>
                <w:color w:val="auto"/>
              </w:rPr>
              <w:t>财信时光里小区</w:t>
            </w:r>
          </w:p>
        </w:tc>
        <w:tc>
          <w:tcPr>
            <w:tcW w:w="1069" w:type="pct"/>
            <w:noWrap/>
            <w:vAlign w:val="center"/>
          </w:tcPr>
          <w:p w14:paraId="78A383CC">
            <w:pPr>
              <w:pStyle w:val="44"/>
              <w:rPr>
                <w:color w:val="auto"/>
              </w:rPr>
            </w:pPr>
            <w:r>
              <w:rPr>
                <w:color w:val="auto"/>
              </w:rPr>
              <w:t>2.08</w:t>
            </w:r>
          </w:p>
        </w:tc>
        <w:tc>
          <w:tcPr>
            <w:tcW w:w="897" w:type="pct"/>
            <w:noWrap/>
            <w:vAlign w:val="center"/>
          </w:tcPr>
          <w:p w14:paraId="1EE02FD4">
            <w:pPr>
              <w:pStyle w:val="44"/>
              <w:rPr>
                <w:color w:val="auto"/>
              </w:rPr>
            </w:pPr>
            <w:r>
              <w:rPr>
                <w:color w:val="auto"/>
              </w:rPr>
              <w:t>2017年</w:t>
            </w:r>
          </w:p>
        </w:tc>
      </w:tr>
      <w:tr w14:paraId="330DB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3D0A868">
            <w:pPr>
              <w:pStyle w:val="44"/>
              <w:rPr>
                <w:color w:val="auto"/>
              </w:rPr>
            </w:pPr>
            <w:r>
              <w:rPr>
                <w:color w:val="auto"/>
              </w:rPr>
              <w:t>22</w:t>
            </w:r>
          </w:p>
        </w:tc>
        <w:tc>
          <w:tcPr>
            <w:tcW w:w="839" w:type="pct"/>
            <w:noWrap/>
            <w:vAlign w:val="center"/>
          </w:tcPr>
          <w:p w14:paraId="51E48CFD">
            <w:pPr>
              <w:pStyle w:val="44"/>
              <w:rPr>
                <w:color w:val="auto"/>
              </w:rPr>
            </w:pPr>
            <w:r>
              <w:rPr>
                <w:color w:val="auto"/>
              </w:rPr>
              <w:t>NF1-8-3/05</w:t>
            </w:r>
          </w:p>
        </w:tc>
        <w:tc>
          <w:tcPr>
            <w:tcW w:w="1755" w:type="pct"/>
            <w:noWrap/>
            <w:vAlign w:val="center"/>
          </w:tcPr>
          <w:p w14:paraId="0DDF8D2F">
            <w:pPr>
              <w:pStyle w:val="44"/>
              <w:rPr>
                <w:color w:val="auto"/>
              </w:rPr>
            </w:pPr>
            <w:r>
              <w:rPr>
                <w:color w:val="auto"/>
              </w:rPr>
              <w:t>万科西城公园里小区</w:t>
            </w:r>
          </w:p>
        </w:tc>
        <w:tc>
          <w:tcPr>
            <w:tcW w:w="1069" w:type="pct"/>
            <w:noWrap/>
            <w:vAlign w:val="center"/>
          </w:tcPr>
          <w:p w14:paraId="0DB22FD8">
            <w:pPr>
              <w:pStyle w:val="44"/>
              <w:rPr>
                <w:color w:val="auto"/>
              </w:rPr>
            </w:pPr>
            <w:r>
              <w:rPr>
                <w:color w:val="auto"/>
              </w:rPr>
              <w:t>2.86</w:t>
            </w:r>
          </w:p>
        </w:tc>
        <w:tc>
          <w:tcPr>
            <w:tcW w:w="897" w:type="pct"/>
            <w:noWrap/>
            <w:vAlign w:val="center"/>
          </w:tcPr>
          <w:p w14:paraId="7CEF7901">
            <w:pPr>
              <w:pStyle w:val="44"/>
              <w:rPr>
                <w:color w:val="auto"/>
              </w:rPr>
            </w:pPr>
            <w:r>
              <w:rPr>
                <w:color w:val="auto"/>
              </w:rPr>
              <w:t>2014年</w:t>
            </w:r>
          </w:p>
        </w:tc>
      </w:tr>
      <w:tr w14:paraId="60A7B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C34F1F8">
            <w:pPr>
              <w:pStyle w:val="44"/>
              <w:rPr>
                <w:color w:val="auto"/>
              </w:rPr>
            </w:pPr>
            <w:r>
              <w:rPr>
                <w:color w:val="auto"/>
              </w:rPr>
              <w:t>23</w:t>
            </w:r>
          </w:p>
        </w:tc>
        <w:tc>
          <w:tcPr>
            <w:tcW w:w="839" w:type="pct"/>
            <w:noWrap/>
            <w:vAlign w:val="center"/>
          </w:tcPr>
          <w:p w14:paraId="69A2A127">
            <w:pPr>
              <w:pStyle w:val="44"/>
              <w:rPr>
                <w:color w:val="auto"/>
              </w:rPr>
            </w:pPr>
            <w:r>
              <w:rPr>
                <w:color w:val="auto"/>
              </w:rPr>
              <w:t>NF1-8-1/07</w:t>
            </w:r>
          </w:p>
        </w:tc>
        <w:tc>
          <w:tcPr>
            <w:tcW w:w="1755" w:type="pct"/>
            <w:noWrap/>
            <w:vAlign w:val="center"/>
          </w:tcPr>
          <w:p w14:paraId="21F5DF8A">
            <w:pPr>
              <w:pStyle w:val="44"/>
              <w:rPr>
                <w:color w:val="auto"/>
              </w:rPr>
            </w:pPr>
            <w:r>
              <w:rPr>
                <w:color w:val="auto"/>
              </w:rPr>
              <w:t>万科西城一期</w:t>
            </w:r>
          </w:p>
        </w:tc>
        <w:tc>
          <w:tcPr>
            <w:tcW w:w="1069" w:type="pct"/>
            <w:noWrap/>
            <w:vAlign w:val="center"/>
          </w:tcPr>
          <w:p w14:paraId="02F70A3A">
            <w:pPr>
              <w:pStyle w:val="44"/>
              <w:rPr>
                <w:color w:val="auto"/>
              </w:rPr>
            </w:pPr>
            <w:r>
              <w:rPr>
                <w:color w:val="auto"/>
              </w:rPr>
              <w:t>3.18</w:t>
            </w:r>
          </w:p>
        </w:tc>
        <w:tc>
          <w:tcPr>
            <w:tcW w:w="897" w:type="pct"/>
            <w:noWrap/>
            <w:vAlign w:val="center"/>
          </w:tcPr>
          <w:p w14:paraId="5E2DFFD4">
            <w:pPr>
              <w:pStyle w:val="44"/>
              <w:rPr>
                <w:color w:val="auto"/>
              </w:rPr>
            </w:pPr>
            <w:r>
              <w:rPr>
                <w:color w:val="auto"/>
              </w:rPr>
              <w:t>2013年</w:t>
            </w:r>
          </w:p>
        </w:tc>
      </w:tr>
      <w:tr w14:paraId="284F0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C3C290F">
            <w:pPr>
              <w:pStyle w:val="44"/>
              <w:rPr>
                <w:color w:val="auto"/>
              </w:rPr>
            </w:pPr>
            <w:r>
              <w:rPr>
                <w:color w:val="auto"/>
              </w:rPr>
              <w:t>24</w:t>
            </w:r>
          </w:p>
        </w:tc>
        <w:tc>
          <w:tcPr>
            <w:tcW w:w="839" w:type="pct"/>
            <w:noWrap/>
            <w:vAlign w:val="center"/>
          </w:tcPr>
          <w:p w14:paraId="225B8EF7">
            <w:pPr>
              <w:pStyle w:val="44"/>
              <w:rPr>
                <w:color w:val="auto"/>
              </w:rPr>
            </w:pPr>
            <w:r>
              <w:rPr>
                <w:color w:val="auto"/>
              </w:rPr>
              <w:t>QF2-1-1/06</w:t>
            </w:r>
          </w:p>
        </w:tc>
        <w:tc>
          <w:tcPr>
            <w:tcW w:w="1755" w:type="pct"/>
            <w:noWrap/>
            <w:vAlign w:val="center"/>
          </w:tcPr>
          <w:p w14:paraId="6A0FF89F">
            <w:pPr>
              <w:pStyle w:val="44"/>
              <w:rPr>
                <w:color w:val="auto"/>
              </w:rPr>
            </w:pPr>
            <w:r>
              <w:rPr>
                <w:color w:val="auto"/>
              </w:rPr>
              <w:t>云湖绿岛</w:t>
            </w:r>
          </w:p>
        </w:tc>
        <w:tc>
          <w:tcPr>
            <w:tcW w:w="1069" w:type="pct"/>
            <w:noWrap/>
            <w:vAlign w:val="center"/>
          </w:tcPr>
          <w:p w14:paraId="49EF0808">
            <w:pPr>
              <w:pStyle w:val="44"/>
              <w:rPr>
                <w:color w:val="auto"/>
              </w:rPr>
            </w:pPr>
            <w:r>
              <w:rPr>
                <w:color w:val="auto"/>
              </w:rPr>
              <w:t>3.25</w:t>
            </w:r>
          </w:p>
        </w:tc>
        <w:tc>
          <w:tcPr>
            <w:tcW w:w="897" w:type="pct"/>
            <w:noWrap/>
            <w:vAlign w:val="center"/>
          </w:tcPr>
          <w:p w14:paraId="56298EDC">
            <w:pPr>
              <w:pStyle w:val="44"/>
              <w:rPr>
                <w:color w:val="auto"/>
              </w:rPr>
            </w:pPr>
            <w:r>
              <w:rPr>
                <w:color w:val="auto"/>
              </w:rPr>
              <w:t>2008年</w:t>
            </w:r>
          </w:p>
        </w:tc>
      </w:tr>
      <w:tr w14:paraId="7FB94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1A473C4">
            <w:pPr>
              <w:pStyle w:val="44"/>
              <w:rPr>
                <w:color w:val="auto"/>
              </w:rPr>
            </w:pPr>
            <w:r>
              <w:rPr>
                <w:color w:val="auto"/>
              </w:rPr>
              <w:t>25</w:t>
            </w:r>
          </w:p>
        </w:tc>
        <w:tc>
          <w:tcPr>
            <w:tcW w:w="839" w:type="pct"/>
            <w:noWrap/>
            <w:vAlign w:val="center"/>
          </w:tcPr>
          <w:p w14:paraId="1BFBDD39">
            <w:pPr>
              <w:pStyle w:val="44"/>
              <w:rPr>
                <w:color w:val="auto"/>
              </w:rPr>
            </w:pPr>
            <w:r>
              <w:rPr>
                <w:color w:val="auto"/>
              </w:rPr>
              <w:t>QF2-1-5/06</w:t>
            </w:r>
          </w:p>
        </w:tc>
        <w:tc>
          <w:tcPr>
            <w:tcW w:w="1755" w:type="pct"/>
            <w:noWrap/>
            <w:vAlign w:val="center"/>
          </w:tcPr>
          <w:p w14:paraId="4FEDC55D">
            <w:pPr>
              <w:pStyle w:val="44"/>
              <w:rPr>
                <w:color w:val="auto"/>
              </w:rPr>
            </w:pPr>
            <w:r>
              <w:rPr>
                <w:color w:val="auto"/>
              </w:rPr>
              <w:t>柏景龙庭</w:t>
            </w:r>
          </w:p>
        </w:tc>
        <w:tc>
          <w:tcPr>
            <w:tcW w:w="1069" w:type="pct"/>
            <w:noWrap/>
            <w:vAlign w:val="center"/>
          </w:tcPr>
          <w:p w14:paraId="24BF05A1">
            <w:pPr>
              <w:pStyle w:val="44"/>
              <w:rPr>
                <w:color w:val="auto"/>
              </w:rPr>
            </w:pPr>
            <w:r>
              <w:rPr>
                <w:color w:val="auto"/>
              </w:rPr>
              <w:t>0.96</w:t>
            </w:r>
          </w:p>
        </w:tc>
        <w:tc>
          <w:tcPr>
            <w:tcW w:w="897" w:type="pct"/>
            <w:noWrap/>
            <w:vAlign w:val="center"/>
          </w:tcPr>
          <w:p w14:paraId="1FB3CF56">
            <w:pPr>
              <w:pStyle w:val="44"/>
              <w:rPr>
                <w:color w:val="auto"/>
              </w:rPr>
            </w:pPr>
            <w:r>
              <w:rPr>
                <w:color w:val="auto"/>
              </w:rPr>
              <w:t>2001年</w:t>
            </w:r>
          </w:p>
        </w:tc>
      </w:tr>
      <w:tr w14:paraId="667C8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9F39EB4">
            <w:pPr>
              <w:pStyle w:val="44"/>
              <w:rPr>
                <w:color w:val="auto"/>
              </w:rPr>
            </w:pPr>
            <w:r>
              <w:rPr>
                <w:color w:val="auto"/>
              </w:rPr>
              <w:t>26</w:t>
            </w:r>
          </w:p>
        </w:tc>
        <w:tc>
          <w:tcPr>
            <w:tcW w:w="839" w:type="pct"/>
            <w:noWrap/>
            <w:vAlign w:val="center"/>
          </w:tcPr>
          <w:p w14:paraId="4FBD089F">
            <w:pPr>
              <w:pStyle w:val="44"/>
              <w:rPr>
                <w:color w:val="auto"/>
              </w:rPr>
            </w:pPr>
            <w:r>
              <w:rPr>
                <w:color w:val="auto"/>
              </w:rPr>
              <w:t>QF2-5-1/05</w:t>
            </w:r>
          </w:p>
        </w:tc>
        <w:tc>
          <w:tcPr>
            <w:tcW w:w="1755" w:type="pct"/>
            <w:noWrap/>
            <w:vAlign w:val="center"/>
          </w:tcPr>
          <w:p w14:paraId="53C1BFE1">
            <w:pPr>
              <w:pStyle w:val="44"/>
              <w:rPr>
                <w:color w:val="auto"/>
              </w:rPr>
            </w:pPr>
            <w:r>
              <w:rPr>
                <w:color w:val="auto"/>
              </w:rPr>
              <w:t>奥园壹号巴黎苑</w:t>
            </w:r>
          </w:p>
        </w:tc>
        <w:tc>
          <w:tcPr>
            <w:tcW w:w="1069" w:type="pct"/>
            <w:noWrap/>
            <w:vAlign w:val="center"/>
          </w:tcPr>
          <w:p w14:paraId="4D3884A2">
            <w:pPr>
              <w:pStyle w:val="44"/>
              <w:rPr>
                <w:color w:val="auto"/>
              </w:rPr>
            </w:pPr>
            <w:r>
              <w:rPr>
                <w:color w:val="auto"/>
              </w:rPr>
              <w:t>6.53</w:t>
            </w:r>
          </w:p>
        </w:tc>
        <w:tc>
          <w:tcPr>
            <w:tcW w:w="897" w:type="pct"/>
            <w:noWrap/>
            <w:vAlign w:val="center"/>
          </w:tcPr>
          <w:p w14:paraId="24229D2D">
            <w:pPr>
              <w:pStyle w:val="44"/>
              <w:rPr>
                <w:color w:val="auto"/>
              </w:rPr>
            </w:pPr>
            <w:r>
              <w:rPr>
                <w:color w:val="auto"/>
              </w:rPr>
              <w:t>2015年</w:t>
            </w:r>
          </w:p>
        </w:tc>
      </w:tr>
      <w:tr w14:paraId="7ED624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077056D">
            <w:pPr>
              <w:pStyle w:val="44"/>
              <w:rPr>
                <w:color w:val="auto"/>
              </w:rPr>
            </w:pPr>
            <w:r>
              <w:rPr>
                <w:color w:val="auto"/>
              </w:rPr>
              <w:t>27</w:t>
            </w:r>
          </w:p>
        </w:tc>
        <w:tc>
          <w:tcPr>
            <w:tcW w:w="839" w:type="pct"/>
            <w:noWrap/>
            <w:vAlign w:val="center"/>
          </w:tcPr>
          <w:p w14:paraId="607C8C4D">
            <w:pPr>
              <w:pStyle w:val="44"/>
              <w:rPr>
                <w:color w:val="auto"/>
              </w:rPr>
            </w:pPr>
            <w:r>
              <w:rPr>
                <w:color w:val="auto"/>
              </w:rPr>
              <w:t>QF3-1/05</w:t>
            </w:r>
          </w:p>
        </w:tc>
        <w:tc>
          <w:tcPr>
            <w:tcW w:w="1755" w:type="pct"/>
            <w:noWrap/>
            <w:vAlign w:val="center"/>
          </w:tcPr>
          <w:p w14:paraId="4CCC86B3">
            <w:pPr>
              <w:pStyle w:val="44"/>
              <w:rPr>
                <w:color w:val="auto"/>
              </w:rPr>
            </w:pPr>
            <w:r>
              <w:rPr>
                <w:color w:val="auto"/>
              </w:rPr>
              <w:t>盘龙金茂悦</w:t>
            </w:r>
          </w:p>
        </w:tc>
        <w:tc>
          <w:tcPr>
            <w:tcW w:w="1069" w:type="pct"/>
            <w:noWrap/>
            <w:vAlign w:val="center"/>
          </w:tcPr>
          <w:p w14:paraId="5795E37E">
            <w:pPr>
              <w:pStyle w:val="44"/>
              <w:rPr>
                <w:color w:val="auto"/>
              </w:rPr>
            </w:pPr>
            <w:r>
              <w:rPr>
                <w:color w:val="auto"/>
              </w:rPr>
              <w:t>4.67</w:t>
            </w:r>
          </w:p>
        </w:tc>
        <w:tc>
          <w:tcPr>
            <w:tcW w:w="897" w:type="pct"/>
            <w:noWrap/>
            <w:vAlign w:val="center"/>
          </w:tcPr>
          <w:p w14:paraId="0D21A94F">
            <w:pPr>
              <w:pStyle w:val="44"/>
              <w:rPr>
                <w:color w:val="auto"/>
              </w:rPr>
            </w:pPr>
            <w:r>
              <w:rPr>
                <w:color w:val="auto"/>
              </w:rPr>
              <w:t>2014年</w:t>
            </w:r>
          </w:p>
        </w:tc>
      </w:tr>
      <w:tr w14:paraId="0ABB0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0E39243C">
            <w:pPr>
              <w:pStyle w:val="44"/>
              <w:rPr>
                <w:color w:val="auto"/>
              </w:rPr>
            </w:pPr>
            <w:r>
              <w:rPr>
                <w:color w:val="auto"/>
              </w:rPr>
              <w:t>28</w:t>
            </w:r>
          </w:p>
        </w:tc>
        <w:tc>
          <w:tcPr>
            <w:tcW w:w="839" w:type="pct"/>
            <w:noWrap/>
            <w:vAlign w:val="center"/>
          </w:tcPr>
          <w:p w14:paraId="64A86E3C">
            <w:pPr>
              <w:pStyle w:val="44"/>
              <w:rPr>
                <w:color w:val="auto"/>
              </w:rPr>
            </w:pPr>
            <w:r>
              <w:rPr>
                <w:color w:val="auto"/>
              </w:rPr>
              <w:t>QF3-6-3-1/05</w:t>
            </w:r>
          </w:p>
        </w:tc>
        <w:tc>
          <w:tcPr>
            <w:tcW w:w="1755" w:type="pct"/>
            <w:noWrap/>
            <w:vAlign w:val="center"/>
          </w:tcPr>
          <w:p w14:paraId="5F72AE7A">
            <w:pPr>
              <w:pStyle w:val="44"/>
              <w:rPr>
                <w:color w:val="auto"/>
              </w:rPr>
            </w:pPr>
            <w:r>
              <w:rPr>
                <w:color w:val="auto"/>
              </w:rPr>
              <w:t>新渝医院</w:t>
            </w:r>
          </w:p>
        </w:tc>
        <w:tc>
          <w:tcPr>
            <w:tcW w:w="1069" w:type="pct"/>
            <w:noWrap/>
            <w:vAlign w:val="center"/>
          </w:tcPr>
          <w:p w14:paraId="03BD3553">
            <w:pPr>
              <w:pStyle w:val="44"/>
              <w:rPr>
                <w:color w:val="auto"/>
              </w:rPr>
            </w:pPr>
            <w:r>
              <w:rPr>
                <w:color w:val="auto"/>
              </w:rPr>
              <w:t>2.39</w:t>
            </w:r>
          </w:p>
        </w:tc>
        <w:tc>
          <w:tcPr>
            <w:tcW w:w="897" w:type="pct"/>
            <w:noWrap/>
            <w:vAlign w:val="center"/>
          </w:tcPr>
          <w:p w14:paraId="387C635C">
            <w:pPr>
              <w:pStyle w:val="44"/>
              <w:rPr>
                <w:color w:val="auto"/>
              </w:rPr>
            </w:pPr>
            <w:r>
              <w:rPr>
                <w:color w:val="auto"/>
              </w:rPr>
              <w:t>2006年</w:t>
            </w:r>
          </w:p>
        </w:tc>
      </w:tr>
      <w:tr w14:paraId="4C81C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7CFA2E6">
            <w:pPr>
              <w:pStyle w:val="44"/>
              <w:rPr>
                <w:color w:val="auto"/>
              </w:rPr>
            </w:pPr>
            <w:r>
              <w:rPr>
                <w:color w:val="auto"/>
              </w:rPr>
              <w:t>29</w:t>
            </w:r>
          </w:p>
        </w:tc>
        <w:tc>
          <w:tcPr>
            <w:tcW w:w="839" w:type="pct"/>
            <w:noWrap/>
            <w:vAlign w:val="center"/>
          </w:tcPr>
          <w:p w14:paraId="44A83F04">
            <w:pPr>
              <w:pStyle w:val="44"/>
              <w:rPr>
                <w:color w:val="auto"/>
              </w:rPr>
            </w:pPr>
            <w:r>
              <w:rPr>
                <w:color w:val="auto"/>
              </w:rPr>
              <w:t>QF3-6-3-2/05</w:t>
            </w:r>
          </w:p>
        </w:tc>
        <w:tc>
          <w:tcPr>
            <w:tcW w:w="1755" w:type="pct"/>
            <w:noWrap/>
            <w:vAlign w:val="center"/>
          </w:tcPr>
          <w:p w14:paraId="6EBE0E1B">
            <w:pPr>
              <w:pStyle w:val="44"/>
              <w:rPr>
                <w:color w:val="auto"/>
              </w:rPr>
            </w:pPr>
            <w:r>
              <w:rPr>
                <w:color w:val="auto"/>
              </w:rPr>
              <w:t>盘龙兴苑</w:t>
            </w:r>
          </w:p>
        </w:tc>
        <w:tc>
          <w:tcPr>
            <w:tcW w:w="1069" w:type="pct"/>
            <w:noWrap/>
            <w:vAlign w:val="center"/>
          </w:tcPr>
          <w:p w14:paraId="70654824">
            <w:pPr>
              <w:pStyle w:val="44"/>
              <w:rPr>
                <w:color w:val="auto"/>
              </w:rPr>
            </w:pPr>
            <w:r>
              <w:rPr>
                <w:color w:val="auto"/>
              </w:rPr>
              <w:t>0.89</w:t>
            </w:r>
          </w:p>
        </w:tc>
        <w:tc>
          <w:tcPr>
            <w:tcW w:w="897" w:type="pct"/>
            <w:noWrap/>
            <w:vAlign w:val="center"/>
          </w:tcPr>
          <w:p w14:paraId="502547B2">
            <w:pPr>
              <w:pStyle w:val="44"/>
              <w:rPr>
                <w:color w:val="auto"/>
              </w:rPr>
            </w:pPr>
            <w:r>
              <w:rPr>
                <w:color w:val="auto"/>
              </w:rPr>
              <w:t>2007年</w:t>
            </w:r>
          </w:p>
        </w:tc>
      </w:tr>
      <w:tr w14:paraId="38FE1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3B12A75">
            <w:pPr>
              <w:pStyle w:val="44"/>
              <w:rPr>
                <w:color w:val="auto"/>
              </w:rPr>
            </w:pPr>
            <w:r>
              <w:rPr>
                <w:color w:val="auto"/>
              </w:rPr>
              <w:t>30</w:t>
            </w:r>
          </w:p>
        </w:tc>
        <w:tc>
          <w:tcPr>
            <w:tcW w:w="839" w:type="pct"/>
            <w:noWrap/>
            <w:vAlign w:val="center"/>
          </w:tcPr>
          <w:p w14:paraId="046A44F1">
            <w:pPr>
              <w:pStyle w:val="44"/>
              <w:rPr>
                <w:color w:val="auto"/>
              </w:rPr>
            </w:pPr>
            <w:r>
              <w:rPr>
                <w:color w:val="auto"/>
              </w:rPr>
              <w:t>QF6-1/04</w:t>
            </w:r>
          </w:p>
        </w:tc>
        <w:tc>
          <w:tcPr>
            <w:tcW w:w="1755" w:type="pct"/>
            <w:noWrap/>
            <w:vAlign w:val="center"/>
          </w:tcPr>
          <w:p w14:paraId="55AF6BD7">
            <w:pPr>
              <w:pStyle w:val="44"/>
              <w:rPr>
                <w:color w:val="auto"/>
              </w:rPr>
            </w:pPr>
            <w:r>
              <w:rPr>
                <w:color w:val="auto"/>
              </w:rPr>
              <w:t>盘龙新城社区委员会</w:t>
            </w:r>
          </w:p>
        </w:tc>
        <w:tc>
          <w:tcPr>
            <w:tcW w:w="1069" w:type="pct"/>
            <w:noWrap/>
            <w:vAlign w:val="center"/>
          </w:tcPr>
          <w:p w14:paraId="46D094BF">
            <w:pPr>
              <w:pStyle w:val="44"/>
              <w:rPr>
                <w:color w:val="auto"/>
              </w:rPr>
            </w:pPr>
            <w:r>
              <w:rPr>
                <w:color w:val="auto"/>
              </w:rPr>
              <w:t>1.85</w:t>
            </w:r>
          </w:p>
        </w:tc>
        <w:tc>
          <w:tcPr>
            <w:tcW w:w="897" w:type="pct"/>
            <w:noWrap/>
            <w:vAlign w:val="center"/>
          </w:tcPr>
          <w:p w14:paraId="0F8A31AD">
            <w:pPr>
              <w:pStyle w:val="44"/>
              <w:rPr>
                <w:color w:val="auto"/>
              </w:rPr>
            </w:pPr>
            <w:r>
              <w:rPr>
                <w:color w:val="auto"/>
              </w:rPr>
              <w:t>2010年</w:t>
            </w:r>
          </w:p>
        </w:tc>
      </w:tr>
      <w:tr w14:paraId="2C56A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2BA371A">
            <w:pPr>
              <w:pStyle w:val="44"/>
              <w:rPr>
                <w:color w:val="auto"/>
              </w:rPr>
            </w:pPr>
            <w:r>
              <w:rPr>
                <w:color w:val="auto"/>
              </w:rPr>
              <w:t>31</w:t>
            </w:r>
          </w:p>
        </w:tc>
        <w:tc>
          <w:tcPr>
            <w:tcW w:w="839" w:type="pct"/>
            <w:noWrap/>
            <w:vAlign w:val="center"/>
          </w:tcPr>
          <w:p w14:paraId="44726DF2">
            <w:pPr>
              <w:pStyle w:val="44"/>
              <w:rPr>
                <w:color w:val="auto"/>
              </w:rPr>
            </w:pPr>
            <w:r>
              <w:rPr>
                <w:color w:val="auto"/>
              </w:rPr>
              <w:t>QF6-3-1/07</w:t>
            </w:r>
          </w:p>
        </w:tc>
        <w:tc>
          <w:tcPr>
            <w:tcW w:w="1755" w:type="pct"/>
            <w:noWrap/>
            <w:vAlign w:val="center"/>
          </w:tcPr>
          <w:p w14:paraId="3DAA26BF">
            <w:pPr>
              <w:pStyle w:val="44"/>
              <w:rPr>
                <w:color w:val="auto"/>
              </w:rPr>
            </w:pPr>
            <w:r>
              <w:rPr>
                <w:color w:val="auto"/>
              </w:rPr>
              <w:t>联发欣悦</w:t>
            </w:r>
          </w:p>
        </w:tc>
        <w:tc>
          <w:tcPr>
            <w:tcW w:w="1069" w:type="pct"/>
            <w:noWrap/>
            <w:vAlign w:val="center"/>
          </w:tcPr>
          <w:p w14:paraId="6C5484ED">
            <w:pPr>
              <w:pStyle w:val="44"/>
              <w:rPr>
                <w:color w:val="auto"/>
              </w:rPr>
            </w:pPr>
            <w:r>
              <w:rPr>
                <w:color w:val="auto"/>
              </w:rPr>
              <w:t>3.56</w:t>
            </w:r>
          </w:p>
        </w:tc>
        <w:tc>
          <w:tcPr>
            <w:tcW w:w="897" w:type="pct"/>
            <w:noWrap/>
            <w:vAlign w:val="center"/>
          </w:tcPr>
          <w:p w14:paraId="73C87787">
            <w:pPr>
              <w:pStyle w:val="44"/>
              <w:rPr>
                <w:color w:val="auto"/>
              </w:rPr>
            </w:pPr>
            <w:r>
              <w:rPr>
                <w:color w:val="auto"/>
              </w:rPr>
              <w:t>2014年</w:t>
            </w:r>
          </w:p>
        </w:tc>
      </w:tr>
      <w:tr w14:paraId="62C3C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8117AB7">
            <w:pPr>
              <w:pStyle w:val="44"/>
              <w:rPr>
                <w:color w:val="auto"/>
              </w:rPr>
            </w:pPr>
            <w:r>
              <w:rPr>
                <w:color w:val="auto"/>
              </w:rPr>
              <w:t>32</w:t>
            </w:r>
          </w:p>
        </w:tc>
        <w:tc>
          <w:tcPr>
            <w:tcW w:w="839" w:type="pct"/>
            <w:noWrap/>
            <w:vAlign w:val="center"/>
          </w:tcPr>
          <w:p w14:paraId="294DE4B5">
            <w:pPr>
              <w:pStyle w:val="44"/>
              <w:rPr>
                <w:color w:val="auto"/>
              </w:rPr>
            </w:pPr>
            <w:r>
              <w:rPr>
                <w:color w:val="auto"/>
              </w:rPr>
              <w:t>QF6-3-2/07</w:t>
            </w:r>
          </w:p>
        </w:tc>
        <w:tc>
          <w:tcPr>
            <w:tcW w:w="1755" w:type="pct"/>
            <w:noWrap/>
            <w:vAlign w:val="center"/>
          </w:tcPr>
          <w:p w14:paraId="34D3BB05">
            <w:pPr>
              <w:pStyle w:val="44"/>
              <w:rPr>
                <w:color w:val="auto"/>
              </w:rPr>
            </w:pPr>
            <w:r>
              <w:rPr>
                <w:color w:val="auto"/>
              </w:rPr>
              <w:t>九龙星光</w:t>
            </w:r>
          </w:p>
        </w:tc>
        <w:tc>
          <w:tcPr>
            <w:tcW w:w="1069" w:type="pct"/>
            <w:noWrap/>
            <w:vAlign w:val="center"/>
          </w:tcPr>
          <w:p w14:paraId="7959A6E7">
            <w:pPr>
              <w:pStyle w:val="44"/>
              <w:rPr>
                <w:color w:val="auto"/>
              </w:rPr>
            </w:pPr>
            <w:r>
              <w:rPr>
                <w:color w:val="auto"/>
              </w:rPr>
              <w:t>4.59</w:t>
            </w:r>
          </w:p>
        </w:tc>
        <w:tc>
          <w:tcPr>
            <w:tcW w:w="897" w:type="pct"/>
            <w:noWrap/>
            <w:vAlign w:val="center"/>
          </w:tcPr>
          <w:p w14:paraId="44A06E55">
            <w:pPr>
              <w:pStyle w:val="44"/>
              <w:rPr>
                <w:color w:val="auto"/>
              </w:rPr>
            </w:pPr>
            <w:r>
              <w:rPr>
                <w:color w:val="auto"/>
              </w:rPr>
              <w:t>2012年</w:t>
            </w:r>
          </w:p>
        </w:tc>
      </w:tr>
      <w:tr w14:paraId="7AB6C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9E72026">
            <w:pPr>
              <w:pStyle w:val="44"/>
              <w:rPr>
                <w:color w:val="auto"/>
              </w:rPr>
            </w:pPr>
            <w:r>
              <w:rPr>
                <w:color w:val="auto"/>
              </w:rPr>
              <w:t>33</w:t>
            </w:r>
          </w:p>
        </w:tc>
        <w:tc>
          <w:tcPr>
            <w:tcW w:w="839" w:type="pct"/>
            <w:noWrap/>
            <w:vAlign w:val="center"/>
          </w:tcPr>
          <w:p w14:paraId="609D01E9">
            <w:pPr>
              <w:pStyle w:val="44"/>
              <w:rPr>
                <w:color w:val="auto"/>
              </w:rPr>
            </w:pPr>
            <w:r>
              <w:rPr>
                <w:color w:val="auto"/>
              </w:rPr>
              <w:t>QF6-3-3/07</w:t>
            </w:r>
          </w:p>
        </w:tc>
        <w:tc>
          <w:tcPr>
            <w:tcW w:w="1755" w:type="pct"/>
            <w:noWrap/>
            <w:vAlign w:val="center"/>
          </w:tcPr>
          <w:p w14:paraId="616EE361">
            <w:pPr>
              <w:pStyle w:val="44"/>
              <w:rPr>
                <w:color w:val="auto"/>
              </w:rPr>
            </w:pPr>
            <w:r>
              <w:rPr>
                <w:color w:val="auto"/>
              </w:rPr>
              <w:t>盘龙新城社区服务中心</w:t>
            </w:r>
          </w:p>
        </w:tc>
        <w:tc>
          <w:tcPr>
            <w:tcW w:w="1069" w:type="pct"/>
            <w:noWrap/>
            <w:vAlign w:val="center"/>
          </w:tcPr>
          <w:p w14:paraId="0AE5AD48">
            <w:pPr>
              <w:pStyle w:val="44"/>
              <w:rPr>
                <w:color w:val="auto"/>
              </w:rPr>
            </w:pPr>
            <w:r>
              <w:rPr>
                <w:color w:val="auto"/>
              </w:rPr>
              <w:t>0.33</w:t>
            </w:r>
          </w:p>
        </w:tc>
        <w:tc>
          <w:tcPr>
            <w:tcW w:w="897" w:type="pct"/>
            <w:noWrap/>
            <w:vAlign w:val="center"/>
          </w:tcPr>
          <w:p w14:paraId="4BDDD0BD">
            <w:pPr>
              <w:pStyle w:val="44"/>
              <w:rPr>
                <w:color w:val="auto"/>
              </w:rPr>
            </w:pPr>
            <w:r>
              <w:rPr>
                <w:color w:val="auto"/>
              </w:rPr>
              <w:t>2000年</w:t>
            </w:r>
          </w:p>
        </w:tc>
      </w:tr>
      <w:tr w14:paraId="16211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F339D15">
            <w:pPr>
              <w:pStyle w:val="44"/>
              <w:rPr>
                <w:color w:val="auto"/>
              </w:rPr>
            </w:pPr>
            <w:r>
              <w:rPr>
                <w:color w:val="auto"/>
              </w:rPr>
              <w:t>34</w:t>
            </w:r>
          </w:p>
        </w:tc>
        <w:tc>
          <w:tcPr>
            <w:tcW w:w="839" w:type="pct"/>
            <w:noWrap/>
            <w:vAlign w:val="center"/>
          </w:tcPr>
          <w:p w14:paraId="5CD9E7CB">
            <w:pPr>
              <w:pStyle w:val="44"/>
              <w:rPr>
                <w:color w:val="auto"/>
              </w:rPr>
            </w:pPr>
            <w:r>
              <w:rPr>
                <w:color w:val="auto"/>
              </w:rPr>
              <w:t>QF9-6-3/06</w:t>
            </w:r>
          </w:p>
        </w:tc>
        <w:tc>
          <w:tcPr>
            <w:tcW w:w="1755" w:type="pct"/>
            <w:noWrap/>
            <w:vAlign w:val="center"/>
          </w:tcPr>
          <w:p w14:paraId="41D6C469">
            <w:pPr>
              <w:pStyle w:val="44"/>
              <w:rPr>
                <w:color w:val="auto"/>
              </w:rPr>
            </w:pPr>
            <w:r>
              <w:rPr>
                <w:color w:val="auto"/>
              </w:rPr>
              <w:t>依云美舍小区</w:t>
            </w:r>
          </w:p>
        </w:tc>
        <w:tc>
          <w:tcPr>
            <w:tcW w:w="1069" w:type="pct"/>
            <w:noWrap/>
            <w:vAlign w:val="center"/>
          </w:tcPr>
          <w:p w14:paraId="0FAA23F1">
            <w:pPr>
              <w:pStyle w:val="44"/>
              <w:rPr>
                <w:color w:val="auto"/>
              </w:rPr>
            </w:pPr>
            <w:r>
              <w:rPr>
                <w:color w:val="auto"/>
              </w:rPr>
              <w:t>0.9</w:t>
            </w:r>
          </w:p>
        </w:tc>
        <w:tc>
          <w:tcPr>
            <w:tcW w:w="897" w:type="pct"/>
            <w:noWrap/>
            <w:vAlign w:val="center"/>
          </w:tcPr>
          <w:p w14:paraId="429012FB">
            <w:pPr>
              <w:pStyle w:val="44"/>
              <w:rPr>
                <w:color w:val="auto"/>
              </w:rPr>
            </w:pPr>
            <w:r>
              <w:rPr>
                <w:color w:val="auto"/>
              </w:rPr>
              <w:t>2005年</w:t>
            </w:r>
          </w:p>
        </w:tc>
      </w:tr>
      <w:tr w14:paraId="27B03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CDE8A2D">
            <w:pPr>
              <w:pStyle w:val="44"/>
              <w:rPr>
                <w:color w:val="auto"/>
              </w:rPr>
            </w:pPr>
            <w:r>
              <w:rPr>
                <w:color w:val="auto"/>
              </w:rPr>
              <w:t>35</w:t>
            </w:r>
          </w:p>
        </w:tc>
        <w:tc>
          <w:tcPr>
            <w:tcW w:w="839" w:type="pct"/>
            <w:noWrap/>
            <w:vAlign w:val="center"/>
          </w:tcPr>
          <w:p w14:paraId="6A48B816">
            <w:pPr>
              <w:pStyle w:val="44"/>
              <w:rPr>
                <w:color w:val="auto"/>
              </w:rPr>
            </w:pPr>
            <w:r>
              <w:rPr>
                <w:color w:val="auto"/>
              </w:rPr>
              <w:t>F9-9-1/06</w:t>
            </w:r>
          </w:p>
        </w:tc>
        <w:tc>
          <w:tcPr>
            <w:tcW w:w="1755" w:type="pct"/>
            <w:noWrap/>
            <w:vAlign w:val="center"/>
          </w:tcPr>
          <w:p w14:paraId="28915687">
            <w:pPr>
              <w:pStyle w:val="44"/>
              <w:rPr>
                <w:color w:val="auto"/>
              </w:rPr>
            </w:pPr>
            <w:r>
              <w:rPr>
                <w:color w:val="auto"/>
              </w:rPr>
              <w:t>中冶建工集团交通公司</w:t>
            </w:r>
          </w:p>
        </w:tc>
        <w:tc>
          <w:tcPr>
            <w:tcW w:w="1069" w:type="pct"/>
            <w:noWrap/>
            <w:vAlign w:val="center"/>
          </w:tcPr>
          <w:p w14:paraId="0BF02834">
            <w:pPr>
              <w:pStyle w:val="44"/>
              <w:rPr>
                <w:color w:val="auto"/>
              </w:rPr>
            </w:pPr>
            <w:r>
              <w:rPr>
                <w:color w:val="auto"/>
              </w:rPr>
              <w:t>1.33</w:t>
            </w:r>
          </w:p>
        </w:tc>
        <w:tc>
          <w:tcPr>
            <w:tcW w:w="897" w:type="pct"/>
            <w:noWrap/>
            <w:vAlign w:val="center"/>
          </w:tcPr>
          <w:p w14:paraId="78D46BDF">
            <w:pPr>
              <w:pStyle w:val="44"/>
              <w:rPr>
                <w:color w:val="auto"/>
              </w:rPr>
            </w:pPr>
            <w:r>
              <w:rPr>
                <w:color w:val="auto"/>
              </w:rPr>
              <w:t>2012年</w:t>
            </w:r>
          </w:p>
        </w:tc>
      </w:tr>
      <w:tr w14:paraId="78FF0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54154A0">
            <w:pPr>
              <w:pStyle w:val="44"/>
              <w:rPr>
                <w:color w:val="auto"/>
              </w:rPr>
            </w:pPr>
            <w:r>
              <w:rPr>
                <w:color w:val="auto"/>
              </w:rPr>
              <w:t>36</w:t>
            </w:r>
          </w:p>
        </w:tc>
        <w:tc>
          <w:tcPr>
            <w:tcW w:w="839" w:type="pct"/>
            <w:noWrap/>
            <w:vAlign w:val="center"/>
          </w:tcPr>
          <w:p w14:paraId="33282067">
            <w:pPr>
              <w:pStyle w:val="44"/>
              <w:rPr>
                <w:color w:val="auto"/>
              </w:rPr>
            </w:pPr>
            <w:r>
              <w:rPr>
                <w:color w:val="auto"/>
              </w:rPr>
              <w:t>Bf7-1-1/05</w:t>
            </w:r>
          </w:p>
        </w:tc>
        <w:tc>
          <w:tcPr>
            <w:tcW w:w="1755" w:type="pct"/>
            <w:noWrap/>
            <w:vAlign w:val="center"/>
          </w:tcPr>
          <w:p w14:paraId="26111CFF">
            <w:pPr>
              <w:pStyle w:val="44"/>
              <w:rPr>
                <w:color w:val="auto"/>
              </w:rPr>
            </w:pPr>
            <w:r>
              <w:rPr>
                <w:color w:val="auto"/>
              </w:rPr>
              <w:t>双龙苑小区</w:t>
            </w:r>
          </w:p>
        </w:tc>
        <w:tc>
          <w:tcPr>
            <w:tcW w:w="1069" w:type="pct"/>
            <w:noWrap/>
            <w:vAlign w:val="center"/>
          </w:tcPr>
          <w:p w14:paraId="14A19572">
            <w:pPr>
              <w:pStyle w:val="44"/>
              <w:rPr>
                <w:color w:val="auto"/>
              </w:rPr>
            </w:pPr>
            <w:r>
              <w:rPr>
                <w:color w:val="auto"/>
              </w:rPr>
              <w:t>6.95</w:t>
            </w:r>
          </w:p>
        </w:tc>
        <w:tc>
          <w:tcPr>
            <w:tcW w:w="897" w:type="pct"/>
            <w:noWrap/>
            <w:vAlign w:val="center"/>
          </w:tcPr>
          <w:p w14:paraId="04890064">
            <w:pPr>
              <w:pStyle w:val="44"/>
              <w:rPr>
                <w:color w:val="auto"/>
              </w:rPr>
            </w:pPr>
            <w:r>
              <w:rPr>
                <w:color w:val="auto"/>
              </w:rPr>
              <w:t>2008年</w:t>
            </w:r>
          </w:p>
        </w:tc>
      </w:tr>
      <w:tr w14:paraId="0F582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6FB68C6">
            <w:pPr>
              <w:pStyle w:val="44"/>
              <w:rPr>
                <w:color w:val="auto"/>
              </w:rPr>
            </w:pPr>
            <w:r>
              <w:rPr>
                <w:color w:val="auto"/>
              </w:rPr>
              <w:t>37</w:t>
            </w:r>
          </w:p>
        </w:tc>
        <w:tc>
          <w:tcPr>
            <w:tcW w:w="839" w:type="pct"/>
            <w:noWrap/>
            <w:vAlign w:val="center"/>
          </w:tcPr>
          <w:p w14:paraId="2C55C14E">
            <w:pPr>
              <w:pStyle w:val="44"/>
              <w:rPr>
                <w:color w:val="auto"/>
              </w:rPr>
            </w:pPr>
            <w:r>
              <w:rPr>
                <w:color w:val="auto"/>
              </w:rPr>
              <w:t>Bf7-1-2/05</w:t>
            </w:r>
          </w:p>
        </w:tc>
        <w:tc>
          <w:tcPr>
            <w:tcW w:w="1755" w:type="pct"/>
            <w:noWrap/>
            <w:vAlign w:val="center"/>
          </w:tcPr>
          <w:p w14:paraId="4BA5E0DC">
            <w:pPr>
              <w:pStyle w:val="44"/>
              <w:rPr>
                <w:color w:val="auto"/>
              </w:rPr>
            </w:pPr>
            <w:r>
              <w:rPr>
                <w:color w:val="auto"/>
              </w:rPr>
              <w:t>龙泉苑小区</w:t>
            </w:r>
          </w:p>
        </w:tc>
        <w:tc>
          <w:tcPr>
            <w:tcW w:w="1069" w:type="pct"/>
            <w:noWrap/>
            <w:vAlign w:val="center"/>
          </w:tcPr>
          <w:p w14:paraId="3B383C83">
            <w:pPr>
              <w:pStyle w:val="44"/>
              <w:rPr>
                <w:color w:val="auto"/>
              </w:rPr>
            </w:pPr>
            <w:r>
              <w:rPr>
                <w:color w:val="auto"/>
              </w:rPr>
              <w:t>0.45</w:t>
            </w:r>
          </w:p>
        </w:tc>
        <w:tc>
          <w:tcPr>
            <w:tcW w:w="897" w:type="pct"/>
            <w:noWrap/>
            <w:vAlign w:val="center"/>
          </w:tcPr>
          <w:p w14:paraId="0814C0DF">
            <w:pPr>
              <w:pStyle w:val="44"/>
              <w:rPr>
                <w:color w:val="auto"/>
              </w:rPr>
            </w:pPr>
            <w:r>
              <w:rPr>
                <w:color w:val="auto"/>
              </w:rPr>
              <w:t>2009年</w:t>
            </w:r>
          </w:p>
        </w:tc>
      </w:tr>
      <w:tr w14:paraId="68BB7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05619A2">
            <w:pPr>
              <w:pStyle w:val="44"/>
              <w:rPr>
                <w:color w:val="auto"/>
              </w:rPr>
            </w:pPr>
            <w:r>
              <w:rPr>
                <w:color w:val="auto"/>
              </w:rPr>
              <w:t>38</w:t>
            </w:r>
          </w:p>
        </w:tc>
        <w:tc>
          <w:tcPr>
            <w:tcW w:w="839" w:type="pct"/>
            <w:noWrap/>
            <w:vAlign w:val="center"/>
          </w:tcPr>
          <w:p w14:paraId="21B72F01">
            <w:pPr>
              <w:pStyle w:val="44"/>
              <w:rPr>
                <w:color w:val="auto"/>
              </w:rPr>
            </w:pPr>
            <w:r>
              <w:rPr>
                <w:color w:val="auto"/>
              </w:rPr>
              <w:t>Bf7-1-3/05</w:t>
            </w:r>
          </w:p>
        </w:tc>
        <w:tc>
          <w:tcPr>
            <w:tcW w:w="1755" w:type="pct"/>
            <w:noWrap/>
            <w:vAlign w:val="center"/>
          </w:tcPr>
          <w:p w14:paraId="2F48FB59">
            <w:pPr>
              <w:pStyle w:val="44"/>
              <w:rPr>
                <w:color w:val="auto"/>
              </w:rPr>
            </w:pPr>
            <w:r>
              <w:rPr>
                <w:color w:val="auto"/>
              </w:rPr>
              <w:t>龙泉怡苑小区</w:t>
            </w:r>
          </w:p>
        </w:tc>
        <w:tc>
          <w:tcPr>
            <w:tcW w:w="1069" w:type="pct"/>
            <w:noWrap/>
            <w:vAlign w:val="center"/>
          </w:tcPr>
          <w:p w14:paraId="4F62BF8F">
            <w:pPr>
              <w:pStyle w:val="44"/>
              <w:rPr>
                <w:color w:val="auto"/>
              </w:rPr>
            </w:pPr>
            <w:r>
              <w:rPr>
                <w:color w:val="auto"/>
              </w:rPr>
              <w:t>0.83</w:t>
            </w:r>
          </w:p>
        </w:tc>
        <w:tc>
          <w:tcPr>
            <w:tcW w:w="897" w:type="pct"/>
            <w:noWrap/>
            <w:vAlign w:val="center"/>
          </w:tcPr>
          <w:p w14:paraId="36A9505B">
            <w:pPr>
              <w:pStyle w:val="44"/>
              <w:rPr>
                <w:color w:val="auto"/>
              </w:rPr>
            </w:pPr>
            <w:r>
              <w:rPr>
                <w:color w:val="auto"/>
              </w:rPr>
              <w:t>2010年</w:t>
            </w:r>
          </w:p>
        </w:tc>
      </w:tr>
      <w:tr w14:paraId="51EE7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F449B36">
            <w:pPr>
              <w:pStyle w:val="44"/>
              <w:rPr>
                <w:color w:val="auto"/>
              </w:rPr>
            </w:pPr>
            <w:r>
              <w:rPr>
                <w:color w:val="auto"/>
              </w:rPr>
              <w:t>39</w:t>
            </w:r>
          </w:p>
        </w:tc>
        <w:tc>
          <w:tcPr>
            <w:tcW w:w="839" w:type="pct"/>
            <w:noWrap/>
            <w:vAlign w:val="center"/>
          </w:tcPr>
          <w:p w14:paraId="61279FFC">
            <w:pPr>
              <w:pStyle w:val="44"/>
              <w:rPr>
                <w:color w:val="auto"/>
              </w:rPr>
            </w:pPr>
            <w:r>
              <w:rPr>
                <w:color w:val="auto"/>
              </w:rPr>
              <w:t>Bf7-5/06</w:t>
            </w:r>
          </w:p>
        </w:tc>
        <w:tc>
          <w:tcPr>
            <w:tcW w:w="1755" w:type="pct"/>
            <w:noWrap/>
            <w:vAlign w:val="center"/>
          </w:tcPr>
          <w:p w14:paraId="71FC77FD">
            <w:pPr>
              <w:pStyle w:val="44"/>
              <w:rPr>
                <w:color w:val="auto"/>
              </w:rPr>
            </w:pPr>
            <w:r>
              <w:rPr>
                <w:color w:val="auto"/>
              </w:rPr>
              <w:t>龙泉村31号小区</w:t>
            </w:r>
          </w:p>
        </w:tc>
        <w:tc>
          <w:tcPr>
            <w:tcW w:w="1069" w:type="pct"/>
            <w:noWrap/>
            <w:vAlign w:val="center"/>
          </w:tcPr>
          <w:p w14:paraId="74A0808E">
            <w:pPr>
              <w:pStyle w:val="44"/>
              <w:rPr>
                <w:color w:val="auto"/>
              </w:rPr>
            </w:pPr>
            <w:r>
              <w:rPr>
                <w:color w:val="auto"/>
              </w:rPr>
              <w:t>0.31</w:t>
            </w:r>
          </w:p>
        </w:tc>
        <w:tc>
          <w:tcPr>
            <w:tcW w:w="897" w:type="pct"/>
            <w:noWrap/>
            <w:vAlign w:val="center"/>
          </w:tcPr>
          <w:p w14:paraId="2D2B21EA">
            <w:pPr>
              <w:pStyle w:val="44"/>
              <w:rPr>
                <w:color w:val="auto"/>
              </w:rPr>
            </w:pPr>
            <w:r>
              <w:rPr>
                <w:color w:val="auto"/>
              </w:rPr>
              <w:t>2009年</w:t>
            </w:r>
          </w:p>
        </w:tc>
      </w:tr>
      <w:tr w14:paraId="0D604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B8D0D78">
            <w:pPr>
              <w:pStyle w:val="44"/>
              <w:rPr>
                <w:color w:val="auto"/>
              </w:rPr>
            </w:pPr>
            <w:r>
              <w:rPr>
                <w:color w:val="auto"/>
              </w:rPr>
              <w:t>40</w:t>
            </w:r>
          </w:p>
        </w:tc>
        <w:tc>
          <w:tcPr>
            <w:tcW w:w="839" w:type="pct"/>
            <w:noWrap/>
            <w:vAlign w:val="center"/>
          </w:tcPr>
          <w:p w14:paraId="62D27716">
            <w:pPr>
              <w:pStyle w:val="44"/>
              <w:rPr>
                <w:color w:val="auto"/>
              </w:rPr>
            </w:pPr>
            <w:r>
              <w:rPr>
                <w:color w:val="auto"/>
              </w:rPr>
              <w:t>Bf7-6-1/02</w:t>
            </w:r>
          </w:p>
        </w:tc>
        <w:tc>
          <w:tcPr>
            <w:tcW w:w="1755" w:type="pct"/>
            <w:noWrap/>
            <w:vAlign w:val="center"/>
          </w:tcPr>
          <w:p w14:paraId="6F3DAB90">
            <w:pPr>
              <w:pStyle w:val="44"/>
              <w:rPr>
                <w:color w:val="auto"/>
              </w:rPr>
            </w:pPr>
            <w:r>
              <w:rPr>
                <w:color w:val="auto"/>
              </w:rPr>
              <w:t>龙泉村28号小区</w:t>
            </w:r>
          </w:p>
        </w:tc>
        <w:tc>
          <w:tcPr>
            <w:tcW w:w="1069" w:type="pct"/>
            <w:noWrap/>
            <w:vAlign w:val="center"/>
          </w:tcPr>
          <w:p w14:paraId="7FB3168D">
            <w:pPr>
              <w:pStyle w:val="44"/>
              <w:rPr>
                <w:color w:val="auto"/>
              </w:rPr>
            </w:pPr>
            <w:r>
              <w:rPr>
                <w:color w:val="auto"/>
              </w:rPr>
              <w:t>0.87</w:t>
            </w:r>
          </w:p>
        </w:tc>
        <w:tc>
          <w:tcPr>
            <w:tcW w:w="897" w:type="pct"/>
            <w:noWrap/>
            <w:vAlign w:val="center"/>
          </w:tcPr>
          <w:p w14:paraId="625463C1">
            <w:pPr>
              <w:pStyle w:val="44"/>
              <w:rPr>
                <w:color w:val="auto"/>
              </w:rPr>
            </w:pPr>
            <w:r>
              <w:rPr>
                <w:color w:val="auto"/>
              </w:rPr>
              <w:t>2009年</w:t>
            </w:r>
          </w:p>
        </w:tc>
      </w:tr>
      <w:tr w14:paraId="26F3E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2448811">
            <w:pPr>
              <w:pStyle w:val="44"/>
              <w:rPr>
                <w:color w:val="auto"/>
              </w:rPr>
            </w:pPr>
            <w:r>
              <w:rPr>
                <w:color w:val="auto"/>
              </w:rPr>
              <w:t>41</w:t>
            </w:r>
          </w:p>
        </w:tc>
        <w:tc>
          <w:tcPr>
            <w:tcW w:w="839" w:type="pct"/>
            <w:noWrap/>
            <w:vAlign w:val="center"/>
          </w:tcPr>
          <w:p w14:paraId="2BE12C55">
            <w:pPr>
              <w:pStyle w:val="44"/>
              <w:rPr>
                <w:color w:val="auto"/>
              </w:rPr>
            </w:pPr>
            <w:r>
              <w:rPr>
                <w:color w:val="auto"/>
              </w:rPr>
              <w:t>Bf7-6-2/02</w:t>
            </w:r>
          </w:p>
        </w:tc>
        <w:tc>
          <w:tcPr>
            <w:tcW w:w="1755" w:type="pct"/>
            <w:noWrap/>
            <w:vAlign w:val="center"/>
          </w:tcPr>
          <w:p w14:paraId="1AB2293B">
            <w:pPr>
              <w:pStyle w:val="44"/>
              <w:rPr>
                <w:color w:val="auto"/>
              </w:rPr>
            </w:pPr>
            <w:r>
              <w:rPr>
                <w:color w:val="auto"/>
              </w:rPr>
              <w:t>福星大酒店</w:t>
            </w:r>
          </w:p>
        </w:tc>
        <w:tc>
          <w:tcPr>
            <w:tcW w:w="1069" w:type="pct"/>
            <w:noWrap/>
            <w:vAlign w:val="center"/>
          </w:tcPr>
          <w:p w14:paraId="4A0BC070">
            <w:pPr>
              <w:pStyle w:val="44"/>
              <w:rPr>
                <w:color w:val="auto"/>
              </w:rPr>
            </w:pPr>
            <w:r>
              <w:rPr>
                <w:color w:val="auto"/>
              </w:rPr>
              <w:t>0.31</w:t>
            </w:r>
          </w:p>
        </w:tc>
        <w:tc>
          <w:tcPr>
            <w:tcW w:w="897" w:type="pct"/>
            <w:noWrap/>
            <w:vAlign w:val="center"/>
          </w:tcPr>
          <w:p w14:paraId="045FD3F0">
            <w:pPr>
              <w:pStyle w:val="44"/>
              <w:rPr>
                <w:color w:val="auto"/>
              </w:rPr>
            </w:pPr>
            <w:r>
              <w:rPr>
                <w:color w:val="auto"/>
              </w:rPr>
              <w:t>2003年</w:t>
            </w:r>
          </w:p>
        </w:tc>
      </w:tr>
      <w:tr w14:paraId="7DDDC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78E0294">
            <w:pPr>
              <w:pStyle w:val="44"/>
              <w:rPr>
                <w:color w:val="auto"/>
              </w:rPr>
            </w:pPr>
            <w:r>
              <w:rPr>
                <w:color w:val="auto"/>
              </w:rPr>
              <w:t>42</w:t>
            </w:r>
          </w:p>
        </w:tc>
        <w:tc>
          <w:tcPr>
            <w:tcW w:w="839" w:type="pct"/>
            <w:noWrap/>
            <w:vAlign w:val="center"/>
          </w:tcPr>
          <w:p w14:paraId="53CFA48C">
            <w:pPr>
              <w:pStyle w:val="44"/>
              <w:rPr>
                <w:color w:val="auto"/>
              </w:rPr>
            </w:pPr>
            <w:r>
              <w:rPr>
                <w:color w:val="auto"/>
              </w:rPr>
              <w:t>Bf8-1-5/05</w:t>
            </w:r>
          </w:p>
        </w:tc>
        <w:tc>
          <w:tcPr>
            <w:tcW w:w="1755" w:type="pct"/>
            <w:noWrap/>
            <w:vAlign w:val="center"/>
          </w:tcPr>
          <w:p w14:paraId="24717E04">
            <w:pPr>
              <w:pStyle w:val="44"/>
              <w:rPr>
                <w:color w:val="auto"/>
              </w:rPr>
            </w:pPr>
            <w:r>
              <w:rPr>
                <w:color w:val="auto"/>
              </w:rPr>
              <w:t>九龙坡区驾校</w:t>
            </w:r>
            <w:r>
              <w:rPr>
                <w:color w:val="auto"/>
              </w:rPr>
              <w:br w:type="textWrapping"/>
            </w:r>
            <w:r>
              <w:rPr>
                <w:color w:val="auto"/>
              </w:rPr>
              <w:t>龙泉村17号住宅楼</w:t>
            </w:r>
          </w:p>
        </w:tc>
        <w:tc>
          <w:tcPr>
            <w:tcW w:w="1069" w:type="pct"/>
            <w:noWrap/>
            <w:vAlign w:val="center"/>
          </w:tcPr>
          <w:p w14:paraId="09C60AC8">
            <w:pPr>
              <w:pStyle w:val="44"/>
              <w:rPr>
                <w:color w:val="auto"/>
              </w:rPr>
            </w:pPr>
            <w:r>
              <w:rPr>
                <w:color w:val="auto"/>
              </w:rPr>
              <w:t>1.31</w:t>
            </w:r>
          </w:p>
        </w:tc>
        <w:tc>
          <w:tcPr>
            <w:tcW w:w="897" w:type="pct"/>
            <w:noWrap/>
            <w:vAlign w:val="center"/>
          </w:tcPr>
          <w:p w14:paraId="070DF6FB">
            <w:pPr>
              <w:pStyle w:val="44"/>
              <w:rPr>
                <w:color w:val="auto"/>
              </w:rPr>
            </w:pPr>
            <w:r>
              <w:rPr>
                <w:color w:val="auto"/>
              </w:rPr>
              <w:t>2009年</w:t>
            </w:r>
          </w:p>
        </w:tc>
      </w:tr>
      <w:tr w14:paraId="7B6D6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0507D8A">
            <w:pPr>
              <w:pStyle w:val="44"/>
              <w:rPr>
                <w:color w:val="auto"/>
              </w:rPr>
            </w:pPr>
            <w:r>
              <w:rPr>
                <w:color w:val="auto"/>
              </w:rPr>
              <w:t>43</w:t>
            </w:r>
          </w:p>
        </w:tc>
        <w:tc>
          <w:tcPr>
            <w:tcW w:w="839" w:type="pct"/>
            <w:noWrap/>
            <w:vAlign w:val="center"/>
          </w:tcPr>
          <w:p w14:paraId="7E9A0585">
            <w:pPr>
              <w:pStyle w:val="44"/>
              <w:rPr>
                <w:color w:val="auto"/>
              </w:rPr>
            </w:pPr>
            <w:r>
              <w:rPr>
                <w:color w:val="auto"/>
              </w:rPr>
              <w:t>Bf8-4/05</w:t>
            </w:r>
          </w:p>
        </w:tc>
        <w:tc>
          <w:tcPr>
            <w:tcW w:w="1755" w:type="pct"/>
            <w:noWrap/>
            <w:vAlign w:val="center"/>
          </w:tcPr>
          <w:p w14:paraId="20B33DFA">
            <w:pPr>
              <w:pStyle w:val="44"/>
              <w:rPr>
                <w:color w:val="auto"/>
              </w:rPr>
            </w:pPr>
            <w:r>
              <w:rPr>
                <w:color w:val="auto"/>
              </w:rPr>
              <w:t>福星颐美名阁小区</w:t>
            </w:r>
          </w:p>
        </w:tc>
        <w:tc>
          <w:tcPr>
            <w:tcW w:w="1069" w:type="pct"/>
            <w:noWrap/>
            <w:vAlign w:val="center"/>
          </w:tcPr>
          <w:p w14:paraId="032E8288">
            <w:pPr>
              <w:pStyle w:val="44"/>
              <w:rPr>
                <w:color w:val="auto"/>
              </w:rPr>
            </w:pPr>
            <w:r>
              <w:rPr>
                <w:color w:val="auto"/>
              </w:rPr>
              <w:t>1.33</w:t>
            </w:r>
          </w:p>
        </w:tc>
        <w:tc>
          <w:tcPr>
            <w:tcW w:w="897" w:type="pct"/>
            <w:noWrap/>
            <w:vAlign w:val="center"/>
          </w:tcPr>
          <w:p w14:paraId="668190FA">
            <w:pPr>
              <w:pStyle w:val="44"/>
              <w:rPr>
                <w:color w:val="auto"/>
              </w:rPr>
            </w:pPr>
            <w:r>
              <w:rPr>
                <w:color w:val="auto"/>
              </w:rPr>
              <w:t>2007年</w:t>
            </w:r>
          </w:p>
        </w:tc>
      </w:tr>
      <w:tr w14:paraId="631DB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DC23EB1">
            <w:pPr>
              <w:pStyle w:val="44"/>
              <w:rPr>
                <w:color w:val="auto"/>
              </w:rPr>
            </w:pPr>
            <w:r>
              <w:rPr>
                <w:color w:val="auto"/>
              </w:rPr>
              <w:t>44</w:t>
            </w:r>
          </w:p>
        </w:tc>
        <w:tc>
          <w:tcPr>
            <w:tcW w:w="839" w:type="pct"/>
            <w:noWrap/>
            <w:vAlign w:val="center"/>
          </w:tcPr>
          <w:p w14:paraId="5F023BDB">
            <w:pPr>
              <w:pStyle w:val="44"/>
              <w:rPr>
                <w:color w:val="auto"/>
              </w:rPr>
            </w:pPr>
            <w:r>
              <w:rPr>
                <w:color w:val="auto"/>
              </w:rPr>
              <w:t>Bf8-5/05</w:t>
            </w:r>
          </w:p>
        </w:tc>
        <w:tc>
          <w:tcPr>
            <w:tcW w:w="1755" w:type="pct"/>
            <w:noWrap/>
            <w:vAlign w:val="center"/>
          </w:tcPr>
          <w:p w14:paraId="3E94DABA">
            <w:pPr>
              <w:pStyle w:val="44"/>
              <w:rPr>
                <w:color w:val="auto"/>
              </w:rPr>
            </w:pPr>
            <w:r>
              <w:rPr>
                <w:color w:val="auto"/>
              </w:rPr>
              <w:t>福星颐美名阁小区</w:t>
            </w:r>
          </w:p>
        </w:tc>
        <w:tc>
          <w:tcPr>
            <w:tcW w:w="1069" w:type="pct"/>
            <w:noWrap/>
            <w:vAlign w:val="center"/>
          </w:tcPr>
          <w:p w14:paraId="7C42B324">
            <w:pPr>
              <w:pStyle w:val="44"/>
              <w:rPr>
                <w:color w:val="auto"/>
              </w:rPr>
            </w:pPr>
            <w:r>
              <w:rPr>
                <w:color w:val="auto"/>
              </w:rPr>
              <w:t>0.07</w:t>
            </w:r>
          </w:p>
        </w:tc>
        <w:tc>
          <w:tcPr>
            <w:tcW w:w="897" w:type="pct"/>
            <w:noWrap/>
            <w:vAlign w:val="center"/>
          </w:tcPr>
          <w:p w14:paraId="5DDDE190">
            <w:pPr>
              <w:pStyle w:val="44"/>
              <w:rPr>
                <w:color w:val="auto"/>
              </w:rPr>
            </w:pPr>
            <w:r>
              <w:rPr>
                <w:color w:val="auto"/>
              </w:rPr>
              <w:t>2007年</w:t>
            </w:r>
          </w:p>
        </w:tc>
      </w:tr>
      <w:tr w14:paraId="70023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6C153E5">
            <w:pPr>
              <w:pStyle w:val="44"/>
              <w:rPr>
                <w:color w:val="auto"/>
              </w:rPr>
            </w:pPr>
            <w:r>
              <w:rPr>
                <w:color w:val="auto"/>
              </w:rPr>
              <w:t>45</w:t>
            </w:r>
          </w:p>
        </w:tc>
        <w:tc>
          <w:tcPr>
            <w:tcW w:w="839" w:type="pct"/>
            <w:noWrap/>
            <w:vAlign w:val="center"/>
          </w:tcPr>
          <w:p w14:paraId="62672BE6">
            <w:pPr>
              <w:pStyle w:val="44"/>
              <w:rPr>
                <w:color w:val="auto"/>
              </w:rPr>
            </w:pPr>
            <w:r>
              <w:rPr>
                <w:color w:val="auto"/>
              </w:rPr>
              <w:t>Bf8-1-2/05</w:t>
            </w:r>
          </w:p>
        </w:tc>
        <w:tc>
          <w:tcPr>
            <w:tcW w:w="1755" w:type="pct"/>
            <w:noWrap/>
            <w:vAlign w:val="center"/>
          </w:tcPr>
          <w:p w14:paraId="5C9240F8">
            <w:pPr>
              <w:pStyle w:val="44"/>
              <w:rPr>
                <w:color w:val="auto"/>
              </w:rPr>
            </w:pPr>
            <w:r>
              <w:rPr>
                <w:color w:val="auto"/>
              </w:rPr>
              <w:t>友发钢管集团</w:t>
            </w:r>
          </w:p>
        </w:tc>
        <w:tc>
          <w:tcPr>
            <w:tcW w:w="1069" w:type="pct"/>
            <w:noWrap/>
            <w:vAlign w:val="center"/>
          </w:tcPr>
          <w:p w14:paraId="0D169F46">
            <w:pPr>
              <w:pStyle w:val="44"/>
              <w:rPr>
                <w:color w:val="auto"/>
              </w:rPr>
            </w:pPr>
            <w:r>
              <w:rPr>
                <w:color w:val="auto"/>
              </w:rPr>
              <w:t>0.74</w:t>
            </w:r>
          </w:p>
        </w:tc>
        <w:tc>
          <w:tcPr>
            <w:tcW w:w="897" w:type="pct"/>
            <w:noWrap/>
            <w:vAlign w:val="center"/>
          </w:tcPr>
          <w:p w14:paraId="171120BB">
            <w:pPr>
              <w:pStyle w:val="44"/>
              <w:rPr>
                <w:color w:val="auto"/>
              </w:rPr>
            </w:pPr>
            <w:r>
              <w:rPr>
                <w:color w:val="auto"/>
              </w:rPr>
              <w:t>2010年</w:t>
            </w:r>
          </w:p>
        </w:tc>
      </w:tr>
      <w:tr w14:paraId="67F8B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852AE94">
            <w:pPr>
              <w:pStyle w:val="44"/>
              <w:rPr>
                <w:color w:val="auto"/>
              </w:rPr>
            </w:pPr>
            <w:r>
              <w:rPr>
                <w:color w:val="auto"/>
              </w:rPr>
              <w:t>46</w:t>
            </w:r>
          </w:p>
        </w:tc>
        <w:tc>
          <w:tcPr>
            <w:tcW w:w="839" w:type="pct"/>
            <w:noWrap/>
            <w:vAlign w:val="center"/>
          </w:tcPr>
          <w:p w14:paraId="49EB8084">
            <w:pPr>
              <w:pStyle w:val="44"/>
              <w:rPr>
                <w:color w:val="auto"/>
              </w:rPr>
            </w:pPr>
            <w:r>
              <w:rPr>
                <w:color w:val="auto"/>
              </w:rPr>
              <w:t>Ab11-4/01</w:t>
            </w:r>
          </w:p>
        </w:tc>
        <w:tc>
          <w:tcPr>
            <w:tcW w:w="1755" w:type="pct"/>
            <w:noWrap/>
            <w:vAlign w:val="center"/>
          </w:tcPr>
          <w:p w14:paraId="5A95AE2D">
            <w:pPr>
              <w:pStyle w:val="44"/>
              <w:rPr>
                <w:color w:val="auto"/>
              </w:rPr>
            </w:pPr>
            <w:r>
              <w:rPr>
                <w:color w:val="auto"/>
              </w:rPr>
              <w:t>绿云钢材市场A区</w:t>
            </w:r>
          </w:p>
        </w:tc>
        <w:tc>
          <w:tcPr>
            <w:tcW w:w="1069" w:type="pct"/>
            <w:noWrap/>
            <w:vAlign w:val="center"/>
          </w:tcPr>
          <w:p w14:paraId="4960CCE1">
            <w:pPr>
              <w:pStyle w:val="44"/>
              <w:rPr>
                <w:color w:val="auto"/>
              </w:rPr>
            </w:pPr>
            <w:r>
              <w:rPr>
                <w:color w:val="auto"/>
              </w:rPr>
              <w:t>4.56</w:t>
            </w:r>
          </w:p>
        </w:tc>
        <w:tc>
          <w:tcPr>
            <w:tcW w:w="897" w:type="pct"/>
            <w:noWrap/>
            <w:vAlign w:val="center"/>
          </w:tcPr>
          <w:p w14:paraId="37FAA7D8">
            <w:pPr>
              <w:pStyle w:val="44"/>
              <w:rPr>
                <w:color w:val="auto"/>
              </w:rPr>
            </w:pPr>
            <w:r>
              <w:rPr>
                <w:color w:val="auto"/>
              </w:rPr>
              <w:t>2003年</w:t>
            </w:r>
          </w:p>
        </w:tc>
      </w:tr>
      <w:tr w14:paraId="7291A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1BFB983">
            <w:pPr>
              <w:pStyle w:val="44"/>
              <w:rPr>
                <w:color w:val="auto"/>
              </w:rPr>
            </w:pPr>
            <w:r>
              <w:rPr>
                <w:color w:val="auto"/>
              </w:rPr>
              <w:t>47</w:t>
            </w:r>
          </w:p>
        </w:tc>
        <w:tc>
          <w:tcPr>
            <w:tcW w:w="839" w:type="pct"/>
            <w:noWrap/>
            <w:vAlign w:val="center"/>
          </w:tcPr>
          <w:p w14:paraId="5E7D44AF">
            <w:pPr>
              <w:pStyle w:val="44"/>
              <w:rPr>
                <w:color w:val="auto"/>
              </w:rPr>
            </w:pPr>
            <w:r>
              <w:rPr>
                <w:color w:val="auto"/>
              </w:rPr>
              <w:t>A01-4/05</w:t>
            </w:r>
          </w:p>
        </w:tc>
        <w:tc>
          <w:tcPr>
            <w:tcW w:w="1755" w:type="pct"/>
            <w:noWrap/>
            <w:vAlign w:val="center"/>
          </w:tcPr>
          <w:p w14:paraId="5639E74C">
            <w:pPr>
              <w:pStyle w:val="44"/>
              <w:rPr>
                <w:color w:val="auto"/>
              </w:rPr>
            </w:pPr>
            <w:r>
              <w:rPr>
                <w:color w:val="auto"/>
              </w:rPr>
              <w:t>重庆五美机电有限公司</w:t>
            </w:r>
          </w:p>
        </w:tc>
        <w:tc>
          <w:tcPr>
            <w:tcW w:w="1069" w:type="pct"/>
            <w:noWrap/>
            <w:vAlign w:val="center"/>
          </w:tcPr>
          <w:p w14:paraId="53310F46">
            <w:pPr>
              <w:pStyle w:val="44"/>
              <w:rPr>
                <w:color w:val="auto"/>
              </w:rPr>
            </w:pPr>
            <w:r>
              <w:rPr>
                <w:color w:val="auto"/>
              </w:rPr>
              <w:t>6.32</w:t>
            </w:r>
          </w:p>
        </w:tc>
        <w:tc>
          <w:tcPr>
            <w:tcW w:w="897" w:type="pct"/>
            <w:noWrap/>
            <w:vAlign w:val="center"/>
          </w:tcPr>
          <w:p w14:paraId="7B921235">
            <w:pPr>
              <w:pStyle w:val="44"/>
              <w:rPr>
                <w:color w:val="auto"/>
              </w:rPr>
            </w:pPr>
            <w:r>
              <w:rPr>
                <w:color w:val="auto"/>
              </w:rPr>
              <w:t>2011年</w:t>
            </w:r>
          </w:p>
        </w:tc>
      </w:tr>
      <w:tr w14:paraId="53A98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531F08B">
            <w:pPr>
              <w:pStyle w:val="44"/>
              <w:rPr>
                <w:color w:val="auto"/>
              </w:rPr>
            </w:pPr>
            <w:r>
              <w:rPr>
                <w:color w:val="auto"/>
              </w:rPr>
              <w:t>48</w:t>
            </w:r>
          </w:p>
        </w:tc>
        <w:tc>
          <w:tcPr>
            <w:tcW w:w="839" w:type="pct"/>
            <w:noWrap/>
            <w:vAlign w:val="center"/>
          </w:tcPr>
          <w:p w14:paraId="01C7E4EE">
            <w:pPr>
              <w:pStyle w:val="44"/>
              <w:rPr>
                <w:color w:val="auto"/>
              </w:rPr>
            </w:pPr>
            <w:r>
              <w:rPr>
                <w:color w:val="auto"/>
              </w:rPr>
              <w:t>Ae5-4/06</w:t>
            </w:r>
          </w:p>
        </w:tc>
        <w:tc>
          <w:tcPr>
            <w:tcW w:w="1755" w:type="pct"/>
            <w:noWrap/>
            <w:vAlign w:val="center"/>
          </w:tcPr>
          <w:p w14:paraId="6386ECCA">
            <w:pPr>
              <w:pStyle w:val="44"/>
              <w:rPr>
                <w:color w:val="auto"/>
              </w:rPr>
            </w:pPr>
            <w:r>
              <w:rPr>
                <w:color w:val="auto"/>
              </w:rPr>
              <w:t>绿云钢材市场A区</w:t>
            </w:r>
          </w:p>
        </w:tc>
        <w:tc>
          <w:tcPr>
            <w:tcW w:w="1069" w:type="pct"/>
            <w:noWrap/>
            <w:vAlign w:val="center"/>
          </w:tcPr>
          <w:p w14:paraId="5E721F53">
            <w:pPr>
              <w:pStyle w:val="44"/>
              <w:rPr>
                <w:color w:val="auto"/>
              </w:rPr>
            </w:pPr>
            <w:r>
              <w:rPr>
                <w:color w:val="auto"/>
              </w:rPr>
              <w:t>1.6</w:t>
            </w:r>
          </w:p>
        </w:tc>
        <w:tc>
          <w:tcPr>
            <w:tcW w:w="897" w:type="pct"/>
            <w:noWrap/>
            <w:vAlign w:val="center"/>
          </w:tcPr>
          <w:p w14:paraId="682433AA">
            <w:pPr>
              <w:pStyle w:val="44"/>
              <w:rPr>
                <w:color w:val="auto"/>
              </w:rPr>
            </w:pPr>
            <w:r>
              <w:rPr>
                <w:color w:val="auto"/>
              </w:rPr>
              <w:t>2003年</w:t>
            </w:r>
          </w:p>
        </w:tc>
      </w:tr>
      <w:tr w14:paraId="743ED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1613956">
            <w:pPr>
              <w:pStyle w:val="44"/>
              <w:rPr>
                <w:color w:val="auto"/>
              </w:rPr>
            </w:pPr>
            <w:r>
              <w:rPr>
                <w:color w:val="auto"/>
              </w:rPr>
              <w:t>49</w:t>
            </w:r>
          </w:p>
        </w:tc>
        <w:tc>
          <w:tcPr>
            <w:tcW w:w="839" w:type="pct"/>
            <w:noWrap/>
            <w:vAlign w:val="center"/>
          </w:tcPr>
          <w:p w14:paraId="5D7038BD">
            <w:pPr>
              <w:pStyle w:val="44"/>
              <w:rPr>
                <w:color w:val="auto"/>
              </w:rPr>
            </w:pPr>
            <w:r>
              <w:rPr>
                <w:color w:val="auto"/>
              </w:rPr>
              <w:t>Bf4-7/01</w:t>
            </w:r>
          </w:p>
        </w:tc>
        <w:tc>
          <w:tcPr>
            <w:tcW w:w="1755" w:type="pct"/>
            <w:noWrap/>
            <w:vAlign w:val="center"/>
          </w:tcPr>
          <w:p w14:paraId="02D70903">
            <w:pPr>
              <w:pStyle w:val="44"/>
              <w:rPr>
                <w:color w:val="auto"/>
              </w:rPr>
            </w:pPr>
            <w:r>
              <w:rPr>
                <w:color w:val="auto"/>
              </w:rPr>
              <w:t>九龙坡区绿云钢材不锈钢市场</w:t>
            </w:r>
          </w:p>
        </w:tc>
        <w:tc>
          <w:tcPr>
            <w:tcW w:w="1069" w:type="pct"/>
            <w:noWrap/>
            <w:vAlign w:val="center"/>
          </w:tcPr>
          <w:p w14:paraId="44B327C6">
            <w:pPr>
              <w:pStyle w:val="44"/>
              <w:rPr>
                <w:color w:val="auto"/>
              </w:rPr>
            </w:pPr>
            <w:r>
              <w:rPr>
                <w:color w:val="auto"/>
              </w:rPr>
              <w:t>10.14</w:t>
            </w:r>
          </w:p>
        </w:tc>
        <w:tc>
          <w:tcPr>
            <w:tcW w:w="897" w:type="pct"/>
            <w:noWrap/>
            <w:vAlign w:val="center"/>
          </w:tcPr>
          <w:p w14:paraId="36D75184">
            <w:pPr>
              <w:pStyle w:val="44"/>
              <w:rPr>
                <w:color w:val="auto"/>
              </w:rPr>
            </w:pPr>
            <w:r>
              <w:rPr>
                <w:color w:val="auto"/>
              </w:rPr>
              <w:t>2003年</w:t>
            </w:r>
          </w:p>
        </w:tc>
      </w:tr>
      <w:tr w14:paraId="091F6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A9F03A7">
            <w:pPr>
              <w:pStyle w:val="44"/>
              <w:rPr>
                <w:color w:val="auto"/>
              </w:rPr>
            </w:pPr>
            <w:r>
              <w:rPr>
                <w:color w:val="auto"/>
              </w:rPr>
              <w:t>50</w:t>
            </w:r>
          </w:p>
        </w:tc>
        <w:tc>
          <w:tcPr>
            <w:tcW w:w="839" w:type="pct"/>
            <w:vMerge w:val="restart"/>
            <w:noWrap/>
            <w:vAlign w:val="center"/>
          </w:tcPr>
          <w:p w14:paraId="1BEE142C">
            <w:pPr>
              <w:pStyle w:val="44"/>
              <w:rPr>
                <w:color w:val="auto"/>
              </w:rPr>
            </w:pPr>
            <w:r>
              <w:rPr>
                <w:color w:val="auto"/>
              </w:rPr>
              <w:t>LB9-5/03</w:t>
            </w:r>
          </w:p>
        </w:tc>
        <w:tc>
          <w:tcPr>
            <w:tcW w:w="1755" w:type="pct"/>
            <w:noWrap/>
            <w:vAlign w:val="center"/>
          </w:tcPr>
          <w:p w14:paraId="79109311">
            <w:pPr>
              <w:pStyle w:val="44"/>
              <w:rPr>
                <w:color w:val="auto"/>
              </w:rPr>
            </w:pPr>
            <w:r>
              <w:rPr>
                <w:color w:val="auto"/>
              </w:rPr>
              <w:t>重庆市九龙坡区人民法院</w:t>
            </w:r>
          </w:p>
        </w:tc>
        <w:tc>
          <w:tcPr>
            <w:tcW w:w="1069" w:type="pct"/>
            <w:vMerge w:val="restart"/>
            <w:noWrap/>
            <w:vAlign w:val="center"/>
          </w:tcPr>
          <w:p w14:paraId="60664410">
            <w:pPr>
              <w:pStyle w:val="44"/>
              <w:rPr>
                <w:color w:val="auto"/>
              </w:rPr>
            </w:pPr>
            <w:r>
              <w:rPr>
                <w:color w:val="auto"/>
              </w:rPr>
              <w:t>1.24</w:t>
            </w:r>
          </w:p>
        </w:tc>
        <w:tc>
          <w:tcPr>
            <w:tcW w:w="897" w:type="pct"/>
            <w:noWrap/>
            <w:vAlign w:val="center"/>
          </w:tcPr>
          <w:p w14:paraId="705FE930">
            <w:pPr>
              <w:pStyle w:val="44"/>
              <w:rPr>
                <w:color w:val="auto"/>
              </w:rPr>
            </w:pPr>
            <w:r>
              <w:rPr>
                <w:color w:val="auto"/>
              </w:rPr>
              <w:t>2000年</w:t>
            </w:r>
          </w:p>
        </w:tc>
      </w:tr>
      <w:tr w14:paraId="2EBB8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6532206">
            <w:pPr>
              <w:pStyle w:val="44"/>
              <w:rPr>
                <w:color w:val="auto"/>
              </w:rPr>
            </w:pPr>
            <w:r>
              <w:rPr>
                <w:color w:val="auto"/>
              </w:rPr>
              <w:t>51</w:t>
            </w:r>
          </w:p>
        </w:tc>
        <w:tc>
          <w:tcPr>
            <w:tcW w:w="839" w:type="pct"/>
            <w:vMerge w:val="continue"/>
            <w:vAlign w:val="center"/>
          </w:tcPr>
          <w:p w14:paraId="7503303B">
            <w:pPr>
              <w:pStyle w:val="44"/>
              <w:rPr>
                <w:color w:val="auto"/>
              </w:rPr>
            </w:pPr>
          </w:p>
        </w:tc>
        <w:tc>
          <w:tcPr>
            <w:tcW w:w="1755" w:type="pct"/>
            <w:noWrap/>
            <w:vAlign w:val="center"/>
          </w:tcPr>
          <w:p w14:paraId="40EFA2BC">
            <w:pPr>
              <w:pStyle w:val="44"/>
              <w:rPr>
                <w:color w:val="auto"/>
              </w:rPr>
            </w:pPr>
            <w:r>
              <w:rPr>
                <w:color w:val="auto"/>
              </w:rPr>
              <w:t>重庆市九龙坡区人民检察院</w:t>
            </w:r>
          </w:p>
        </w:tc>
        <w:tc>
          <w:tcPr>
            <w:tcW w:w="1069" w:type="pct"/>
            <w:vMerge w:val="continue"/>
            <w:vAlign w:val="center"/>
          </w:tcPr>
          <w:p w14:paraId="6277C340">
            <w:pPr>
              <w:pStyle w:val="44"/>
              <w:rPr>
                <w:color w:val="auto"/>
              </w:rPr>
            </w:pPr>
          </w:p>
        </w:tc>
        <w:tc>
          <w:tcPr>
            <w:tcW w:w="897" w:type="pct"/>
            <w:noWrap/>
            <w:vAlign w:val="center"/>
          </w:tcPr>
          <w:p w14:paraId="0181D22D">
            <w:pPr>
              <w:pStyle w:val="44"/>
              <w:rPr>
                <w:color w:val="auto"/>
              </w:rPr>
            </w:pPr>
            <w:r>
              <w:rPr>
                <w:color w:val="auto"/>
              </w:rPr>
              <w:t>2001年</w:t>
            </w:r>
          </w:p>
        </w:tc>
      </w:tr>
      <w:tr w14:paraId="041924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56184AA">
            <w:pPr>
              <w:pStyle w:val="44"/>
              <w:rPr>
                <w:color w:val="auto"/>
              </w:rPr>
            </w:pPr>
            <w:r>
              <w:rPr>
                <w:color w:val="auto"/>
              </w:rPr>
              <w:t>52</w:t>
            </w:r>
          </w:p>
        </w:tc>
        <w:tc>
          <w:tcPr>
            <w:tcW w:w="839" w:type="pct"/>
            <w:noWrap/>
            <w:vAlign w:val="center"/>
          </w:tcPr>
          <w:p w14:paraId="23DF827E">
            <w:pPr>
              <w:pStyle w:val="44"/>
              <w:rPr>
                <w:color w:val="auto"/>
              </w:rPr>
            </w:pPr>
            <w:r>
              <w:rPr>
                <w:color w:val="auto"/>
              </w:rPr>
              <w:t>QE1-3/03</w:t>
            </w:r>
          </w:p>
        </w:tc>
        <w:tc>
          <w:tcPr>
            <w:tcW w:w="1755" w:type="pct"/>
            <w:noWrap/>
            <w:vAlign w:val="center"/>
          </w:tcPr>
          <w:p w14:paraId="45EF9AF8">
            <w:pPr>
              <w:pStyle w:val="44"/>
              <w:rPr>
                <w:color w:val="auto"/>
              </w:rPr>
            </w:pPr>
            <w:r>
              <w:rPr>
                <w:color w:val="auto"/>
              </w:rPr>
              <w:t>重庆市九龙坡区疾控中心</w:t>
            </w:r>
          </w:p>
        </w:tc>
        <w:tc>
          <w:tcPr>
            <w:tcW w:w="1069" w:type="pct"/>
            <w:noWrap/>
            <w:vAlign w:val="center"/>
          </w:tcPr>
          <w:p w14:paraId="066213A7">
            <w:pPr>
              <w:pStyle w:val="44"/>
              <w:rPr>
                <w:color w:val="auto"/>
              </w:rPr>
            </w:pPr>
            <w:r>
              <w:rPr>
                <w:color w:val="auto"/>
              </w:rPr>
              <w:t>0.85</w:t>
            </w:r>
          </w:p>
        </w:tc>
        <w:tc>
          <w:tcPr>
            <w:tcW w:w="897" w:type="pct"/>
            <w:noWrap/>
            <w:vAlign w:val="center"/>
          </w:tcPr>
          <w:p w14:paraId="1196DAB2">
            <w:pPr>
              <w:pStyle w:val="44"/>
              <w:rPr>
                <w:color w:val="auto"/>
              </w:rPr>
            </w:pPr>
            <w:r>
              <w:rPr>
                <w:color w:val="auto"/>
              </w:rPr>
              <w:t>2002年</w:t>
            </w:r>
          </w:p>
        </w:tc>
      </w:tr>
      <w:tr w14:paraId="3C9BF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DCE669A">
            <w:pPr>
              <w:pStyle w:val="44"/>
              <w:rPr>
                <w:color w:val="auto"/>
              </w:rPr>
            </w:pPr>
            <w:r>
              <w:rPr>
                <w:color w:val="auto"/>
              </w:rPr>
              <w:t>53</w:t>
            </w:r>
          </w:p>
        </w:tc>
        <w:tc>
          <w:tcPr>
            <w:tcW w:w="839" w:type="pct"/>
            <w:noWrap/>
            <w:vAlign w:val="center"/>
          </w:tcPr>
          <w:p w14:paraId="18EF89C2">
            <w:pPr>
              <w:pStyle w:val="44"/>
              <w:rPr>
                <w:color w:val="auto"/>
              </w:rPr>
            </w:pPr>
            <w:r>
              <w:rPr>
                <w:color w:val="auto"/>
              </w:rPr>
              <w:t>QE1-4/04</w:t>
            </w:r>
          </w:p>
        </w:tc>
        <w:tc>
          <w:tcPr>
            <w:tcW w:w="1755" w:type="pct"/>
            <w:noWrap/>
            <w:vAlign w:val="center"/>
          </w:tcPr>
          <w:p w14:paraId="13BBA21D">
            <w:pPr>
              <w:pStyle w:val="44"/>
              <w:rPr>
                <w:color w:val="auto"/>
              </w:rPr>
            </w:pPr>
            <w:r>
              <w:rPr>
                <w:color w:val="auto"/>
              </w:rPr>
              <w:t>重庆市公安局九龙坡区分局</w:t>
            </w:r>
          </w:p>
        </w:tc>
        <w:tc>
          <w:tcPr>
            <w:tcW w:w="1069" w:type="pct"/>
            <w:noWrap/>
            <w:vAlign w:val="center"/>
          </w:tcPr>
          <w:p w14:paraId="6970208C">
            <w:pPr>
              <w:pStyle w:val="44"/>
              <w:rPr>
                <w:color w:val="auto"/>
              </w:rPr>
            </w:pPr>
            <w:r>
              <w:rPr>
                <w:color w:val="auto"/>
              </w:rPr>
              <w:t>0.86</w:t>
            </w:r>
          </w:p>
        </w:tc>
        <w:tc>
          <w:tcPr>
            <w:tcW w:w="897" w:type="pct"/>
            <w:noWrap/>
            <w:vAlign w:val="center"/>
          </w:tcPr>
          <w:p w14:paraId="2741F941">
            <w:pPr>
              <w:pStyle w:val="44"/>
              <w:rPr>
                <w:color w:val="auto"/>
              </w:rPr>
            </w:pPr>
            <w:r>
              <w:rPr>
                <w:color w:val="auto"/>
              </w:rPr>
              <w:t>2008年</w:t>
            </w:r>
          </w:p>
        </w:tc>
      </w:tr>
      <w:tr w14:paraId="4949D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6EA64F6">
            <w:pPr>
              <w:pStyle w:val="44"/>
              <w:rPr>
                <w:color w:val="auto"/>
              </w:rPr>
            </w:pPr>
            <w:r>
              <w:rPr>
                <w:color w:val="auto"/>
              </w:rPr>
              <w:t>54</w:t>
            </w:r>
          </w:p>
        </w:tc>
        <w:tc>
          <w:tcPr>
            <w:tcW w:w="839" w:type="pct"/>
            <w:noWrap/>
            <w:vAlign w:val="center"/>
          </w:tcPr>
          <w:p w14:paraId="6B43269A">
            <w:pPr>
              <w:pStyle w:val="44"/>
              <w:rPr>
                <w:color w:val="auto"/>
              </w:rPr>
            </w:pPr>
            <w:r>
              <w:rPr>
                <w:color w:val="auto"/>
              </w:rPr>
              <w:t>QE1-8/03</w:t>
            </w:r>
          </w:p>
        </w:tc>
        <w:tc>
          <w:tcPr>
            <w:tcW w:w="1755" w:type="pct"/>
            <w:noWrap/>
            <w:vAlign w:val="center"/>
          </w:tcPr>
          <w:p w14:paraId="06546D9B">
            <w:pPr>
              <w:pStyle w:val="44"/>
              <w:rPr>
                <w:color w:val="auto"/>
              </w:rPr>
            </w:pPr>
            <w:r>
              <w:rPr>
                <w:color w:val="auto"/>
              </w:rPr>
              <w:t>交警五队</w:t>
            </w:r>
          </w:p>
        </w:tc>
        <w:tc>
          <w:tcPr>
            <w:tcW w:w="1069" w:type="pct"/>
            <w:noWrap/>
            <w:vAlign w:val="center"/>
          </w:tcPr>
          <w:p w14:paraId="645F0CF1">
            <w:pPr>
              <w:pStyle w:val="44"/>
              <w:rPr>
                <w:color w:val="auto"/>
              </w:rPr>
            </w:pPr>
            <w:r>
              <w:rPr>
                <w:color w:val="auto"/>
              </w:rPr>
              <w:t>0.33</w:t>
            </w:r>
          </w:p>
        </w:tc>
        <w:tc>
          <w:tcPr>
            <w:tcW w:w="897" w:type="pct"/>
            <w:noWrap/>
            <w:vAlign w:val="center"/>
          </w:tcPr>
          <w:p w14:paraId="5088501A">
            <w:pPr>
              <w:pStyle w:val="44"/>
              <w:rPr>
                <w:color w:val="auto"/>
              </w:rPr>
            </w:pPr>
            <w:r>
              <w:rPr>
                <w:color w:val="auto"/>
              </w:rPr>
              <w:t>2008年</w:t>
            </w:r>
          </w:p>
        </w:tc>
      </w:tr>
      <w:tr w14:paraId="6063A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7977065">
            <w:pPr>
              <w:pStyle w:val="44"/>
              <w:rPr>
                <w:color w:val="auto"/>
              </w:rPr>
            </w:pPr>
            <w:r>
              <w:rPr>
                <w:color w:val="auto"/>
              </w:rPr>
              <w:t>55</w:t>
            </w:r>
          </w:p>
        </w:tc>
        <w:tc>
          <w:tcPr>
            <w:tcW w:w="839" w:type="pct"/>
            <w:noWrap/>
            <w:vAlign w:val="center"/>
          </w:tcPr>
          <w:p w14:paraId="41968ADD">
            <w:pPr>
              <w:pStyle w:val="44"/>
              <w:rPr>
                <w:color w:val="auto"/>
              </w:rPr>
            </w:pPr>
            <w:r>
              <w:rPr>
                <w:color w:val="auto"/>
              </w:rPr>
              <w:t>QE2-2/05</w:t>
            </w:r>
          </w:p>
        </w:tc>
        <w:tc>
          <w:tcPr>
            <w:tcW w:w="1755" w:type="pct"/>
            <w:noWrap/>
            <w:vAlign w:val="center"/>
          </w:tcPr>
          <w:p w14:paraId="6C3CF044">
            <w:pPr>
              <w:pStyle w:val="44"/>
              <w:rPr>
                <w:color w:val="auto"/>
              </w:rPr>
            </w:pPr>
            <w:r>
              <w:rPr>
                <w:color w:val="auto"/>
              </w:rPr>
              <w:t>火炬小学</w:t>
            </w:r>
          </w:p>
        </w:tc>
        <w:tc>
          <w:tcPr>
            <w:tcW w:w="1069" w:type="pct"/>
            <w:noWrap/>
            <w:vAlign w:val="center"/>
          </w:tcPr>
          <w:p w14:paraId="44711FA5">
            <w:pPr>
              <w:pStyle w:val="44"/>
              <w:rPr>
                <w:color w:val="auto"/>
              </w:rPr>
            </w:pPr>
            <w:r>
              <w:rPr>
                <w:color w:val="auto"/>
              </w:rPr>
              <w:t>2.58</w:t>
            </w:r>
          </w:p>
        </w:tc>
        <w:tc>
          <w:tcPr>
            <w:tcW w:w="897" w:type="pct"/>
            <w:noWrap/>
            <w:vAlign w:val="center"/>
          </w:tcPr>
          <w:p w14:paraId="23ED6BF1">
            <w:pPr>
              <w:pStyle w:val="44"/>
              <w:rPr>
                <w:color w:val="auto"/>
              </w:rPr>
            </w:pPr>
            <w:r>
              <w:rPr>
                <w:color w:val="auto"/>
              </w:rPr>
              <w:t>2006年</w:t>
            </w:r>
          </w:p>
        </w:tc>
      </w:tr>
      <w:tr w14:paraId="787BE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599F922">
            <w:pPr>
              <w:pStyle w:val="44"/>
              <w:rPr>
                <w:color w:val="auto"/>
              </w:rPr>
            </w:pPr>
            <w:r>
              <w:rPr>
                <w:color w:val="auto"/>
              </w:rPr>
              <w:t>56</w:t>
            </w:r>
          </w:p>
        </w:tc>
        <w:tc>
          <w:tcPr>
            <w:tcW w:w="839" w:type="pct"/>
            <w:noWrap/>
            <w:vAlign w:val="center"/>
          </w:tcPr>
          <w:p w14:paraId="6810B4A6">
            <w:pPr>
              <w:pStyle w:val="44"/>
              <w:rPr>
                <w:color w:val="auto"/>
              </w:rPr>
            </w:pPr>
            <w:r>
              <w:rPr>
                <w:color w:val="auto"/>
              </w:rPr>
              <w:t>LB10-7-1/06</w:t>
            </w:r>
          </w:p>
        </w:tc>
        <w:tc>
          <w:tcPr>
            <w:tcW w:w="1755" w:type="pct"/>
            <w:noWrap/>
            <w:vAlign w:val="center"/>
          </w:tcPr>
          <w:p w14:paraId="5AF5AEC7">
            <w:pPr>
              <w:pStyle w:val="44"/>
              <w:rPr>
                <w:color w:val="auto"/>
              </w:rPr>
            </w:pPr>
            <w:r>
              <w:rPr>
                <w:color w:val="auto"/>
              </w:rPr>
              <w:t>重庆市送变电工程有限公司</w:t>
            </w:r>
          </w:p>
        </w:tc>
        <w:tc>
          <w:tcPr>
            <w:tcW w:w="1069" w:type="pct"/>
            <w:noWrap/>
            <w:vAlign w:val="center"/>
          </w:tcPr>
          <w:p w14:paraId="344CC7F6">
            <w:pPr>
              <w:pStyle w:val="44"/>
              <w:rPr>
                <w:color w:val="auto"/>
              </w:rPr>
            </w:pPr>
            <w:r>
              <w:rPr>
                <w:color w:val="auto"/>
              </w:rPr>
              <w:t>1.49</w:t>
            </w:r>
          </w:p>
        </w:tc>
        <w:tc>
          <w:tcPr>
            <w:tcW w:w="897" w:type="pct"/>
            <w:noWrap/>
            <w:vAlign w:val="center"/>
          </w:tcPr>
          <w:p w14:paraId="186583A2">
            <w:pPr>
              <w:pStyle w:val="44"/>
              <w:rPr>
                <w:color w:val="auto"/>
              </w:rPr>
            </w:pPr>
            <w:r>
              <w:rPr>
                <w:color w:val="auto"/>
              </w:rPr>
              <w:t>2004年</w:t>
            </w:r>
          </w:p>
        </w:tc>
      </w:tr>
      <w:tr w14:paraId="32AFE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0C19BF71">
            <w:pPr>
              <w:pStyle w:val="44"/>
              <w:rPr>
                <w:color w:val="auto"/>
              </w:rPr>
            </w:pPr>
            <w:r>
              <w:rPr>
                <w:color w:val="auto"/>
              </w:rPr>
              <w:t>57</w:t>
            </w:r>
          </w:p>
        </w:tc>
        <w:tc>
          <w:tcPr>
            <w:tcW w:w="839" w:type="pct"/>
            <w:noWrap/>
            <w:vAlign w:val="center"/>
          </w:tcPr>
          <w:p w14:paraId="5096799C">
            <w:pPr>
              <w:pStyle w:val="44"/>
              <w:rPr>
                <w:color w:val="auto"/>
              </w:rPr>
            </w:pPr>
            <w:r>
              <w:rPr>
                <w:color w:val="auto"/>
              </w:rPr>
              <w:t>LB10-8-1/04</w:t>
            </w:r>
          </w:p>
        </w:tc>
        <w:tc>
          <w:tcPr>
            <w:tcW w:w="1755" w:type="pct"/>
            <w:noWrap/>
            <w:vAlign w:val="center"/>
          </w:tcPr>
          <w:p w14:paraId="5F2FED07">
            <w:pPr>
              <w:pStyle w:val="44"/>
              <w:rPr>
                <w:color w:val="auto"/>
              </w:rPr>
            </w:pPr>
            <w:r>
              <w:rPr>
                <w:color w:val="auto"/>
              </w:rPr>
              <w:t>长兴电商产业园</w:t>
            </w:r>
          </w:p>
        </w:tc>
        <w:tc>
          <w:tcPr>
            <w:tcW w:w="1069" w:type="pct"/>
            <w:noWrap/>
            <w:vAlign w:val="center"/>
          </w:tcPr>
          <w:p w14:paraId="2FD69C98">
            <w:pPr>
              <w:pStyle w:val="44"/>
              <w:rPr>
                <w:color w:val="auto"/>
              </w:rPr>
            </w:pPr>
            <w:r>
              <w:rPr>
                <w:color w:val="auto"/>
              </w:rPr>
              <w:t>2.02</w:t>
            </w:r>
          </w:p>
        </w:tc>
        <w:tc>
          <w:tcPr>
            <w:tcW w:w="897" w:type="pct"/>
            <w:noWrap/>
            <w:vAlign w:val="center"/>
          </w:tcPr>
          <w:p w14:paraId="523CB708">
            <w:pPr>
              <w:pStyle w:val="44"/>
              <w:rPr>
                <w:color w:val="auto"/>
              </w:rPr>
            </w:pPr>
            <w:r>
              <w:rPr>
                <w:color w:val="auto"/>
              </w:rPr>
              <w:t>2004年</w:t>
            </w:r>
          </w:p>
        </w:tc>
      </w:tr>
      <w:tr w14:paraId="7319A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AD2D718">
            <w:pPr>
              <w:pStyle w:val="44"/>
              <w:rPr>
                <w:color w:val="auto"/>
              </w:rPr>
            </w:pPr>
            <w:r>
              <w:rPr>
                <w:color w:val="auto"/>
              </w:rPr>
              <w:t>58</w:t>
            </w:r>
          </w:p>
        </w:tc>
        <w:tc>
          <w:tcPr>
            <w:tcW w:w="839" w:type="pct"/>
            <w:noWrap/>
            <w:vAlign w:val="center"/>
          </w:tcPr>
          <w:p w14:paraId="06FB1799">
            <w:pPr>
              <w:pStyle w:val="44"/>
              <w:rPr>
                <w:color w:val="auto"/>
              </w:rPr>
            </w:pPr>
            <w:r>
              <w:rPr>
                <w:color w:val="auto"/>
              </w:rPr>
              <w:t>LB10-9/03</w:t>
            </w:r>
          </w:p>
        </w:tc>
        <w:tc>
          <w:tcPr>
            <w:tcW w:w="1755" w:type="pct"/>
            <w:noWrap/>
            <w:vAlign w:val="center"/>
          </w:tcPr>
          <w:p w14:paraId="3139C893">
            <w:pPr>
              <w:pStyle w:val="44"/>
              <w:rPr>
                <w:color w:val="auto"/>
              </w:rPr>
            </w:pPr>
            <w:r>
              <w:rPr>
                <w:color w:val="auto"/>
              </w:rPr>
              <w:t>重庆市九龙坡区人民检察院</w:t>
            </w:r>
          </w:p>
        </w:tc>
        <w:tc>
          <w:tcPr>
            <w:tcW w:w="1069" w:type="pct"/>
            <w:noWrap/>
            <w:vAlign w:val="center"/>
          </w:tcPr>
          <w:p w14:paraId="7B01F429">
            <w:pPr>
              <w:pStyle w:val="44"/>
              <w:rPr>
                <w:color w:val="auto"/>
              </w:rPr>
            </w:pPr>
            <w:r>
              <w:rPr>
                <w:color w:val="auto"/>
              </w:rPr>
              <w:t>0.57</w:t>
            </w:r>
          </w:p>
        </w:tc>
        <w:tc>
          <w:tcPr>
            <w:tcW w:w="897" w:type="pct"/>
            <w:noWrap/>
            <w:vAlign w:val="center"/>
          </w:tcPr>
          <w:p w14:paraId="5BA826CE">
            <w:pPr>
              <w:pStyle w:val="44"/>
              <w:rPr>
                <w:color w:val="auto"/>
              </w:rPr>
            </w:pPr>
            <w:r>
              <w:rPr>
                <w:color w:val="auto"/>
              </w:rPr>
              <w:t>2001年</w:t>
            </w:r>
          </w:p>
        </w:tc>
      </w:tr>
      <w:tr w14:paraId="48DB8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1CAE1EC">
            <w:pPr>
              <w:pStyle w:val="44"/>
              <w:rPr>
                <w:color w:val="auto"/>
              </w:rPr>
            </w:pPr>
            <w:r>
              <w:rPr>
                <w:color w:val="auto"/>
              </w:rPr>
              <w:t>59</w:t>
            </w:r>
          </w:p>
        </w:tc>
        <w:tc>
          <w:tcPr>
            <w:tcW w:w="839" w:type="pct"/>
            <w:noWrap/>
            <w:vAlign w:val="center"/>
          </w:tcPr>
          <w:p w14:paraId="7D10C06F">
            <w:pPr>
              <w:pStyle w:val="44"/>
              <w:rPr>
                <w:color w:val="auto"/>
              </w:rPr>
            </w:pPr>
            <w:r>
              <w:rPr>
                <w:color w:val="auto"/>
              </w:rPr>
              <w:t>QE3-1/03</w:t>
            </w:r>
          </w:p>
        </w:tc>
        <w:tc>
          <w:tcPr>
            <w:tcW w:w="1755" w:type="pct"/>
            <w:noWrap/>
            <w:vAlign w:val="center"/>
          </w:tcPr>
          <w:p w14:paraId="2CAF7D0B">
            <w:pPr>
              <w:pStyle w:val="44"/>
              <w:rPr>
                <w:color w:val="auto"/>
              </w:rPr>
            </w:pPr>
            <w:r>
              <w:rPr>
                <w:color w:val="auto"/>
              </w:rPr>
              <w:t>重庆舞蹈学校</w:t>
            </w:r>
          </w:p>
        </w:tc>
        <w:tc>
          <w:tcPr>
            <w:tcW w:w="1069" w:type="pct"/>
            <w:noWrap/>
            <w:vAlign w:val="center"/>
          </w:tcPr>
          <w:p w14:paraId="4BE7FD65">
            <w:pPr>
              <w:pStyle w:val="44"/>
              <w:rPr>
                <w:color w:val="auto"/>
              </w:rPr>
            </w:pPr>
            <w:r>
              <w:rPr>
                <w:color w:val="auto"/>
              </w:rPr>
              <w:t>2.18</w:t>
            </w:r>
          </w:p>
        </w:tc>
        <w:tc>
          <w:tcPr>
            <w:tcW w:w="897" w:type="pct"/>
            <w:noWrap/>
            <w:vAlign w:val="center"/>
          </w:tcPr>
          <w:p w14:paraId="1BF63313">
            <w:pPr>
              <w:pStyle w:val="44"/>
              <w:rPr>
                <w:color w:val="auto"/>
              </w:rPr>
            </w:pPr>
            <w:r>
              <w:rPr>
                <w:color w:val="auto"/>
              </w:rPr>
              <w:t>2005年</w:t>
            </w:r>
          </w:p>
        </w:tc>
      </w:tr>
      <w:tr w14:paraId="42C6B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D3300B1">
            <w:pPr>
              <w:pStyle w:val="44"/>
              <w:rPr>
                <w:color w:val="auto"/>
              </w:rPr>
            </w:pPr>
            <w:r>
              <w:rPr>
                <w:color w:val="auto"/>
              </w:rPr>
              <w:t>60</w:t>
            </w:r>
          </w:p>
        </w:tc>
        <w:tc>
          <w:tcPr>
            <w:tcW w:w="839" w:type="pct"/>
            <w:noWrap/>
            <w:vAlign w:val="center"/>
          </w:tcPr>
          <w:p w14:paraId="5DF1F2AD">
            <w:pPr>
              <w:pStyle w:val="44"/>
              <w:rPr>
                <w:color w:val="auto"/>
              </w:rPr>
            </w:pPr>
            <w:r>
              <w:rPr>
                <w:color w:val="auto"/>
              </w:rPr>
              <w:t>Ae5-7/04</w:t>
            </w:r>
          </w:p>
        </w:tc>
        <w:tc>
          <w:tcPr>
            <w:tcW w:w="1755" w:type="pct"/>
            <w:noWrap/>
            <w:vAlign w:val="center"/>
          </w:tcPr>
          <w:p w14:paraId="126D41E0">
            <w:pPr>
              <w:pStyle w:val="44"/>
              <w:rPr>
                <w:color w:val="auto"/>
              </w:rPr>
            </w:pPr>
            <w:r>
              <w:rPr>
                <w:color w:val="auto"/>
              </w:rPr>
              <w:t>建材库房用地</w:t>
            </w:r>
          </w:p>
        </w:tc>
        <w:tc>
          <w:tcPr>
            <w:tcW w:w="1069" w:type="pct"/>
            <w:noWrap/>
            <w:vAlign w:val="center"/>
          </w:tcPr>
          <w:p w14:paraId="13F0F13F">
            <w:pPr>
              <w:pStyle w:val="44"/>
              <w:rPr>
                <w:color w:val="auto"/>
              </w:rPr>
            </w:pPr>
            <w:r>
              <w:rPr>
                <w:color w:val="auto"/>
              </w:rPr>
              <w:t>1.02</w:t>
            </w:r>
          </w:p>
        </w:tc>
        <w:tc>
          <w:tcPr>
            <w:tcW w:w="897" w:type="pct"/>
            <w:noWrap/>
            <w:vAlign w:val="center"/>
          </w:tcPr>
          <w:p w14:paraId="1E40F9EB">
            <w:pPr>
              <w:pStyle w:val="44"/>
              <w:rPr>
                <w:color w:val="auto"/>
              </w:rPr>
            </w:pPr>
            <w:r>
              <w:rPr>
                <w:color w:val="auto"/>
              </w:rPr>
              <w:t>2006年</w:t>
            </w:r>
          </w:p>
        </w:tc>
      </w:tr>
      <w:tr w14:paraId="18600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2FBCAE4">
            <w:pPr>
              <w:pStyle w:val="44"/>
              <w:rPr>
                <w:color w:val="auto"/>
              </w:rPr>
            </w:pPr>
            <w:r>
              <w:rPr>
                <w:color w:val="auto"/>
              </w:rPr>
              <w:t>61</w:t>
            </w:r>
          </w:p>
        </w:tc>
        <w:tc>
          <w:tcPr>
            <w:tcW w:w="839" w:type="pct"/>
            <w:noWrap/>
            <w:vAlign w:val="center"/>
          </w:tcPr>
          <w:p w14:paraId="7D062FD3">
            <w:pPr>
              <w:pStyle w:val="44"/>
              <w:rPr>
                <w:color w:val="auto"/>
              </w:rPr>
            </w:pPr>
            <w:r>
              <w:rPr>
                <w:color w:val="auto"/>
              </w:rPr>
              <w:t>NF1-8-2/06</w:t>
            </w:r>
          </w:p>
        </w:tc>
        <w:tc>
          <w:tcPr>
            <w:tcW w:w="1755" w:type="pct"/>
            <w:noWrap/>
            <w:vAlign w:val="center"/>
          </w:tcPr>
          <w:p w14:paraId="7B43E849">
            <w:pPr>
              <w:pStyle w:val="44"/>
              <w:rPr>
                <w:color w:val="auto"/>
              </w:rPr>
            </w:pPr>
            <w:r>
              <w:rPr>
                <w:color w:val="auto"/>
              </w:rPr>
              <w:t>蟠龙小学、幼儿园</w:t>
            </w:r>
          </w:p>
        </w:tc>
        <w:tc>
          <w:tcPr>
            <w:tcW w:w="1069" w:type="pct"/>
            <w:noWrap/>
            <w:vAlign w:val="center"/>
          </w:tcPr>
          <w:p w14:paraId="17BDCCE8">
            <w:pPr>
              <w:pStyle w:val="44"/>
              <w:rPr>
                <w:color w:val="auto"/>
              </w:rPr>
            </w:pPr>
            <w:r>
              <w:rPr>
                <w:color w:val="auto"/>
              </w:rPr>
              <w:t>3.21</w:t>
            </w:r>
          </w:p>
        </w:tc>
        <w:tc>
          <w:tcPr>
            <w:tcW w:w="897" w:type="pct"/>
            <w:noWrap/>
            <w:vAlign w:val="center"/>
          </w:tcPr>
          <w:p w14:paraId="12B1B10D">
            <w:pPr>
              <w:pStyle w:val="44"/>
              <w:rPr>
                <w:color w:val="auto"/>
              </w:rPr>
            </w:pPr>
            <w:r>
              <w:rPr>
                <w:color w:val="auto"/>
              </w:rPr>
              <w:t>1999年</w:t>
            </w:r>
          </w:p>
        </w:tc>
      </w:tr>
      <w:tr w14:paraId="43B52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5A422B6">
            <w:pPr>
              <w:pStyle w:val="44"/>
              <w:rPr>
                <w:color w:val="auto"/>
              </w:rPr>
            </w:pPr>
            <w:r>
              <w:rPr>
                <w:color w:val="auto"/>
              </w:rPr>
              <w:t>62</w:t>
            </w:r>
          </w:p>
        </w:tc>
        <w:tc>
          <w:tcPr>
            <w:tcW w:w="839" w:type="pct"/>
            <w:noWrap/>
            <w:vAlign w:val="center"/>
          </w:tcPr>
          <w:p w14:paraId="187C5E9B">
            <w:pPr>
              <w:pStyle w:val="44"/>
              <w:rPr>
                <w:color w:val="auto"/>
              </w:rPr>
            </w:pPr>
            <w:r>
              <w:rPr>
                <w:color w:val="auto"/>
              </w:rPr>
              <w:t>QF4-2-4/05</w:t>
            </w:r>
          </w:p>
        </w:tc>
        <w:tc>
          <w:tcPr>
            <w:tcW w:w="1755" w:type="pct"/>
            <w:noWrap/>
            <w:vAlign w:val="center"/>
          </w:tcPr>
          <w:p w14:paraId="7B75E1C5">
            <w:pPr>
              <w:pStyle w:val="44"/>
              <w:rPr>
                <w:color w:val="auto"/>
              </w:rPr>
            </w:pPr>
            <w:r>
              <w:rPr>
                <w:color w:val="auto"/>
              </w:rPr>
              <w:t>重庆育才成功学校</w:t>
            </w:r>
          </w:p>
        </w:tc>
        <w:tc>
          <w:tcPr>
            <w:tcW w:w="1069" w:type="pct"/>
            <w:noWrap/>
            <w:vAlign w:val="center"/>
          </w:tcPr>
          <w:p w14:paraId="02433B5F">
            <w:pPr>
              <w:pStyle w:val="44"/>
              <w:rPr>
                <w:color w:val="auto"/>
              </w:rPr>
            </w:pPr>
            <w:r>
              <w:rPr>
                <w:color w:val="auto"/>
              </w:rPr>
              <w:t>2.63</w:t>
            </w:r>
          </w:p>
        </w:tc>
        <w:tc>
          <w:tcPr>
            <w:tcW w:w="897" w:type="pct"/>
            <w:noWrap/>
            <w:vAlign w:val="center"/>
          </w:tcPr>
          <w:p w14:paraId="337E5F17">
            <w:pPr>
              <w:pStyle w:val="44"/>
              <w:rPr>
                <w:color w:val="auto"/>
              </w:rPr>
            </w:pPr>
            <w:r>
              <w:rPr>
                <w:color w:val="auto"/>
              </w:rPr>
              <w:t>1999年</w:t>
            </w:r>
          </w:p>
        </w:tc>
      </w:tr>
      <w:tr w14:paraId="44209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1C58778">
            <w:pPr>
              <w:pStyle w:val="44"/>
              <w:rPr>
                <w:color w:val="auto"/>
              </w:rPr>
            </w:pPr>
            <w:r>
              <w:rPr>
                <w:color w:val="auto"/>
              </w:rPr>
              <w:t>63</w:t>
            </w:r>
          </w:p>
        </w:tc>
        <w:tc>
          <w:tcPr>
            <w:tcW w:w="839" w:type="pct"/>
            <w:noWrap/>
            <w:vAlign w:val="center"/>
          </w:tcPr>
          <w:p w14:paraId="2EC9FD30">
            <w:pPr>
              <w:pStyle w:val="44"/>
              <w:rPr>
                <w:color w:val="auto"/>
              </w:rPr>
            </w:pPr>
            <w:r>
              <w:rPr>
                <w:color w:val="auto"/>
              </w:rPr>
              <w:t>Bf7-4/05</w:t>
            </w:r>
          </w:p>
        </w:tc>
        <w:tc>
          <w:tcPr>
            <w:tcW w:w="1755" w:type="pct"/>
            <w:noWrap/>
            <w:vAlign w:val="center"/>
          </w:tcPr>
          <w:p w14:paraId="1A892927">
            <w:pPr>
              <w:pStyle w:val="44"/>
              <w:rPr>
                <w:color w:val="auto"/>
              </w:rPr>
            </w:pPr>
            <w:r>
              <w:rPr>
                <w:color w:val="auto"/>
              </w:rPr>
              <w:t>九龙坡区中医院</w:t>
            </w:r>
          </w:p>
        </w:tc>
        <w:tc>
          <w:tcPr>
            <w:tcW w:w="1069" w:type="pct"/>
            <w:noWrap/>
            <w:vAlign w:val="center"/>
          </w:tcPr>
          <w:p w14:paraId="5FA09F2B">
            <w:pPr>
              <w:pStyle w:val="44"/>
              <w:rPr>
                <w:color w:val="auto"/>
              </w:rPr>
            </w:pPr>
            <w:r>
              <w:rPr>
                <w:color w:val="auto"/>
              </w:rPr>
              <w:t>1.64</w:t>
            </w:r>
          </w:p>
        </w:tc>
        <w:tc>
          <w:tcPr>
            <w:tcW w:w="897" w:type="pct"/>
            <w:noWrap/>
            <w:vAlign w:val="center"/>
          </w:tcPr>
          <w:p w14:paraId="5DE2068A">
            <w:pPr>
              <w:pStyle w:val="44"/>
              <w:rPr>
                <w:color w:val="auto"/>
              </w:rPr>
            </w:pPr>
            <w:r>
              <w:rPr>
                <w:color w:val="auto"/>
              </w:rPr>
              <w:t>2004年</w:t>
            </w:r>
          </w:p>
        </w:tc>
      </w:tr>
      <w:tr w14:paraId="3A6BD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2B1BD3D">
            <w:pPr>
              <w:pStyle w:val="44"/>
              <w:rPr>
                <w:color w:val="auto"/>
              </w:rPr>
            </w:pPr>
            <w:r>
              <w:rPr>
                <w:color w:val="auto"/>
              </w:rPr>
              <w:t>64</w:t>
            </w:r>
          </w:p>
        </w:tc>
        <w:tc>
          <w:tcPr>
            <w:tcW w:w="839" w:type="pct"/>
            <w:noWrap/>
            <w:vAlign w:val="center"/>
          </w:tcPr>
          <w:p w14:paraId="522E0704">
            <w:pPr>
              <w:pStyle w:val="44"/>
              <w:rPr>
                <w:color w:val="auto"/>
              </w:rPr>
            </w:pPr>
            <w:r>
              <w:rPr>
                <w:color w:val="auto"/>
              </w:rPr>
              <w:t>LB9-4/04</w:t>
            </w:r>
          </w:p>
        </w:tc>
        <w:tc>
          <w:tcPr>
            <w:tcW w:w="1755" w:type="pct"/>
            <w:noWrap/>
            <w:vAlign w:val="center"/>
          </w:tcPr>
          <w:p w14:paraId="4323A1D9">
            <w:pPr>
              <w:pStyle w:val="44"/>
              <w:rPr>
                <w:color w:val="auto"/>
              </w:rPr>
            </w:pPr>
            <w:r>
              <w:rPr>
                <w:color w:val="auto"/>
              </w:rPr>
              <w:t>达飞，彩云小城</w:t>
            </w:r>
          </w:p>
        </w:tc>
        <w:tc>
          <w:tcPr>
            <w:tcW w:w="1069" w:type="pct"/>
            <w:noWrap/>
            <w:vAlign w:val="center"/>
          </w:tcPr>
          <w:p w14:paraId="4A967DB9">
            <w:pPr>
              <w:pStyle w:val="44"/>
              <w:rPr>
                <w:color w:val="auto"/>
              </w:rPr>
            </w:pPr>
            <w:r>
              <w:rPr>
                <w:color w:val="auto"/>
              </w:rPr>
              <w:t>1.88</w:t>
            </w:r>
          </w:p>
        </w:tc>
        <w:tc>
          <w:tcPr>
            <w:tcW w:w="897" w:type="pct"/>
            <w:noWrap/>
            <w:vAlign w:val="center"/>
          </w:tcPr>
          <w:p w14:paraId="07650F2F">
            <w:pPr>
              <w:pStyle w:val="44"/>
              <w:rPr>
                <w:color w:val="auto"/>
              </w:rPr>
            </w:pPr>
            <w:r>
              <w:rPr>
                <w:color w:val="auto"/>
              </w:rPr>
              <w:t>2006年</w:t>
            </w:r>
          </w:p>
        </w:tc>
      </w:tr>
      <w:tr w14:paraId="59229D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014B8D9B">
            <w:pPr>
              <w:pStyle w:val="44"/>
              <w:rPr>
                <w:color w:val="auto"/>
              </w:rPr>
            </w:pPr>
            <w:r>
              <w:rPr>
                <w:color w:val="auto"/>
              </w:rPr>
              <w:t>65</w:t>
            </w:r>
          </w:p>
        </w:tc>
        <w:tc>
          <w:tcPr>
            <w:tcW w:w="839" w:type="pct"/>
            <w:noWrap/>
            <w:vAlign w:val="center"/>
          </w:tcPr>
          <w:p w14:paraId="21139726">
            <w:pPr>
              <w:pStyle w:val="44"/>
              <w:rPr>
                <w:color w:val="auto"/>
              </w:rPr>
            </w:pPr>
            <w:r>
              <w:rPr>
                <w:color w:val="auto"/>
              </w:rPr>
              <w:t>QE1-1/03</w:t>
            </w:r>
          </w:p>
        </w:tc>
        <w:tc>
          <w:tcPr>
            <w:tcW w:w="1755" w:type="pct"/>
            <w:noWrap/>
            <w:vAlign w:val="center"/>
          </w:tcPr>
          <w:p w14:paraId="1B477A23">
            <w:pPr>
              <w:pStyle w:val="44"/>
              <w:rPr>
                <w:color w:val="auto"/>
              </w:rPr>
            </w:pPr>
            <w:r>
              <w:rPr>
                <w:color w:val="auto"/>
              </w:rPr>
              <w:t>三色教育集团</w:t>
            </w:r>
          </w:p>
        </w:tc>
        <w:tc>
          <w:tcPr>
            <w:tcW w:w="1069" w:type="pct"/>
            <w:noWrap/>
            <w:vAlign w:val="center"/>
          </w:tcPr>
          <w:p w14:paraId="5D6C9C4D">
            <w:pPr>
              <w:pStyle w:val="44"/>
              <w:rPr>
                <w:color w:val="auto"/>
              </w:rPr>
            </w:pPr>
            <w:r>
              <w:rPr>
                <w:color w:val="auto"/>
              </w:rPr>
              <w:t>4.71</w:t>
            </w:r>
          </w:p>
        </w:tc>
        <w:tc>
          <w:tcPr>
            <w:tcW w:w="897" w:type="pct"/>
            <w:noWrap/>
            <w:vAlign w:val="center"/>
          </w:tcPr>
          <w:p w14:paraId="7376831F">
            <w:pPr>
              <w:pStyle w:val="44"/>
              <w:rPr>
                <w:color w:val="auto"/>
              </w:rPr>
            </w:pPr>
            <w:r>
              <w:rPr>
                <w:color w:val="auto"/>
              </w:rPr>
              <w:t>2005年</w:t>
            </w:r>
          </w:p>
        </w:tc>
      </w:tr>
      <w:tr w14:paraId="597EA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50C5052">
            <w:pPr>
              <w:pStyle w:val="44"/>
              <w:rPr>
                <w:color w:val="auto"/>
              </w:rPr>
            </w:pPr>
            <w:r>
              <w:rPr>
                <w:color w:val="auto"/>
              </w:rPr>
              <w:t>66</w:t>
            </w:r>
          </w:p>
        </w:tc>
        <w:tc>
          <w:tcPr>
            <w:tcW w:w="839" w:type="pct"/>
            <w:noWrap/>
            <w:vAlign w:val="center"/>
          </w:tcPr>
          <w:p w14:paraId="24A2EED8">
            <w:pPr>
              <w:pStyle w:val="44"/>
              <w:rPr>
                <w:color w:val="auto"/>
              </w:rPr>
            </w:pPr>
            <w:r>
              <w:rPr>
                <w:color w:val="auto"/>
              </w:rPr>
              <w:t>QE1-7/03</w:t>
            </w:r>
          </w:p>
        </w:tc>
        <w:tc>
          <w:tcPr>
            <w:tcW w:w="1755" w:type="pct"/>
            <w:noWrap/>
            <w:vAlign w:val="center"/>
          </w:tcPr>
          <w:p w14:paraId="2613DD24">
            <w:pPr>
              <w:pStyle w:val="44"/>
              <w:rPr>
                <w:color w:val="auto"/>
              </w:rPr>
            </w:pPr>
            <w:r>
              <w:rPr>
                <w:color w:val="auto"/>
              </w:rPr>
              <w:t>金科.绿韵康城</w:t>
            </w:r>
          </w:p>
        </w:tc>
        <w:tc>
          <w:tcPr>
            <w:tcW w:w="1069" w:type="pct"/>
            <w:noWrap/>
            <w:vAlign w:val="center"/>
          </w:tcPr>
          <w:p w14:paraId="22455CCC">
            <w:pPr>
              <w:pStyle w:val="44"/>
              <w:rPr>
                <w:color w:val="auto"/>
              </w:rPr>
            </w:pPr>
            <w:r>
              <w:rPr>
                <w:color w:val="auto"/>
              </w:rPr>
              <w:t>3.83</w:t>
            </w:r>
          </w:p>
        </w:tc>
        <w:tc>
          <w:tcPr>
            <w:tcW w:w="897" w:type="pct"/>
            <w:noWrap/>
            <w:vAlign w:val="center"/>
          </w:tcPr>
          <w:p w14:paraId="3E49496B">
            <w:pPr>
              <w:pStyle w:val="44"/>
              <w:rPr>
                <w:color w:val="auto"/>
              </w:rPr>
            </w:pPr>
            <w:r>
              <w:rPr>
                <w:color w:val="auto"/>
              </w:rPr>
              <w:t>2004年</w:t>
            </w:r>
          </w:p>
        </w:tc>
      </w:tr>
      <w:tr w14:paraId="59F5C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6D404A1">
            <w:pPr>
              <w:pStyle w:val="44"/>
              <w:rPr>
                <w:color w:val="auto"/>
              </w:rPr>
            </w:pPr>
            <w:r>
              <w:rPr>
                <w:color w:val="auto"/>
              </w:rPr>
              <w:t>67</w:t>
            </w:r>
          </w:p>
        </w:tc>
        <w:tc>
          <w:tcPr>
            <w:tcW w:w="839" w:type="pct"/>
            <w:noWrap/>
            <w:vAlign w:val="center"/>
          </w:tcPr>
          <w:p w14:paraId="741D0F86">
            <w:pPr>
              <w:pStyle w:val="44"/>
              <w:rPr>
                <w:color w:val="auto"/>
              </w:rPr>
            </w:pPr>
            <w:r>
              <w:rPr>
                <w:color w:val="auto"/>
              </w:rPr>
              <w:t>QE2-1/04</w:t>
            </w:r>
          </w:p>
        </w:tc>
        <w:tc>
          <w:tcPr>
            <w:tcW w:w="1755" w:type="pct"/>
            <w:noWrap/>
            <w:vAlign w:val="center"/>
          </w:tcPr>
          <w:p w14:paraId="58DAC05A">
            <w:pPr>
              <w:pStyle w:val="44"/>
              <w:rPr>
                <w:color w:val="auto"/>
              </w:rPr>
            </w:pPr>
            <w:r>
              <w:rPr>
                <w:color w:val="auto"/>
              </w:rPr>
              <w:t>光华五金机电城</w:t>
            </w:r>
          </w:p>
        </w:tc>
        <w:tc>
          <w:tcPr>
            <w:tcW w:w="1069" w:type="pct"/>
            <w:noWrap/>
            <w:vAlign w:val="center"/>
          </w:tcPr>
          <w:p w14:paraId="3AF12852">
            <w:pPr>
              <w:pStyle w:val="44"/>
              <w:rPr>
                <w:color w:val="auto"/>
              </w:rPr>
            </w:pPr>
            <w:r>
              <w:rPr>
                <w:color w:val="auto"/>
              </w:rPr>
              <w:t>2.29</w:t>
            </w:r>
          </w:p>
        </w:tc>
        <w:tc>
          <w:tcPr>
            <w:tcW w:w="897" w:type="pct"/>
            <w:noWrap/>
            <w:vAlign w:val="center"/>
          </w:tcPr>
          <w:p w14:paraId="57402607">
            <w:pPr>
              <w:pStyle w:val="44"/>
              <w:rPr>
                <w:color w:val="auto"/>
              </w:rPr>
            </w:pPr>
            <w:r>
              <w:rPr>
                <w:color w:val="auto"/>
              </w:rPr>
              <w:t>2006年</w:t>
            </w:r>
          </w:p>
        </w:tc>
      </w:tr>
      <w:tr w14:paraId="38113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6106B31">
            <w:pPr>
              <w:pStyle w:val="44"/>
              <w:rPr>
                <w:color w:val="auto"/>
              </w:rPr>
            </w:pPr>
            <w:r>
              <w:rPr>
                <w:color w:val="auto"/>
              </w:rPr>
              <w:t>68</w:t>
            </w:r>
          </w:p>
        </w:tc>
        <w:tc>
          <w:tcPr>
            <w:tcW w:w="839" w:type="pct"/>
            <w:vMerge w:val="restart"/>
            <w:noWrap/>
            <w:vAlign w:val="center"/>
          </w:tcPr>
          <w:p w14:paraId="238D4A0F">
            <w:pPr>
              <w:pStyle w:val="44"/>
              <w:rPr>
                <w:color w:val="auto"/>
              </w:rPr>
            </w:pPr>
            <w:r>
              <w:rPr>
                <w:color w:val="auto"/>
              </w:rPr>
              <w:t>QE2-5/03</w:t>
            </w:r>
          </w:p>
        </w:tc>
        <w:tc>
          <w:tcPr>
            <w:tcW w:w="1755" w:type="pct"/>
            <w:noWrap/>
            <w:vAlign w:val="center"/>
          </w:tcPr>
          <w:p w14:paraId="5DCFCA68">
            <w:pPr>
              <w:pStyle w:val="44"/>
              <w:rPr>
                <w:color w:val="auto"/>
              </w:rPr>
            </w:pPr>
            <w:r>
              <w:rPr>
                <w:color w:val="auto"/>
              </w:rPr>
              <w:t>九龙坡金科机电城C区</w:t>
            </w:r>
          </w:p>
        </w:tc>
        <w:tc>
          <w:tcPr>
            <w:tcW w:w="1069" w:type="pct"/>
            <w:vMerge w:val="restart"/>
            <w:noWrap/>
            <w:vAlign w:val="center"/>
          </w:tcPr>
          <w:p w14:paraId="44AF8F32">
            <w:pPr>
              <w:pStyle w:val="44"/>
              <w:rPr>
                <w:color w:val="auto"/>
              </w:rPr>
            </w:pPr>
            <w:r>
              <w:rPr>
                <w:color w:val="auto"/>
              </w:rPr>
              <w:t>6.5</w:t>
            </w:r>
          </w:p>
        </w:tc>
        <w:tc>
          <w:tcPr>
            <w:tcW w:w="897" w:type="pct"/>
            <w:noWrap/>
            <w:vAlign w:val="center"/>
          </w:tcPr>
          <w:p w14:paraId="625B63EE">
            <w:pPr>
              <w:pStyle w:val="44"/>
              <w:rPr>
                <w:color w:val="auto"/>
              </w:rPr>
            </w:pPr>
            <w:r>
              <w:rPr>
                <w:color w:val="auto"/>
              </w:rPr>
              <w:t>2006年</w:t>
            </w:r>
          </w:p>
        </w:tc>
      </w:tr>
      <w:tr w14:paraId="24887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2F6027C">
            <w:pPr>
              <w:pStyle w:val="44"/>
              <w:rPr>
                <w:color w:val="auto"/>
              </w:rPr>
            </w:pPr>
            <w:r>
              <w:rPr>
                <w:color w:val="auto"/>
              </w:rPr>
              <w:t>69</w:t>
            </w:r>
          </w:p>
        </w:tc>
        <w:tc>
          <w:tcPr>
            <w:tcW w:w="839" w:type="pct"/>
            <w:vMerge w:val="continue"/>
            <w:vAlign w:val="center"/>
          </w:tcPr>
          <w:p w14:paraId="48C093D6">
            <w:pPr>
              <w:pStyle w:val="44"/>
              <w:rPr>
                <w:color w:val="auto"/>
              </w:rPr>
            </w:pPr>
          </w:p>
        </w:tc>
        <w:tc>
          <w:tcPr>
            <w:tcW w:w="1755" w:type="pct"/>
            <w:noWrap/>
            <w:vAlign w:val="center"/>
          </w:tcPr>
          <w:p w14:paraId="4AA0E933">
            <w:pPr>
              <w:pStyle w:val="44"/>
              <w:rPr>
                <w:color w:val="auto"/>
              </w:rPr>
            </w:pPr>
            <w:r>
              <w:rPr>
                <w:color w:val="auto"/>
              </w:rPr>
              <w:t>金科云湖天都</w:t>
            </w:r>
          </w:p>
        </w:tc>
        <w:tc>
          <w:tcPr>
            <w:tcW w:w="1069" w:type="pct"/>
            <w:vMerge w:val="continue"/>
            <w:vAlign w:val="center"/>
          </w:tcPr>
          <w:p w14:paraId="3AF875FE">
            <w:pPr>
              <w:pStyle w:val="44"/>
              <w:rPr>
                <w:color w:val="auto"/>
              </w:rPr>
            </w:pPr>
          </w:p>
        </w:tc>
        <w:tc>
          <w:tcPr>
            <w:tcW w:w="897" w:type="pct"/>
            <w:noWrap/>
            <w:vAlign w:val="center"/>
          </w:tcPr>
          <w:p w14:paraId="0999DFC3">
            <w:pPr>
              <w:pStyle w:val="44"/>
              <w:rPr>
                <w:color w:val="auto"/>
              </w:rPr>
            </w:pPr>
            <w:r>
              <w:rPr>
                <w:color w:val="auto"/>
              </w:rPr>
              <w:t>2005年</w:t>
            </w:r>
          </w:p>
        </w:tc>
      </w:tr>
      <w:tr w14:paraId="6EDA1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278594B">
            <w:pPr>
              <w:pStyle w:val="44"/>
              <w:rPr>
                <w:color w:val="auto"/>
              </w:rPr>
            </w:pPr>
            <w:r>
              <w:rPr>
                <w:color w:val="auto"/>
              </w:rPr>
              <w:t>70</w:t>
            </w:r>
          </w:p>
        </w:tc>
        <w:tc>
          <w:tcPr>
            <w:tcW w:w="839" w:type="pct"/>
            <w:noWrap/>
            <w:vAlign w:val="center"/>
          </w:tcPr>
          <w:p w14:paraId="77D811F0">
            <w:pPr>
              <w:pStyle w:val="44"/>
              <w:rPr>
                <w:color w:val="auto"/>
              </w:rPr>
            </w:pPr>
            <w:r>
              <w:rPr>
                <w:color w:val="auto"/>
              </w:rPr>
              <w:t>LB10-12/03</w:t>
            </w:r>
          </w:p>
        </w:tc>
        <w:tc>
          <w:tcPr>
            <w:tcW w:w="1755" w:type="pct"/>
            <w:noWrap/>
            <w:vAlign w:val="center"/>
          </w:tcPr>
          <w:p w14:paraId="2D671304">
            <w:pPr>
              <w:pStyle w:val="44"/>
              <w:rPr>
                <w:color w:val="auto"/>
              </w:rPr>
            </w:pPr>
            <w:r>
              <w:rPr>
                <w:color w:val="auto"/>
              </w:rPr>
              <w:t>巴国博物馆</w:t>
            </w:r>
          </w:p>
        </w:tc>
        <w:tc>
          <w:tcPr>
            <w:tcW w:w="1069" w:type="pct"/>
            <w:noWrap/>
            <w:vAlign w:val="center"/>
          </w:tcPr>
          <w:p w14:paraId="77156CCD">
            <w:pPr>
              <w:pStyle w:val="44"/>
              <w:rPr>
                <w:color w:val="auto"/>
              </w:rPr>
            </w:pPr>
            <w:r>
              <w:rPr>
                <w:color w:val="auto"/>
              </w:rPr>
              <w:t>0.69</w:t>
            </w:r>
          </w:p>
        </w:tc>
        <w:tc>
          <w:tcPr>
            <w:tcW w:w="897" w:type="pct"/>
            <w:noWrap/>
            <w:vAlign w:val="center"/>
          </w:tcPr>
          <w:p w14:paraId="1B944376">
            <w:pPr>
              <w:pStyle w:val="44"/>
              <w:rPr>
                <w:color w:val="auto"/>
              </w:rPr>
            </w:pPr>
            <w:r>
              <w:rPr>
                <w:color w:val="auto"/>
              </w:rPr>
              <w:t>2004年</w:t>
            </w:r>
          </w:p>
        </w:tc>
      </w:tr>
      <w:tr w14:paraId="53FD3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180C17E">
            <w:pPr>
              <w:pStyle w:val="44"/>
              <w:rPr>
                <w:color w:val="auto"/>
              </w:rPr>
            </w:pPr>
            <w:r>
              <w:rPr>
                <w:color w:val="auto"/>
              </w:rPr>
              <w:t>71</w:t>
            </w:r>
          </w:p>
        </w:tc>
        <w:tc>
          <w:tcPr>
            <w:tcW w:w="839" w:type="pct"/>
            <w:noWrap/>
            <w:vAlign w:val="center"/>
          </w:tcPr>
          <w:p w14:paraId="3EBB97AB">
            <w:pPr>
              <w:pStyle w:val="44"/>
              <w:rPr>
                <w:color w:val="auto"/>
              </w:rPr>
            </w:pPr>
            <w:r>
              <w:rPr>
                <w:color w:val="auto"/>
              </w:rPr>
              <w:t>A06-2/04</w:t>
            </w:r>
          </w:p>
        </w:tc>
        <w:tc>
          <w:tcPr>
            <w:tcW w:w="1755" w:type="pct"/>
            <w:noWrap/>
            <w:vAlign w:val="center"/>
          </w:tcPr>
          <w:p w14:paraId="292C2E5B">
            <w:pPr>
              <w:pStyle w:val="44"/>
              <w:rPr>
                <w:color w:val="auto"/>
              </w:rPr>
            </w:pPr>
            <w:r>
              <w:rPr>
                <w:color w:val="auto"/>
              </w:rPr>
              <w:t>巴国御景</w:t>
            </w:r>
          </w:p>
        </w:tc>
        <w:tc>
          <w:tcPr>
            <w:tcW w:w="1069" w:type="pct"/>
            <w:noWrap/>
            <w:vAlign w:val="center"/>
          </w:tcPr>
          <w:p w14:paraId="59D7F2AD">
            <w:pPr>
              <w:pStyle w:val="44"/>
              <w:rPr>
                <w:color w:val="auto"/>
              </w:rPr>
            </w:pPr>
            <w:r>
              <w:rPr>
                <w:color w:val="auto"/>
              </w:rPr>
              <w:t>2.13</w:t>
            </w:r>
          </w:p>
        </w:tc>
        <w:tc>
          <w:tcPr>
            <w:tcW w:w="897" w:type="pct"/>
            <w:noWrap/>
            <w:vAlign w:val="center"/>
          </w:tcPr>
          <w:p w14:paraId="05C9D1B5">
            <w:pPr>
              <w:pStyle w:val="44"/>
              <w:rPr>
                <w:color w:val="auto"/>
              </w:rPr>
            </w:pPr>
            <w:r>
              <w:rPr>
                <w:color w:val="auto"/>
              </w:rPr>
              <w:t>2008年</w:t>
            </w:r>
          </w:p>
        </w:tc>
      </w:tr>
      <w:tr w14:paraId="36C37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61ECA13">
            <w:pPr>
              <w:pStyle w:val="44"/>
              <w:rPr>
                <w:color w:val="auto"/>
              </w:rPr>
            </w:pPr>
            <w:r>
              <w:rPr>
                <w:color w:val="auto"/>
              </w:rPr>
              <w:t>72</w:t>
            </w:r>
          </w:p>
        </w:tc>
        <w:tc>
          <w:tcPr>
            <w:tcW w:w="839" w:type="pct"/>
            <w:noWrap/>
            <w:vAlign w:val="center"/>
          </w:tcPr>
          <w:p w14:paraId="6A21A6EA">
            <w:pPr>
              <w:pStyle w:val="44"/>
              <w:rPr>
                <w:color w:val="auto"/>
              </w:rPr>
            </w:pPr>
            <w:r>
              <w:rPr>
                <w:color w:val="auto"/>
              </w:rPr>
              <w:t>Ab12-4/03</w:t>
            </w:r>
          </w:p>
        </w:tc>
        <w:tc>
          <w:tcPr>
            <w:tcW w:w="1755" w:type="pct"/>
            <w:noWrap/>
            <w:vAlign w:val="center"/>
          </w:tcPr>
          <w:p w14:paraId="297ADAD4">
            <w:pPr>
              <w:pStyle w:val="44"/>
              <w:rPr>
                <w:color w:val="auto"/>
              </w:rPr>
            </w:pPr>
            <w:r>
              <w:rPr>
                <w:color w:val="auto"/>
              </w:rPr>
              <w:t>巴国博物馆</w:t>
            </w:r>
          </w:p>
        </w:tc>
        <w:tc>
          <w:tcPr>
            <w:tcW w:w="1069" w:type="pct"/>
            <w:noWrap/>
            <w:vAlign w:val="center"/>
          </w:tcPr>
          <w:p w14:paraId="734492A8">
            <w:pPr>
              <w:pStyle w:val="44"/>
              <w:rPr>
                <w:color w:val="auto"/>
              </w:rPr>
            </w:pPr>
            <w:r>
              <w:rPr>
                <w:color w:val="auto"/>
              </w:rPr>
              <w:t>0.74</w:t>
            </w:r>
          </w:p>
        </w:tc>
        <w:tc>
          <w:tcPr>
            <w:tcW w:w="897" w:type="pct"/>
            <w:noWrap/>
            <w:vAlign w:val="center"/>
          </w:tcPr>
          <w:p w14:paraId="50E42D13">
            <w:pPr>
              <w:pStyle w:val="44"/>
              <w:rPr>
                <w:color w:val="auto"/>
              </w:rPr>
            </w:pPr>
            <w:r>
              <w:rPr>
                <w:color w:val="auto"/>
              </w:rPr>
              <w:t>2004年</w:t>
            </w:r>
          </w:p>
        </w:tc>
      </w:tr>
      <w:tr w14:paraId="51E5A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3CCE10D">
            <w:pPr>
              <w:pStyle w:val="44"/>
              <w:rPr>
                <w:color w:val="auto"/>
              </w:rPr>
            </w:pPr>
            <w:r>
              <w:rPr>
                <w:color w:val="auto"/>
              </w:rPr>
              <w:t>73</w:t>
            </w:r>
          </w:p>
        </w:tc>
        <w:tc>
          <w:tcPr>
            <w:tcW w:w="839" w:type="pct"/>
            <w:noWrap/>
            <w:vAlign w:val="center"/>
          </w:tcPr>
          <w:p w14:paraId="217795ED">
            <w:pPr>
              <w:pStyle w:val="44"/>
              <w:rPr>
                <w:color w:val="auto"/>
              </w:rPr>
            </w:pPr>
            <w:r>
              <w:rPr>
                <w:color w:val="auto"/>
              </w:rPr>
              <w:t>Ab12-6/04</w:t>
            </w:r>
          </w:p>
        </w:tc>
        <w:tc>
          <w:tcPr>
            <w:tcW w:w="1755" w:type="pct"/>
            <w:noWrap/>
            <w:vAlign w:val="center"/>
          </w:tcPr>
          <w:p w14:paraId="40B80123">
            <w:pPr>
              <w:pStyle w:val="44"/>
              <w:rPr>
                <w:color w:val="auto"/>
              </w:rPr>
            </w:pPr>
            <w:r>
              <w:rPr>
                <w:color w:val="auto"/>
              </w:rPr>
              <w:t>巴国博物馆</w:t>
            </w:r>
          </w:p>
        </w:tc>
        <w:tc>
          <w:tcPr>
            <w:tcW w:w="1069" w:type="pct"/>
            <w:noWrap/>
            <w:vAlign w:val="center"/>
          </w:tcPr>
          <w:p w14:paraId="4D12F5E5">
            <w:pPr>
              <w:pStyle w:val="44"/>
              <w:rPr>
                <w:color w:val="auto"/>
              </w:rPr>
            </w:pPr>
            <w:r>
              <w:rPr>
                <w:color w:val="auto"/>
              </w:rPr>
              <w:t>1.07</w:t>
            </w:r>
          </w:p>
        </w:tc>
        <w:tc>
          <w:tcPr>
            <w:tcW w:w="897" w:type="pct"/>
            <w:noWrap/>
            <w:vAlign w:val="center"/>
          </w:tcPr>
          <w:p w14:paraId="69AF6485">
            <w:pPr>
              <w:pStyle w:val="44"/>
              <w:rPr>
                <w:color w:val="auto"/>
              </w:rPr>
            </w:pPr>
            <w:r>
              <w:rPr>
                <w:color w:val="auto"/>
              </w:rPr>
              <w:t>2004年</w:t>
            </w:r>
          </w:p>
        </w:tc>
      </w:tr>
      <w:tr w14:paraId="1BB04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24DD878">
            <w:pPr>
              <w:pStyle w:val="44"/>
              <w:rPr>
                <w:color w:val="auto"/>
              </w:rPr>
            </w:pPr>
            <w:r>
              <w:rPr>
                <w:color w:val="auto"/>
              </w:rPr>
              <w:t>74</w:t>
            </w:r>
          </w:p>
        </w:tc>
        <w:tc>
          <w:tcPr>
            <w:tcW w:w="839" w:type="pct"/>
            <w:vMerge w:val="restart"/>
            <w:noWrap/>
            <w:vAlign w:val="center"/>
          </w:tcPr>
          <w:p w14:paraId="53502176">
            <w:pPr>
              <w:pStyle w:val="44"/>
              <w:rPr>
                <w:color w:val="auto"/>
              </w:rPr>
            </w:pPr>
            <w:r>
              <w:rPr>
                <w:color w:val="auto"/>
              </w:rPr>
              <w:t>Ae6-1/03</w:t>
            </w:r>
          </w:p>
        </w:tc>
        <w:tc>
          <w:tcPr>
            <w:tcW w:w="1755" w:type="pct"/>
            <w:noWrap/>
            <w:vAlign w:val="center"/>
          </w:tcPr>
          <w:p w14:paraId="0219832A">
            <w:pPr>
              <w:pStyle w:val="44"/>
              <w:rPr>
                <w:color w:val="auto"/>
              </w:rPr>
            </w:pPr>
            <w:r>
              <w:rPr>
                <w:color w:val="auto"/>
              </w:rPr>
              <w:t>巴国城商贸中心</w:t>
            </w:r>
          </w:p>
        </w:tc>
        <w:tc>
          <w:tcPr>
            <w:tcW w:w="1069" w:type="pct"/>
            <w:vMerge w:val="restart"/>
            <w:noWrap/>
            <w:vAlign w:val="center"/>
          </w:tcPr>
          <w:p w14:paraId="6243F877">
            <w:pPr>
              <w:pStyle w:val="44"/>
              <w:rPr>
                <w:color w:val="auto"/>
              </w:rPr>
            </w:pPr>
            <w:r>
              <w:rPr>
                <w:color w:val="auto"/>
              </w:rPr>
              <w:t>5.12</w:t>
            </w:r>
          </w:p>
        </w:tc>
        <w:tc>
          <w:tcPr>
            <w:tcW w:w="897" w:type="pct"/>
            <w:noWrap/>
            <w:vAlign w:val="center"/>
          </w:tcPr>
          <w:p w14:paraId="451DA344">
            <w:pPr>
              <w:pStyle w:val="44"/>
              <w:rPr>
                <w:color w:val="auto"/>
              </w:rPr>
            </w:pPr>
            <w:r>
              <w:rPr>
                <w:color w:val="auto"/>
              </w:rPr>
              <w:t>2004年</w:t>
            </w:r>
          </w:p>
        </w:tc>
      </w:tr>
      <w:tr w14:paraId="2B2D9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14D7641">
            <w:pPr>
              <w:pStyle w:val="44"/>
              <w:rPr>
                <w:color w:val="auto"/>
              </w:rPr>
            </w:pPr>
            <w:r>
              <w:rPr>
                <w:color w:val="auto"/>
              </w:rPr>
              <w:t>75</w:t>
            </w:r>
          </w:p>
        </w:tc>
        <w:tc>
          <w:tcPr>
            <w:tcW w:w="839" w:type="pct"/>
            <w:vMerge w:val="continue"/>
            <w:vAlign w:val="center"/>
          </w:tcPr>
          <w:p w14:paraId="3BA15559">
            <w:pPr>
              <w:pStyle w:val="44"/>
              <w:rPr>
                <w:color w:val="auto"/>
              </w:rPr>
            </w:pPr>
          </w:p>
        </w:tc>
        <w:tc>
          <w:tcPr>
            <w:tcW w:w="1755" w:type="pct"/>
            <w:noWrap/>
            <w:vAlign w:val="center"/>
          </w:tcPr>
          <w:p w14:paraId="48BE70A2">
            <w:pPr>
              <w:pStyle w:val="44"/>
              <w:rPr>
                <w:color w:val="auto"/>
              </w:rPr>
            </w:pPr>
            <w:r>
              <w:rPr>
                <w:color w:val="auto"/>
              </w:rPr>
              <w:t>龙力巴国城广场</w:t>
            </w:r>
          </w:p>
        </w:tc>
        <w:tc>
          <w:tcPr>
            <w:tcW w:w="1069" w:type="pct"/>
            <w:vMerge w:val="continue"/>
            <w:vAlign w:val="center"/>
          </w:tcPr>
          <w:p w14:paraId="10D802F3">
            <w:pPr>
              <w:pStyle w:val="44"/>
              <w:rPr>
                <w:color w:val="auto"/>
              </w:rPr>
            </w:pPr>
          </w:p>
        </w:tc>
        <w:tc>
          <w:tcPr>
            <w:tcW w:w="897" w:type="pct"/>
            <w:noWrap/>
            <w:vAlign w:val="center"/>
          </w:tcPr>
          <w:p w14:paraId="744811CD">
            <w:pPr>
              <w:pStyle w:val="44"/>
              <w:rPr>
                <w:color w:val="auto"/>
              </w:rPr>
            </w:pPr>
            <w:r>
              <w:rPr>
                <w:color w:val="auto"/>
              </w:rPr>
              <w:t>2004年</w:t>
            </w:r>
          </w:p>
        </w:tc>
      </w:tr>
      <w:tr w14:paraId="7BE96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F428520">
            <w:pPr>
              <w:pStyle w:val="44"/>
              <w:rPr>
                <w:color w:val="auto"/>
              </w:rPr>
            </w:pPr>
            <w:r>
              <w:rPr>
                <w:color w:val="auto"/>
              </w:rPr>
              <w:t>76</w:t>
            </w:r>
          </w:p>
        </w:tc>
        <w:tc>
          <w:tcPr>
            <w:tcW w:w="839" w:type="pct"/>
            <w:noWrap/>
            <w:vAlign w:val="center"/>
          </w:tcPr>
          <w:p w14:paraId="311C7AFF">
            <w:pPr>
              <w:pStyle w:val="44"/>
              <w:rPr>
                <w:color w:val="auto"/>
              </w:rPr>
            </w:pPr>
            <w:r>
              <w:rPr>
                <w:color w:val="auto"/>
              </w:rPr>
              <w:t>NF1-6-1/06</w:t>
            </w:r>
          </w:p>
        </w:tc>
        <w:tc>
          <w:tcPr>
            <w:tcW w:w="1755" w:type="pct"/>
            <w:noWrap/>
            <w:vAlign w:val="center"/>
          </w:tcPr>
          <w:p w14:paraId="7DA8EED4">
            <w:pPr>
              <w:pStyle w:val="44"/>
              <w:rPr>
                <w:color w:val="auto"/>
              </w:rPr>
            </w:pPr>
            <w:r>
              <w:rPr>
                <w:color w:val="auto"/>
              </w:rPr>
              <w:t>重庆诚锐汽车有限公司</w:t>
            </w:r>
          </w:p>
        </w:tc>
        <w:tc>
          <w:tcPr>
            <w:tcW w:w="1069" w:type="pct"/>
            <w:noWrap/>
            <w:vAlign w:val="center"/>
          </w:tcPr>
          <w:p w14:paraId="30251782">
            <w:pPr>
              <w:pStyle w:val="44"/>
              <w:rPr>
                <w:color w:val="auto"/>
              </w:rPr>
            </w:pPr>
            <w:r>
              <w:rPr>
                <w:color w:val="auto"/>
              </w:rPr>
              <w:t>0.36</w:t>
            </w:r>
          </w:p>
        </w:tc>
        <w:tc>
          <w:tcPr>
            <w:tcW w:w="897" w:type="pct"/>
            <w:noWrap/>
            <w:vAlign w:val="center"/>
          </w:tcPr>
          <w:p w14:paraId="74DC26FA">
            <w:pPr>
              <w:pStyle w:val="44"/>
              <w:rPr>
                <w:color w:val="auto"/>
              </w:rPr>
            </w:pPr>
            <w:r>
              <w:rPr>
                <w:color w:val="auto"/>
              </w:rPr>
              <w:t>2000年</w:t>
            </w:r>
          </w:p>
        </w:tc>
      </w:tr>
      <w:tr w14:paraId="7AB18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053FF33">
            <w:pPr>
              <w:pStyle w:val="44"/>
              <w:rPr>
                <w:color w:val="auto"/>
              </w:rPr>
            </w:pPr>
            <w:r>
              <w:rPr>
                <w:color w:val="auto"/>
              </w:rPr>
              <w:t>77</w:t>
            </w:r>
          </w:p>
        </w:tc>
        <w:tc>
          <w:tcPr>
            <w:tcW w:w="839" w:type="pct"/>
            <w:noWrap/>
            <w:vAlign w:val="center"/>
          </w:tcPr>
          <w:p w14:paraId="4A42BD59">
            <w:pPr>
              <w:pStyle w:val="44"/>
              <w:rPr>
                <w:color w:val="auto"/>
              </w:rPr>
            </w:pPr>
            <w:r>
              <w:rPr>
                <w:color w:val="auto"/>
              </w:rPr>
              <w:t>NF1-5-2/06</w:t>
            </w:r>
          </w:p>
        </w:tc>
        <w:tc>
          <w:tcPr>
            <w:tcW w:w="1755" w:type="pct"/>
            <w:noWrap/>
            <w:vAlign w:val="center"/>
          </w:tcPr>
          <w:p w14:paraId="41E81126">
            <w:pPr>
              <w:pStyle w:val="44"/>
              <w:rPr>
                <w:color w:val="auto"/>
              </w:rPr>
            </w:pPr>
            <w:r>
              <w:rPr>
                <w:color w:val="auto"/>
              </w:rPr>
              <w:t>保利亚.尚景</w:t>
            </w:r>
          </w:p>
        </w:tc>
        <w:tc>
          <w:tcPr>
            <w:tcW w:w="1069" w:type="pct"/>
            <w:noWrap/>
            <w:vAlign w:val="center"/>
          </w:tcPr>
          <w:p w14:paraId="498E9304">
            <w:pPr>
              <w:pStyle w:val="44"/>
              <w:rPr>
                <w:color w:val="auto"/>
              </w:rPr>
            </w:pPr>
            <w:r>
              <w:rPr>
                <w:color w:val="auto"/>
              </w:rPr>
              <w:t>3.59</w:t>
            </w:r>
          </w:p>
        </w:tc>
        <w:tc>
          <w:tcPr>
            <w:tcW w:w="897" w:type="pct"/>
            <w:noWrap/>
            <w:vAlign w:val="center"/>
          </w:tcPr>
          <w:p w14:paraId="3649EB77">
            <w:pPr>
              <w:pStyle w:val="44"/>
              <w:rPr>
                <w:color w:val="auto"/>
              </w:rPr>
            </w:pPr>
            <w:r>
              <w:rPr>
                <w:color w:val="auto"/>
              </w:rPr>
              <w:t>2001年</w:t>
            </w:r>
          </w:p>
        </w:tc>
      </w:tr>
      <w:tr w14:paraId="17F54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733F426">
            <w:pPr>
              <w:pStyle w:val="44"/>
              <w:rPr>
                <w:color w:val="auto"/>
              </w:rPr>
            </w:pPr>
            <w:r>
              <w:rPr>
                <w:color w:val="auto"/>
              </w:rPr>
              <w:t>78</w:t>
            </w:r>
          </w:p>
        </w:tc>
        <w:tc>
          <w:tcPr>
            <w:tcW w:w="839" w:type="pct"/>
            <w:noWrap/>
            <w:vAlign w:val="center"/>
          </w:tcPr>
          <w:p w14:paraId="779ADB80">
            <w:pPr>
              <w:pStyle w:val="44"/>
              <w:rPr>
                <w:color w:val="auto"/>
              </w:rPr>
            </w:pPr>
            <w:r>
              <w:rPr>
                <w:color w:val="auto"/>
              </w:rPr>
              <w:t>QF2-3-1/05</w:t>
            </w:r>
          </w:p>
        </w:tc>
        <w:tc>
          <w:tcPr>
            <w:tcW w:w="1755" w:type="pct"/>
            <w:noWrap/>
            <w:vAlign w:val="center"/>
          </w:tcPr>
          <w:p w14:paraId="557FA10A">
            <w:pPr>
              <w:pStyle w:val="44"/>
              <w:rPr>
                <w:color w:val="auto"/>
              </w:rPr>
            </w:pPr>
            <w:r>
              <w:rPr>
                <w:color w:val="auto"/>
              </w:rPr>
              <w:t>九龙新时代广场</w:t>
            </w:r>
          </w:p>
        </w:tc>
        <w:tc>
          <w:tcPr>
            <w:tcW w:w="1069" w:type="pct"/>
            <w:noWrap/>
            <w:vAlign w:val="center"/>
          </w:tcPr>
          <w:p w14:paraId="2E6DC8A8">
            <w:pPr>
              <w:pStyle w:val="44"/>
              <w:rPr>
                <w:color w:val="auto"/>
              </w:rPr>
            </w:pPr>
            <w:r>
              <w:rPr>
                <w:color w:val="auto"/>
              </w:rPr>
              <w:t>1.46</w:t>
            </w:r>
          </w:p>
        </w:tc>
        <w:tc>
          <w:tcPr>
            <w:tcW w:w="897" w:type="pct"/>
            <w:noWrap/>
            <w:vAlign w:val="center"/>
          </w:tcPr>
          <w:p w14:paraId="4CAFB38C">
            <w:pPr>
              <w:pStyle w:val="44"/>
              <w:rPr>
                <w:color w:val="auto"/>
              </w:rPr>
            </w:pPr>
            <w:r>
              <w:rPr>
                <w:color w:val="auto"/>
              </w:rPr>
              <w:t>2008年</w:t>
            </w:r>
          </w:p>
        </w:tc>
      </w:tr>
      <w:tr w14:paraId="347FD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03475656">
            <w:pPr>
              <w:pStyle w:val="44"/>
              <w:rPr>
                <w:color w:val="auto"/>
              </w:rPr>
            </w:pPr>
            <w:r>
              <w:rPr>
                <w:color w:val="auto"/>
              </w:rPr>
              <w:t>79</w:t>
            </w:r>
          </w:p>
        </w:tc>
        <w:tc>
          <w:tcPr>
            <w:tcW w:w="839" w:type="pct"/>
            <w:noWrap/>
            <w:vAlign w:val="center"/>
          </w:tcPr>
          <w:p w14:paraId="7D50DA76">
            <w:pPr>
              <w:pStyle w:val="44"/>
              <w:rPr>
                <w:color w:val="auto"/>
              </w:rPr>
            </w:pPr>
            <w:r>
              <w:rPr>
                <w:color w:val="auto"/>
              </w:rPr>
              <w:t>QF2-3-2/06</w:t>
            </w:r>
          </w:p>
        </w:tc>
        <w:tc>
          <w:tcPr>
            <w:tcW w:w="1755" w:type="pct"/>
            <w:noWrap/>
            <w:vAlign w:val="center"/>
          </w:tcPr>
          <w:p w14:paraId="57057F6F">
            <w:pPr>
              <w:pStyle w:val="44"/>
              <w:rPr>
                <w:color w:val="auto"/>
              </w:rPr>
            </w:pPr>
            <w:r>
              <w:rPr>
                <w:color w:val="auto"/>
              </w:rPr>
              <w:t>九龙新时代广场</w:t>
            </w:r>
          </w:p>
        </w:tc>
        <w:tc>
          <w:tcPr>
            <w:tcW w:w="1069" w:type="pct"/>
            <w:noWrap/>
            <w:vAlign w:val="center"/>
          </w:tcPr>
          <w:p w14:paraId="233C1148">
            <w:pPr>
              <w:pStyle w:val="44"/>
              <w:rPr>
                <w:color w:val="auto"/>
              </w:rPr>
            </w:pPr>
            <w:r>
              <w:rPr>
                <w:color w:val="auto"/>
              </w:rPr>
              <w:t>0.49</w:t>
            </w:r>
          </w:p>
        </w:tc>
        <w:tc>
          <w:tcPr>
            <w:tcW w:w="897" w:type="pct"/>
            <w:noWrap/>
            <w:vAlign w:val="center"/>
          </w:tcPr>
          <w:p w14:paraId="0BCD0B62">
            <w:pPr>
              <w:pStyle w:val="44"/>
              <w:rPr>
                <w:color w:val="auto"/>
              </w:rPr>
            </w:pPr>
            <w:r>
              <w:rPr>
                <w:color w:val="auto"/>
              </w:rPr>
              <w:t>2008年</w:t>
            </w:r>
          </w:p>
        </w:tc>
      </w:tr>
      <w:tr w14:paraId="67DFB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74B272C">
            <w:pPr>
              <w:pStyle w:val="44"/>
              <w:rPr>
                <w:color w:val="auto"/>
              </w:rPr>
            </w:pPr>
            <w:r>
              <w:rPr>
                <w:color w:val="auto"/>
              </w:rPr>
              <w:t>80</w:t>
            </w:r>
          </w:p>
        </w:tc>
        <w:tc>
          <w:tcPr>
            <w:tcW w:w="839" w:type="pct"/>
            <w:noWrap/>
            <w:vAlign w:val="center"/>
          </w:tcPr>
          <w:p w14:paraId="579FE72D">
            <w:pPr>
              <w:pStyle w:val="44"/>
              <w:rPr>
                <w:color w:val="auto"/>
              </w:rPr>
            </w:pPr>
            <w:r>
              <w:rPr>
                <w:color w:val="auto"/>
              </w:rPr>
              <w:t>QF2-6/03</w:t>
            </w:r>
          </w:p>
        </w:tc>
        <w:tc>
          <w:tcPr>
            <w:tcW w:w="1755" w:type="pct"/>
            <w:noWrap/>
            <w:vAlign w:val="center"/>
          </w:tcPr>
          <w:p w14:paraId="65E97EE1">
            <w:pPr>
              <w:pStyle w:val="44"/>
              <w:rPr>
                <w:color w:val="auto"/>
              </w:rPr>
            </w:pPr>
            <w:r>
              <w:rPr>
                <w:color w:val="auto"/>
              </w:rPr>
              <w:t>城业建设</w:t>
            </w:r>
          </w:p>
        </w:tc>
        <w:tc>
          <w:tcPr>
            <w:tcW w:w="1069" w:type="pct"/>
            <w:noWrap/>
            <w:vAlign w:val="center"/>
          </w:tcPr>
          <w:p w14:paraId="62B1E737">
            <w:pPr>
              <w:pStyle w:val="44"/>
              <w:rPr>
                <w:color w:val="auto"/>
              </w:rPr>
            </w:pPr>
            <w:r>
              <w:rPr>
                <w:color w:val="auto"/>
              </w:rPr>
              <w:t>0.5</w:t>
            </w:r>
          </w:p>
        </w:tc>
        <w:tc>
          <w:tcPr>
            <w:tcW w:w="897" w:type="pct"/>
            <w:noWrap/>
            <w:vAlign w:val="center"/>
          </w:tcPr>
          <w:p w14:paraId="5C411433">
            <w:pPr>
              <w:pStyle w:val="44"/>
              <w:rPr>
                <w:color w:val="auto"/>
              </w:rPr>
            </w:pPr>
            <w:r>
              <w:rPr>
                <w:color w:val="auto"/>
              </w:rPr>
              <w:t>2004年</w:t>
            </w:r>
          </w:p>
        </w:tc>
      </w:tr>
      <w:tr w14:paraId="7AFD7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6B73773">
            <w:pPr>
              <w:pStyle w:val="44"/>
              <w:rPr>
                <w:color w:val="auto"/>
              </w:rPr>
            </w:pPr>
            <w:r>
              <w:rPr>
                <w:color w:val="auto"/>
              </w:rPr>
              <w:t>81</w:t>
            </w:r>
          </w:p>
        </w:tc>
        <w:tc>
          <w:tcPr>
            <w:tcW w:w="839" w:type="pct"/>
            <w:vMerge w:val="restart"/>
            <w:noWrap/>
            <w:vAlign w:val="center"/>
          </w:tcPr>
          <w:p w14:paraId="03CF9508">
            <w:pPr>
              <w:pStyle w:val="44"/>
              <w:rPr>
                <w:color w:val="auto"/>
              </w:rPr>
            </w:pPr>
            <w:r>
              <w:rPr>
                <w:color w:val="auto"/>
              </w:rPr>
              <w:t>QF3-5-1/06</w:t>
            </w:r>
          </w:p>
        </w:tc>
        <w:tc>
          <w:tcPr>
            <w:tcW w:w="1755" w:type="pct"/>
            <w:noWrap/>
            <w:vAlign w:val="center"/>
          </w:tcPr>
          <w:p w14:paraId="4265B5CC">
            <w:pPr>
              <w:pStyle w:val="44"/>
              <w:rPr>
                <w:color w:val="auto"/>
              </w:rPr>
            </w:pPr>
            <w:r>
              <w:rPr>
                <w:color w:val="auto"/>
              </w:rPr>
              <w:t>奥园大厦</w:t>
            </w:r>
          </w:p>
        </w:tc>
        <w:tc>
          <w:tcPr>
            <w:tcW w:w="1069" w:type="pct"/>
            <w:vMerge w:val="restart"/>
            <w:noWrap/>
            <w:vAlign w:val="center"/>
          </w:tcPr>
          <w:p w14:paraId="4D7CCAC4">
            <w:pPr>
              <w:pStyle w:val="44"/>
              <w:rPr>
                <w:color w:val="auto"/>
              </w:rPr>
            </w:pPr>
            <w:r>
              <w:rPr>
                <w:color w:val="auto"/>
              </w:rPr>
              <w:t>5.19</w:t>
            </w:r>
          </w:p>
        </w:tc>
        <w:tc>
          <w:tcPr>
            <w:tcW w:w="897" w:type="pct"/>
            <w:noWrap/>
            <w:vAlign w:val="center"/>
          </w:tcPr>
          <w:p w14:paraId="79239042">
            <w:pPr>
              <w:pStyle w:val="44"/>
              <w:rPr>
                <w:color w:val="auto"/>
              </w:rPr>
            </w:pPr>
            <w:r>
              <w:rPr>
                <w:color w:val="auto"/>
              </w:rPr>
              <w:t>2015年</w:t>
            </w:r>
          </w:p>
        </w:tc>
      </w:tr>
      <w:tr w14:paraId="5CBFA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0DA9860">
            <w:pPr>
              <w:pStyle w:val="44"/>
              <w:rPr>
                <w:color w:val="auto"/>
              </w:rPr>
            </w:pPr>
            <w:r>
              <w:rPr>
                <w:color w:val="auto"/>
              </w:rPr>
              <w:t>82</w:t>
            </w:r>
          </w:p>
        </w:tc>
        <w:tc>
          <w:tcPr>
            <w:tcW w:w="839" w:type="pct"/>
            <w:vMerge w:val="continue"/>
            <w:vAlign w:val="center"/>
          </w:tcPr>
          <w:p w14:paraId="7CD0BC4C">
            <w:pPr>
              <w:pStyle w:val="44"/>
              <w:rPr>
                <w:color w:val="auto"/>
              </w:rPr>
            </w:pPr>
          </w:p>
        </w:tc>
        <w:tc>
          <w:tcPr>
            <w:tcW w:w="1755" w:type="pct"/>
            <w:noWrap/>
            <w:vAlign w:val="center"/>
          </w:tcPr>
          <w:p w14:paraId="5B806E2D">
            <w:pPr>
              <w:pStyle w:val="44"/>
              <w:rPr>
                <w:color w:val="auto"/>
              </w:rPr>
            </w:pPr>
            <w:r>
              <w:rPr>
                <w:color w:val="auto"/>
              </w:rPr>
              <w:t>盘龙壹号</w:t>
            </w:r>
          </w:p>
        </w:tc>
        <w:tc>
          <w:tcPr>
            <w:tcW w:w="1069" w:type="pct"/>
            <w:vMerge w:val="continue"/>
            <w:vAlign w:val="center"/>
          </w:tcPr>
          <w:p w14:paraId="73FB3501">
            <w:pPr>
              <w:pStyle w:val="44"/>
              <w:rPr>
                <w:color w:val="auto"/>
              </w:rPr>
            </w:pPr>
          </w:p>
        </w:tc>
        <w:tc>
          <w:tcPr>
            <w:tcW w:w="897" w:type="pct"/>
            <w:noWrap/>
            <w:vAlign w:val="center"/>
          </w:tcPr>
          <w:p w14:paraId="1DE70D98">
            <w:pPr>
              <w:pStyle w:val="44"/>
              <w:rPr>
                <w:color w:val="auto"/>
              </w:rPr>
            </w:pPr>
            <w:r>
              <w:rPr>
                <w:color w:val="auto"/>
              </w:rPr>
              <w:t>2015年</w:t>
            </w:r>
          </w:p>
        </w:tc>
      </w:tr>
      <w:tr w14:paraId="5E6EF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B32F5BD">
            <w:pPr>
              <w:pStyle w:val="44"/>
              <w:rPr>
                <w:color w:val="auto"/>
              </w:rPr>
            </w:pPr>
            <w:r>
              <w:rPr>
                <w:color w:val="auto"/>
              </w:rPr>
              <w:t>83</w:t>
            </w:r>
          </w:p>
        </w:tc>
        <w:tc>
          <w:tcPr>
            <w:tcW w:w="839" w:type="pct"/>
            <w:vMerge w:val="continue"/>
            <w:vAlign w:val="center"/>
          </w:tcPr>
          <w:p w14:paraId="49841A07">
            <w:pPr>
              <w:pStyle w:val="44"/>
              <w:rPr>
                <w:color w:val="auto"/>
              </w:rPr>
            </w:pPr>
          </w:p>
        </w:tc>
        <w:tc>
          <w:tcPr>
            <w:tcW w:w="1755" w:type="pct"/>
            <w:noWrap/>
            <w:vAlign w:val="center"/>
          </w:tcPr>
          <w:p w14:paraId="6E262F56">
            <w:pPr>
              <w:pStyle w:val="44"/>
              <w:rPr>
                <w:color w:val="auto"/>
              </w:rPr>
            </w:pPr>
            <w:r>
              <w:rPr>
                <w:color w:val="auto"/>
              </w:rPr>
              <w:t>盘龙奥园广场</w:t>
            </w:r>
          </w:p>
        </w:tc>
        <w:tc>
          <w:tcPr>
            <w:tcW w:w="1069" w:type="pct"/>
            <w:vMerge w:val="continue"/>
            <w:vAlign w:val="center"/>
          </w:tcPr>
          <w:p w14:paraId="13094998">
            <w:pPr>
              <w:pStyle w:val="44"/>
              <w:rPr>
                <w:color w:val="auto"/>
              </w:rPr>
            </w:pPr>
          </w:p>
        </w:tc>
        <w:tc>
          <w:tcPr>
            <w:tcW w:w="897" w:type="pct"/>
            <w:noWrap/>
            <w:vAlign w:val="center"/>
          </w:tcPr>
          <w:p w14:paraId="1EAF1DA7">
            <w:pPr>
              <w:pStyle w:val="44"/>
              <w:rPr>
                <w:color w:val="auto"/>
              </w:rPr>
            </w:pPr>
            <w:r>
              <w:rPr>
                <w:color w:val="auto"/>
              </w:rPr>
              <w:t>2015年</w:t>
            </w:r>
          </w:p>
        </w:tc>
      </w:tr>
      <w:tr w14:paraId="50801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664DC72">
            <w:pPr>
              <w:pStyle w:val="44"/>
              <w:rPr>
                <w:color w:val="auto"/>
              </w:rPr>
            </w:pPr>
            <w:r>
              <w:rPr>
                <w:color w:val="auto"/>
              </w:rPr>
              <w:t>84</w:t>
            </w:r>
          </w:p>
        </w:tc>
        <w:tc>
          <w:tcPr>
            <w:tcW w:w="839" w:type="pct"/>
            <w:noWrap/>
            <w:vAlign w:val="center"/>
          </w:tcPr>
          <w:p w14:paraId="3F373178">
            <w:pPr>
              <w:pStyle w:val="44"/>
              <w:rPr>
                <w:color w:val="auto"/>
              </w:rPr>
            </w:pPr>
            <w:r>
              <w:rPr>
                <w:color w:val="auto"/>
              </w:rPr>
              <w:t>QF3-2-1/05</w:t>
            </w:r>
          </w:p>
        </w:tc>
        <w:tc>
          <w:tcPr>
            <w:tcW w:w="1755" w:type="pct"/>
            <w:noWrap/>
            <w:vAlign w:val="center"/>
          </w:tcPr>
          <w:p w14:paraId="796606A2">
            <w:pPr>
              <w:pStyle w:val="44"/>
              <w:rPr>
                <w:color w:val="auto"/>
              </w:rPr>
            </w:pPr>
            <w:r>
              <w:rPr>
                <w:color w:val="auto"/>
              </w:rPr>
              <w:t>泽一新天地</w:t>
            </w:r>
          </w:p>
        </w:tc>
        <w:tc>
          <w:tcPr>
            <w:tcW w:w="1069" w:type="pct"/>
            <w:noWrap/>
            <w:vAlign w:val="center"/>
          </w:tcPr>
          <w:p w14:paraId="140A86C9">
            <w:pPr>
              <w:pStyle w:val="44"/>
              <w:rPr>
                <w:color w:val="auto"/>
              </w:rPr>
            </w:pPr>
            <w:r>
              <w:rPr>
                <w:color w:val="auto"/>
              </w:rPr>
              <w:t>0.24</w:t>
            </w:r>
          </w:p>
        </w:tc>
        <w:tc>
          <w:tcPr>
            <w:tcW w:w="897" w:type="pct"/>
            <w:noWrap/>
            <w:vAlign w:val="center"/>
          </w:tcPr>
          <w:p w14:paraId="433849FC">
            <w:pPr>
              <w:pStyle w:val="44"/>
              <w:rPr>
                <w:color w:val="auto"/>
              </w:rPr>
            </w:pPr>
            <w:r>
              <w:rPr>
                <w:color w:val="auto"/>
              </w:rPr>
              <w:t>2005年</w:t>
            </w:r>
          </w:p>
        </w:tc>
      </w:tr>
      <w:tr w14:paraId="7A8EF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E574722">
            <w:pPr>
              <w:pStyle w:val="44"/>
              <w:rPr>
                <w:color w:val="auto"/>
              </w:rPr>
            </w:pPr>
            <w:r>
              <w:rPr>
                <w:color w:val="auto"/>
              </w:rPr>
              <w:t>85</w:t>
            </w:r>
          </w:p>
        </w:tc>
        <w:tc>
          <w:tcPr>
            <w:tcW w:w="839" w:type="pct"/>
            <w:noWrap/>
            <w:vAlign w:val="center"/>
          </w:tcPr>
          <w:p w14:paraId="5C7B49F3">
            <w:pPr>
              <w:pStyle w:val="44"/>
              <w:rPr>
                <w:color w:val="auto"/>
              </w:rPr>
            </w:pPr>
            <w:r>
              <w:rPr>
                <w:color w:val="auto"/>
              </w:rPr>
              <w:t>QF3-3-2/05</w:t>
            </w:r>
          </w:p>
        </w:tc>
        <w:tc>
          <w:tcPr>
            <w:tcW w:w="1755" w:type="pct"/>
            <w:noWrap/>
            <w:vAlign w:val="center"/>
          </w:tcPr>
          <w:p w14:paraId="43A81E67">
            <w:pPr>
              <w:pStyle w:val="44"/>
              <w:rPr>
                <w:color w:val="auto"/>
              </w:rPr>
            </w:pPr>
            <w:r>
              <w:rPr>
                <w:color w:val="auto"/>
              </w:rPr>
              <w:t>皇庭广场</w:t>
            </w:r>
          </w:p>
        </w:tc>
        <w:tc>
          <w:tcPr>
            <w:tcW w:w="1069" w:type="pct"/>
            <w:noWrap/>
            <w:vAlign w:val="center"/>
          </w:tcPr>
          <w:p w14:paraId="76B7C53D">
            <w:pPr>
              <w:pStyle w:val="44"/>
              <w:rPr>
                <w:color w:val="auto"/>
              </w:rPr>
            </w:pPr>
            <w:r>
              <w:rPr>
                <w:color w:val="auto"/>
              </w:rPr>
              <w:t>2.19</w:t>
            </w:r>
          </w:p>
        </w:tc>
        <w:tc>
          <w:tcPr>
            <w:tcW w:w="897" w:type="pct"/>
            <w:noWrap/>
            <w:vAlign w:val="center"/>
          </w:tcPr>
          <w:p w14:paraId="64A27C7E">
            <w:pPr>
              <w:pStyle w:val="44"/>
              <w:rPr>
                <w:color w:val="auto"/>
              </w:rPr>
            </w:pPr>
            <w:r>
              <w:rPr>
                <w:color w:val="auto"/>
              </w:rPr>
              <w:t>2005年</w:t>
            </w:r>
          </w:p>
        </w:tc>
      </w:tr>
      <w:tr w14:paraId="75FB3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431D7A1">
            <w:pPr>
              <w:pStyle w:val="44"/>
              <w:rPr>
                <w:color w:val="auto"/>
              </w:rPr>
            </w:pPr>
            <w:r>
              <w:rPr>
                <w:color w:val="auto"/>
              </w:rPr>
              <w:t>86</w:t>
            </w:r>
          </w:p>
        </w:tc>
        <w:tc>
          <w:tcPr>
            <w:tcW w:w="839" w:type="pct"/>
            <w:noWrap/>
            <w:vAlign w:val="center"/>
          </w:tcPr>
          <w:p w14:paraId="1F008BF5">
            <w:pPr>
              <w:pStyle w:val="44"/>
              <w:rPr>
                <w:color w:val="auto"/>
              </w:rPr>
            </w:pPr>
            <w:r>
              <w:rPr>
                <w:color w:val="auto"/>
              </w:rPr>
              <w:t>QF3-2-4/04</w:t>
            </w:r>
          </w:p>
        </w:tc>
        <w:tc>
          <w:tcPr>
            <w:tcW w:w="1755" w:type="pct"/>
            <w:noWrap/>
            <w:vAlign w:val="center"/>
          </w:tcPr>
          <w:p w14:paraId="51B0DAAA">
            <w:pPr>
              <w:pStyle w:val="44"/>
              <w:rPr>
                <w:color w:val="auto"/>
              </w:rPr>
            </w:pPr>
            <w:r>
              <w:rPr>
                <w:color w:val="auto"/>
              </w:rPr>
              <w:t>中粮鸿云小区二栋</w:t>
            </w:r>
          </w:p>
        </w:tc>
        <w:tc>
          <w:tcPr>
            <w:tcW w:w="1069" w:type="pct"/>
            <w:noWrap/>
            <w:vAlign w:val="center"/>
          </w:tcPr>
          <w:p w14:paraId="7E714EE3">
            <w:pPr>
              <w:pStyle w:val="44"/>
              <w:rPr>
                <w:color w:val="auto"/>
              </w:rPr>
            </w:pPr>
            <w:r>
              <w:rPr>
                <w:color w:val="auto"/>
              </w:rPr>
              <w:t>0.56</w:t>
            </w:r>
          </w:p>
        </w:tc>
        <w:tc>
          <w:tcPr>
            <w:tcW w:w="897" w:type="pct"/>
            <w:noWrap/>
            <w:vAlign w:val="center"/>
          </w:tcPr>
          <w:p w14:paraId="527C6AC3">
            <w:pPr>
              <w:pStyle w:val="44"/>
              <w:rPr>
                <w:color w:val="auto"/>
              </w:rPr>
            </w:pPr>
            <w:r>
              <w:rPr>
                <w:color w:val="auto"/>
              </w:rPr>
              <w:t>2000年</w:t>
            </w:r>
          </w:p>
        </w:tc>
      </w:tr>
      <w:tr w14:paraId="0C5F9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A41E6A8">
            <w:pPr>
              <w:pStyle w:val="44"/>
              <w:rPr>
                <w:color w:val="auto"/>
              </w:rPr>
            </w:pPr>
            <w:r>
              <w:rPr>
                <w:color w:val="auto"/>
              </w:rPr>
              <w:t>87</w:t>
            </w:r>
          </w:p>
        </w:tc>
        <w:tc>
          <w:tcPr>
            <w:tcW w:w="839" w:type="pct"/>
            <w:noWrap/>
            <w:vAlign w:val="center"/>
          </w:tcPr>
          <w:p w14:paraId="11D845F4">
            <w:pPr>
              <w:pStyle w:val="44"/>
              <w:rPr>
                <w:color w:val="auto"/>
              </w:rPr>
            </w:pPr>
            <w:r>
              <w:rPr>
                <w:color w:val="auto"/>
              </w:rPr>
              <w:t>QF3-2-3/05</w:t>
            </w:r>
          </w:p>
        </w:tc>
        <w:tc>
          <w:tcPr>
            <w:tcW w:w="1755" w:type="pct"/>
            <w:noWrap/>
            <w:vAlign w:val="center"/>
          </w:tcPr>
          <w:p w14:paraId="30E81D8F">
            <w:pPr>
              <w:pStyle w:val="44"/>
              <w:rPr>
                <w:color w:val="auto"/>
              </w:rPr>
            </w:pPr>
            <w:r>
              <w:rPr>
                <w:color w:val="auto"/>
              </w:rPr>
              <w:t>中粮鸿云.天悦一号小区</w:t>
            </w:r>
          </w:p>
        </w:tc>
        <w:tc>
          <w:tcPr>
            <w:tcW w:w="1069" w:type="pct"/>
            <w:noWrap/>
            <w:vAlign w:val="center"/>
          </w:tcPr>
          <w:p w14:paraId="6086D0BE">
            <w:pPr>
              <w:pStyle w:val="44"/>
              <w:rPr>
                <w:color w:val="auto"/>
              </w:rPr>
            </w:pPr>
            <w:r>
              <w:rPr>
                <w:color w:val="auto"/>
              </w:rPr>
              <w:t>3.1</w:t>
            </w:r>
          </w:p>
        </w:tc>
        <w:tc>
          <w:tcPr>
            <w:tcW w:w="897" w:type="pct"/>
            <w:noWrap/>
            <w:vAlign w:val="center"/>
          </w:tcPr>
          <w:p w14:paraId="1F695189">
            <w:pPr>
              <w:pStyle w:val="44"/>
              <w:rPr>
                <w:color w:val="auto"/>
              </w:rPr>
            </w:pPr>
            <w:r>
              <w:rPr>
                <w:color w:val="auto"/>
              </w:rPr>
              <w:t>2000年</w:t>
            </w:r>
          </w:p>
        </w:tc>
      </w:tr>
      <w:tr w14:paraId="7121E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74E47B1">
            <w:pPr>
              <w:pStyle w:val="44"/>
              <w:rPr>
                <w:color w:val="auto"/>
              </w:rPr>
            </w:pPr>
            <w:r>
              <w:rPr>
                <w:color w:val="auto"/>
              </w:rPr>
              <w:t>88</w:t>
            </w:r>
          </w:p>
        </w:tc>
        <w:tc>
          <w:tcPr>
            <w:tcW w:w="839" w:type="pct"/>
            <w:noWrap/>
            <w:vAlign w:val="center"/>
          </w:tcPr>
          <w:p w14:paraId="49E8CB13">
            <w:pPr>
              <w:pStyle w:val="44"/>
              <w:rPr>
                <w:color w:val="auto"/>
              </w:rPr>
            </w:pPr>
            <w:r>
              <w:rPr>
                <w:color w:val="auto"/>
              </w:rPr>
              <w:t>QF3-4-1/06</w:t>
            </w:r>
          </w:p>
        </w:tc>
        <w:tc>
          <w:tcPr>
            <w:tcW w:w="1755" w:type="pct"/>
            <w:noWrap/>
            <w:vAlign w:val="center"/>
          </w:tcPr>
          <w:p w14:paraId="572513D8">
            <w:pPr>
              <w:pStyle w:val="44"/>
              <w:rPr>
                <w:color w:val="auto"/>
              </w:rPr>
            </w:pPr>
            <w:r>
              <w:rPr>
                <w:color w:val="auto"/>
              </w:rPr>
              <w:t>财信，铂雲府小区</w:t>
            </w:r>
          </w:p>
        </w:tc>
        <w:tc>
          <w:tcPr>
            <w:tcW w:w="1069" w:type="pct"/>
            <w:noWrap/>
            <w:vAlign w:val="center"/>
          </w:tcPr>
          <w:p w14:paraId="446593C2">
            <w:pPr>
              <w:pStyle w:val="44"/>
              <w:rPr>
                <w:color w:val="auto"/>
              </w:rPr>
            </w:pPr>
            <w:r>
              <w:rPr>
                <w:color w:val="auto"/>
              </w:rPr>
              <w:t>3.48</w:t>
            </w:r>
          </w:p>
        </w:tc>
        <w:tc>
          <w:tcPr>
            <w:tcW w:w="897" w:type="pct"/>
            <w:noWrap/>
            <w:vAlign w:val="center"/>
          </w:tcPr>
          <w:p w14:paraId="4E464B52">
            <w:pPr>
              <w:pStyle w:val="44"/>
              <w:rPr>
                <w:color w:val="auto"/>
              </w:rPr>
            </w:pPr>
            <w:r>
              <w:rPr>
                <w:color w:val="auto"/>
              </w:rPr>
              <w:t>2019年</w:t>
            </w:r>
          </w:p>
        </w:tc>
      </w:tr>
      <w:tr w14:paraId="1B1FE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259BE8D">
            <w:pPr>
              <w:pStyle w:val="44"/>
              <w:rPr>
                <w:color w:val="auto"/>
              </w:rPr>
            </w:pPr>
            <w:r>
              <w:rPr>
                <w:color w:val="auto"/>
              </w:rPr>
              <w:t>89</w:t>
            </w:r>
          </w:p>
        </w:tc>
        <w:tc>
          <w:tcPr>
            <w:tcW w:w="839" w:type="pct"/>
            <w:noWrap/>
            <w:vAlign w:val="center"/>
          </w:tcPr>
          <w:p w14:paraId="659567C3">
            <w:pPr>
              <w:pStyle w:val="44"/>
              <w:rPr>
                <w:color w:val="auto"/>
              </w:rPr>
            </w:pPr>
            <w:r>
              <w:rPr>
                <w:color w:val="auto"/>
              </w:rPr>
              <w:t>QF3-6-4/07</w:t>
            </w:r>
          </w:p>
        </w:tc>
        <w:tc>
          <w:tcPr>
            <w:tcW w:w="1755" w:type="pct"/>
            <w:noWrap/>
            <w:vAlign w:val="center"/>
          </w:tcPr>
          <w:p w14:paraId="5E5792E9">
            <w:pPr>
              <w:pStyle w:val="44"/>
              <w:rPr>
                <w:color w:val="auto"/>
              </w:rPr>
            </w:pPr>
            <w:r>
              <w:rPr>
                <w:color w:val="auto"/>
              </w:rPr>
              <w:t>鲁能.东郡</w:t>
            </w:r>
          </w:p>
        </w:tc>
        <w:tc>
          <w:tcPr>
            <w:tcW w:w="1069" w:type="pct"/>
            <w:noWrap/>
            <w:vAlign w:val="center"/>
          </w:tcPr>
          <w:p w14:paraId="4AF8A54B">
            <w:pPr>
              <w:pStyle w:val="44"/>
              <w:rPr>
                <w:color w:val="auto"/>
              </w:rPr>
            </w:pPr>
            <w:r>
              <w:rPr>
                <w:color w:val="auto"/>
              </w:rPr>
              <w:t>3.64</w:t>
            </w:r>
          </w:p>
        </w:tc>
        <w:tc>
          <w:tcPr>
            <w:tcW w:w="897" w:type="pct"/>
            <w:noWrap/>
            <w:vAlign w:val="center"/>
          </w:tcPr>
          <w:p w14:paraId="3E362895">
            <w:pPr>
              <w:pStyle w:val="44"/>
              <w:rPr>
                <w:color w:val="auto"/>
              </w:rPr>
            </w:pPr>
            <w:r>
              <w:rPr>
                <w:color w:val="auto"/>
              </w:rPr>
              <w:t>2016年</w:t>
            </w:r>
          </w:p>
        </w:tc>
      </w:tr>
      <w:tr w14:paraId="271E7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6AE4A39">
            <w:pPr>
              <w:pStyle w:val="44"/>
              <w:rPr>
                <w:color w:val="auto"/>
              </w:rPr>
            </w:pPr>
            <w:r>
              <w:rPr>
                <w:color w:val="auto"/>
              </w:rPr>
              <w:t>90</w:t>
            </w:r>
          </w:p>
        </w:tc>
        <w:tc>
          <w:tcPr>
            <w:tcW w:w="839" w:type="pct"/>
            <w:noWrap/>
            <w:vAlign w:val="center"/>
          </w:tcPr>
          <w:p w14:paraId="2BDAFF5D">
            <w:pPr>
              <w:pStyle w:val="44"/>
              <w:rPr>
                <w:color w:val="auto"/>
              </w:rPr>
            </w:pPr>
            <w:r>
              <w:rPr>
                <w:color w:val="auto"/>
              </w:rPr>
              <w:t>QF4-1-1/04</w:t>
            </w:r>
          </w:p>
        </w:tc>
        <w:tc>
          <w:tcPr>
            <w:tcW w:w="1755" w:type="pct"/>
            <w:noWrap/>
            <w:vAlign w:val="center"/>
          </w:tcPr>
          <w:p w14:paraId="3830BB09">
            <w:pPr>
              <w:pStyle w:val="44"/>
              <w:rPr>
                <w:color w:val="auto"/>
              </w:rPr>
            </w:pPr>
            <w:r>
              <w:rPr>
                <w:color w:val="auto"/>
              </w:rPr>
              <w:t>九龙镇盘龙社区（隆鑫西城汇）</w:t>
            </w:r>
          </w:p>
        </w:tc>
        <w:tc>
          <w:tcPr>
            <w:tcW w:w="1069" w:type="pct"/>
            <w:noWrap/>
            <w:vAlign w:val="center"/>
          </w:tcPr>
          <w:p w14:paraId="158B3CFB">
            <w:pPr>
              <w:pStyle w:val="44"/>
              <w:rPr>
                <w:color w:val="auto"/>
              </w:rPr>
            </w:pPr>
            <w:r>
              <w:rPr>
                <w:color w:val="auto"/>
              </w:rPr>
              <w:t>5.06</w:t>
            </w:r>
          </w:p>
        </w:tc>
        <w:tc>
          <w:tcPr>
            <w:tcW w:w="897" w:type="pct"/>
            <w:noWrap/>
            <w:vAlign w:val="center"/>
          </w:tcPr>
          <w:p w14:paraId="243FFD7D">
            <w:pPr>
              <w:pStyle w:val="44"/>
              <w:rPr>
                <w:color w:val="auto"/>
              </w:rPr>
            </w:pPr>
            <w:r>
              <w:rPr>
                <w:color w:val="auto"/>
              </w:rPr>
              <w:t>2013年</w:t>
            </w:r>
          </w:p>
        </w:tc>
      </w:tr>
      <w:tr w14:paraId="02E74D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A006680">
            <w:pPr>
              <w:pStyle w:val="44"/>
              <w:rPr>
                <w:color w:val="auto"/>
              </w:rPr>
            </w:pPr>
            <w:r>
              <w:rPr>
                <w:color w:val="auto"/>
              </w:rPr>
              <w:t>91</w:t>
            </w:r>
          </w:p>
        </w:tc>
        <w:tc>
          <w:tcPr>
            <w:tcW w:w="839" w:type="pct"/>
            <w:vMerge w:val="restart"/>
            <w:noWrap/>
            <w:vAlign w:val="center"/>
          </w:tcPr>
          <w:p w14:paraId="690815BB">
            <w:pPr>
              <w:pStyle w:val="44"/>
              <w:rPr>
                <w:color w:val="auto"/>
              </w:rPr>
            </w:pPr>
            <w:r>
              <w:rPr>
                <w:color w:val="auto"/>
              </w:rPr>
              <w:t>QF4-2-1/05</w:t>
            </w:r>
          </w:p>
        </w:tc>
        <w:tc>
          <w:tcPr>
            <w:tcW w:w="1755" w:type="pct"/>
            <w:noWrap/>
            <w:vAlign w:val="center"/>
          </w:tcPr>
          <w:p w14:paraId="709CA46C">
            <w:pPr>
              <w:pStyle w:val="44"/>
              <w:rPr>
                <w:color w:val="auto"/>
              </w:rPr>
            </w:pPr>
            <w:r>
              <w:rPr>
                <w:color w:val="auto"/>
              </w:rPr>
              <w:t>鲁能.九龙秀街</w:t>
            </w:r>
          </w:p>
        </w:tc>
        <w:tc>
          <w:tcPr>
            <w:tcW w:w="1069" w:type="pct"/>
            <w:vMerge w:val="restart"/>
            <w:noWrap/>
            <w:vAlign w:val="center"/>
          </w:tcPr>
          <w:p w14:paraId="6E834D83">
            <w:pPr>
              <w:pStyle w:val="44"/>
              <w:rPr>
                <w:color w:val="auto"/>
              </w:rPr>
            </w:pPr>
            <w:r>
              <w:rPr>
                <w:color w:val="auto"/>
              </w:rPr>
              <w:t>6.17</w:t>
            </w:r>
          </w:p>
        </w:tc>
        <w:tc>
          <w:tcPr>
            <w:tcW w:w="897" w:type="pct"/>
            <w:noWrap/>
            <w:vAlign w:val="center"/>
          </w:tcPr>
          <w:p w14:paraId="1E6F43A2">
            <w:pPr>
              <w:pStyle w:val="44"/>
              <w:rPr>
                <w:color w:val="auto"/>
              </w:rPr>
            </w:pPr>
            <w:r>
              <w:rPr>
                <w:color w:val="auto"/>
              </w:rPr>
              <w:t>2015年</w:t>
            </w:r>
          </w:p>
        </w:tc>
      </w:tr>
      <w:tr w14:paraId="32B4D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A2A45EE">
            <w:pPr>
              <w:pStyle w:val="44"/>
              <w:rPr>
                <w:color w:val="auto"/>
              </w:rPr>
            </w:pPr>
            <w:r>
              <w:rPr>
                <w:color w:val="auto"/>
              </w:rPr>
              <w:t>92</w:t>
            </w:r>
          </w:p>
        </w:tc>
        <w:tc>
          <w:tcPr>
            <w:tcW w:w="839" w:type="pct"/>
            <w:vMerge w:val="continue"/>
            <w:vAlign w:val="center"/>
          </w:tcPr>
          <w:p w14:paraId="15AF2DC3">
            <w:pPr>
              <w:pStyle w:val="44"/>
              <w:rPr>
                <w:color w:val="auto"/>
              </w:rPr>
            </w:pPr>
          </w:p>
        </w:tc>
        <w:tc>
          <w:tcPr>
            <w:tcW w:w="1755" w:type="pct"/>
            <w:noWrap/>
            <w:vAlign w:val="center"/>
          </w:tcPr>
          <w:p w14:paraId="45A54521">
            <w:pPr>
              <w:pStyle w:val="44"/>
              <w:rPr>
                <w:color w:val="auto"/>
              </w:rPr>
            </w:pPr>
            <w:r>
              <w:rPr>
                <w:color w:val="auto"/>
              </w:rPr>
              <w:t>鲁能.九龙花园</w:t>
            </w:r>
          </w:p>
        </w:tc>
        <w:tc>
          <w:tcPr>
            <w:tcW w:w="1069" w:type="pct"/>
            <w:vMerge w:val="continue"/>
            <w:vAlign w:val="center"/>
          </w:tcPr>
          <w:p w14:paraId="23EF7BAB">
            <w:pPr>
              <w:pStyle w:val="44"/>
              <w:rPr>
                <w:color w:val="auto"/>
              </w:rPr>
            </w:pPr>
          </w:p>
        </w:tc>
        <w:tc>
          <w:tcPr>
            <w:tcW w:w="897" w:type="pct"/>
            <w:noWrap/>
            <w:vAlign w:val="center"/>
          </w:tcPr>
          <w:p w14:paraId="248527B3">
            <w:pPr>
              <w:pStyle w:val="44"/>
              <w:rPr>
                <w:color w:val="auto"/>
              </w:rPr>
            </w:pPr>
            <w:r>
              <w:rPr>
                <w:color w:val="auto"/>
              </w:rPr>
              <w:t>2015年</w:t>
            </w:r>
          </w:p>
        </w:tc>
      </w:tr>
      <w:tr w14:paraId="69AAB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7C46A9F">
            <w:pPr>
              <w:pStyle w:val="44"/>
              <w:rPr>
                <w:color w:val="auto"/>
              </w:rPr>
            </w:pPr>
            <w:r>
              <w:rPr>
                <w:color w:val="auto"/>
              </w:rPr>
              <w:t>93</w:t>
            </w:r>
          </w:p>
        </w:tc>
        <w:tc>
          <w:tcPr>
            <w:tcW w:w="839" w:type="pct"/>
            <w:vMerge w:val="restart"/>
            <w:noWrap/>
            <w:vAlign w:val="center"/>
          </w:tcPr>
          <w:p w14:paraId="0788E0D3">
            <w:pPr>
              <w:pStyle w:val="44"/>
              <w:rPr>
                <w:color w:val="auto"/>
              </w:rPr>
            </w:pPr>
            <w:r>
              <w:rPr>
                <w:color w:val="auto"/>
              </w:rPr>
              <w:t>QF6-5-1/04</w:t>
            </w:r>
          </w:p>
        </w:tc>
        <w:tc>
          <w:tcPr>
            <w:tcW w:w="1755" w:type="pct"/>
            <w:noWrap/>
            <w:vAlign w:val="center"/>
          </w:tcPr>
          <w:p w14:paraId="3ACC2745">
            <w:pPr>
              <w:pStyle w:val="44"/>
              <w:rPr>
                <w:color w:val="auto"/>
              </w:rPr>
            </w:pPr>
            <w:r>
              <w:rPr>
                <w:color w:val="auto"/>
              </w:rPr>
              <w:t>盘龙小区</w:t>
            </w:r>
          </w:p>
        </w:tc>
        <w:tc>
          <w:tcPr>
            <w:tcW w:w="1069" w:type="pct"/>
            <w:vMerge w:val="restart"/>
            <w:noWrap/>
            <w:vAlign w:val="center"/>
          </w:tcPr>
          <w:p w14:paraId="20DEA14B">
            <w:pPr>
              <w:pStyle w:val="44"/>
              <w:rPr>
                <w:color w:val="auto"/>
              </w:rPr>
            </w:pPr>
            <w:r>
              <w:rPr>
                <w:color w:val="auto"/>
              </w:rPr>
              <w:t>1.32</w:t>
            </w:r>
          </w:p>
        </w:tc>
        <w:tc>
          <w:tcPr>
            <w:tcW w:w="897" w:type="pct"/>
            <w:noWrap/>
            <w:vAlign w:val="center"/>
          </w:tcPr>
          <w:p w14:paraId="6319098E">
            <w:pPr>
              <w:pStyle w:val="44"/>
              <w:rPr>
                <w:color w:val="auto"/>
              </w:rPr>
            </w:pPr>
            <w:r>
              <w:rPr>
                <w:color w:val="auto"/>
              </w:rPr>
              <w:t>2002年</w:t>
            </w:r>
          </w:p>
        </w:tc>
      </w:tr>
      <w:tr w14:paraId="76886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5743BCDF">
            <w:pPr>
              <w:pStyle w:val="44"/>
              <w:rPr>
                <w:color w:val="auto"/>
              </w:rPr>
            </w:pPr>
            <w:r>
              <w:rPr>
                <w:color w:val="auto"/>
              </w:rPr>
              <w:t>94</w:t>
            </w:r>
          </w:p>
        </w:tc>
        <w:tc>
          <w:tcPr>
            <w:tcW w:w="839" w:type="pct"/>
            <w:vMerge w:val="continue"/>
            <w:vAlign w:val="center"/>
          </w:tcPr>
          <w:p w14:paraId="608F1DD9">
            <w:pPr>
              <w:pStyle w:val="44"/>
              <w:rPr>
                <w:color w:val="auto"/>
              </w:rPr>
            </w:pPr>
          </w:p>
        </w:tc>
        <w:tc>
          <w:tcPr>
            <w:tcW w:w="1755" w:type="pct"/>
            <w:noWrap/>
            <w:vAlign w:val="center"/>
          </w:tcPr>
          <w:p w14:paraId="45FB42B4">
            <w:pPr>
              <w:pStyle w:val="44"/>
              <w:rPr>
                <w:color w:val="auto"/>
              </w:rPr>
            </w:pPr>
            <w:r>
              <w:rPr>
                <w:color w:val="auto"/>
              </w:rPr>
              <w:t>九龙园派出所</w:t>
            </w:r>
          </w:p>
        </w:tc>
        <w:tc>
          <w:tcPr>
            <w:tcW w:w="1069" w:type="pct"/>
            <w:vMerge w:val="continue"/>
            <w:vAlign w:val="center"/>
          </w:tcPr>
          <w:p w14:paraId="476A8860">
            <w:pPr>
              <w:pStyle w:val="44"/>
              <w:rPr>
                <w:color w:val="auto"/>
              </w:rPr>
            </w:pPr>
          </w:p>
        </w:tc>
        <w:tc>
          <w:tcPr>
            <w:tcW w:w="897" w:type="pct"/>
            <w:noWrap/>
            <w:vAlign w:val="center"/>
          </w:tcPr>
          <w:p w14:paraId="59370B27">
            <w:pPr>
              <w:pStyle w:val="44"/>
              <w:rPr>
                <w:color w:val="auto"/>
              </w:rPr>
            </w:pPr>
            <w:r>
              <w:rPr>
                <w:color w:val="auto"/>
              </w:rPr>
              <w:t>2002年</w:t>
            </w:r>
          </w:p>
        </w:tc>
      </w:tr>
      <w:tr w14:paraId="6CF40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8704479">
            <w:pPr>
              <w:pStyle w:val="44"/>
              <w:rPr>
                <w:color w:val="auto"/>
              </w:rPr>
            </w:pPr>
            <w:r>
              <w:rPr>
                <w:color w:val="auto"/>
              </w:rPr>
              <w:t>95</w:t>
            </w:r>
          </w:p>
        </w:tc>
        <w:tc>
          <w:tcPr>
            <w:tcW w:w="839" w:type="pct"/>
            <w:noWrap/>
            <w:vAlign w:val="center"/>
          </w:tcPr>
          <w:p w14:paraId="6B018504">
            <w:pPr>
              <w:pStyle w:val="44"/>
              <w:rPr>
                <w:color w:val="auto"/>
              </w:rPr>
            </w:pPr>
            <w:r>
              <w:rPr>
                <w:color w:val="auto"/>
              </w:rPr>
              <w:t>F9-6-1/07</w:t>
            </w:r>
          </w:p>
        </w:tc>
        <w:tc>
          <w:tcPr>
            <w:tcW w:w="1755" w:type="pct"/>
            <w:noWrap/>
            <w:vAlign w:val="center"/>
          </w:tcPr>
          <w:p w14:paraId="4B98DA01">
            <w:pPr>
              <w:pStyle w:val="44"/>
              <w:rPr>
                <w:color w:val="auto"/>
              </w:rPr>
            </w:pPr>
            <w:r>
              <w:rPr>
                <w:color w:val="auto"/>
              </w:rPr>
              <w:t>天堂福小区</w:t>
            </w:r>
          </w:p>
        </w:tc>
        <w:tc>
          <w:tcPr>
            <w:tcW w:w="1069" w:type="pct"/>
            <w:noWrap/>
            <w:vAlign w:val="center"/>
          </w:tcPr>
          <w:p w14:paraId="0B4EF180">
            <w:pPr>
              <w:pStyle w:val="44"/>
              <w:rPr>
                <w:color w:val="auto"/>
              </w:rPr>
            </w:pPr>
            <w:r>
              <w:rPr>
                <w:color w:val="auto"/>
              </w:rPr>
              <w:t>0.85</w:t>
            </w:r>
          </w:p>
        </w:tc>
        <w:tc>
          <w:tcPr>
            <w:tcW w:w="897" w:type="pct"/>
            <w:noWrap/>
            <w:vAlign w:val="center"/>
          </w:tcPr>
          <w:p w14:paraId="31B786CB">
            <w:pPr>
              <w:pStyle w:val="44"/>
              <w:rPr>
                <w:color w:val="auto"/>
              </w:rPr>
            </w:pPr>
            <w:r>
              <w:rPr>
                <w:color w:val="auto"/>
              </w:rPr>
              <w:t>1999年</w:t>
            </w:r>
          </w:p>
        </w:tc>
      </w:tr>
      <w:tr w14:paraId="72C6D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B97D6C7">
            <w:pPr>
              <w:pStyle w:val="44"/>
              <w:rPr>
                <w:color w:val="auto"/>
              </w:rPr>
            </w:pPr>
            <w:r>
              <w:rPr>
                <w:color w:val="auto"/>
              </w:rPr>
              <w:t>96</w:t>
            </w:r>
          </w:p>
        </w:tc>
        <w:tc>
          <w:tcPr>
            <w:tcW w:w="839" w:type="pct"/>
            <w:noWrap/>
            <w:vAlign w:val="center"/>
          </w:tcPr>
          <w:p w14:paraId="21D4F0D2">
            <w:pPr>
              <w:pStyle w:val="44"/>
              <w:rPr>
                <w:color w:val="auto"/>
              </w:rPr>
            </w:pPr>
            <w:r>
              <w:rPr>
                <w:color w:val="auto"/>
              </w:rPr>
              <w:t>Bf7-2-1/05</w:t>
            </w:r>
          </w:p>
        </w:tc>
        <w:tc>
          <w:tcPr>
            <w:tcW w:w="1755" w:type="pct"/>
            <w:noWrap/>
            <w:vAlign w:val="center"/>
          </w:tcPr>
          <w:p w14:paraId="155B8DE0">
            <w:pPr>
              <w:pStyle w:val="44"/>
              <w:rPr>
                <w:color w:val="auto"/>
              </w:rPr>
            </w:pPr>
            <w:r>
              <w:rPr>
                <w:color w:val="auto"/>
              </w:rPr>
              <w:t>重庆啤酒股份有限公司（新区）</w:t>
            </w:r>
          </w:p>
        </w:tc>
        <w:tc>
          <w:tcPr>
            <w:tcW w:w="1069" w:type="pct"/>
            <w:noWrap/>
            <w:vAlign w:val="center"/>
          </w:tcPr>
          <w:p w14:paraId="765FA819">
            <w:pPr>
              <w:pStyle w:val="44"/>
              <w:rPr>
                <w:color w:val="auto"/>
              </w:rPr>
            </w:pPr>
            <w:r>
              <w:rPr>
                <w:color w:val="auto"/>
              </w:rPr>
              <w:t>4.14</w:t>
            </w:r>
          </w:p>
        </w:tc>
        <w:tc>
          <w:tcPr>
            <w:tcW w:w="897" w:type="pct"/>
            <w:noWrap/>
            <w:vAlign w:val="center"/>
          </w:tcPr>
          <w:p w14:paraId="0E0E3F0B">
            <w:pPr>
              <w:pStyle w:val="44"/>
              <w:rPr>
                <w:color w:val="auto"/>
              </w:rPr>
            </w:pPr>
            <w:r>
              <w:rPr>
                <w:color w:val="auto"/>
              </w:rPr>
              <w:t>1999年</w:t>
            </w:r>
          </w:p>
        </w:tc>
      </w:tr>
      <w:tr w14:paraId="4CF3F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DDB8064">
            <w:pPr>
              <w:pStyle w:val="44"/>
              <w:rPr>
                <w:color w:val="auto"/>
              </w:rPr>
            </w:pPr>
            <w:r>
              <w:rPr>
                <w:color w:val="auto"/>
              </w:rPr>
              <w:t>97</w:t>
            </w:r>
          </w:p>
        </w:tc>
        <w:tc>
          <w:tcPr>
            <w:tcW w:w="839" w:type="pct"/>
            <w:noWrap/>
            <w:vAlign w:val="center"/>
          </w:tcPr>
          <w:p w14:paraId="52C7264C">
            <w:pPr>
              <w:pStyle w:val="44"/>
              <w:rPr>
                <w:color w:val="auto"/>
              </w:rPr>
            </w:pPr>
            <w:r>
              <w:rPr>
                <w:color w:val="auto"/>
              </w:rPr>
              <w:t>Bf7-2-2/05</w:t>
            </w:r>
          </w:p>
        </w:tc>
        <w:tc>
          <w:tcPr>
            <w:tcW w:w="1755" w:type="pct"/>
            <w:noWrap/>
            <w:vAlign w:val="center"/>
          </w:tcPr>
          <w:p w14:paraId="2C1FA458">
            <w:pPr>
              <w:pStyle w:val="44"/>
              <w:rPr>
                <w:color w:val="auto"/>
              </w:rPr>
            </w:pPr>
            <w:r>
              <w:rPr>
                <w:color w:val="auto"/>
              </w:rPr>
              <w:t>重庆啤酒股份有限公司（新区）</w:t>
            </w:r>
          </w:p>
        </w:tc>
        <w:tc>
          <w:tcPr>
            <w:tcW w:w="1069" w:type="pct"/>
            <w:noWrap/>
            <w:vAlign w:val="center"/>
          </w:tcPr>
          <w:p w14:paraId="27B8B9D7">
            <w:pPr>
              <w:pStyle w:val="44"/>
              <w:rPr>
                <w:color w:val="auto"/>
              </w:rPr>
            </w:pPr>
            <w:r>
              <w:rPr>
                <w:color w:val="auto"/>
              </w:rPr>
              <w:t>1.56</w:t>
            </w:r>
          </w:p>
        </w:tc>
        <w:tc>
          <w:tcPr>
            <w:tcW w:w="897" w:type="pct"/>
            <w:noWrap/>
            <w:vAlign w:val="center"/>
          </w:tcPr>
          <w:p w14:paraId="1088EE9B">
            <w:pPr>
              <w:pStyle w:val="44"/>
              <w:rPr>
                <w:color w:val="auto"/>
              </w:rPr>
            </w:pPr>
            <w:r>
              <w:rPr>
                <w:color w:val="auto"/>
              </w:rPr>
              <w:t>1999年</w:t>
            </w:r>
          </w:p>
        </w:tc>
      </w:tr>
      <w:tr w14:paraId="539CB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0B82E348">
            <w:pPr>
              <w:pStyle w:val="44"/>
              <w:rPr>
                <w:color w:val="auto"/>
              </w:rPr>
            </w:pPr>
            <w:r>
              <w:rPr>
                <w:color w:val="auto"/>
              </w:rPr>
              <w:t>98</w:t>
            </w:r>
          </w:p>
        </w:tc>
        <w:tc>
          <w:tcPr>
            <w:tcW w:w="839" w:type="pct"/>
            <w:noWrap/>
            <w:vAlign w:val="center"/>
          </w:tcPr>
          <w:p w14:paraId="14F22BBD">
            <w:pPr>
              <w:pStyle w:val="44"/>
              <w:rPr>
                <w:color w:val="auto"/>
              </w:rPr>
            </w:pPr>
            <w:r>
              <w:rPr>
                <w:color w:val="auto"/>
              </w:rPr>
              <w:t>Bf7-2-3/05</w:t>
            </w:r>
          </w:p>
        </w:tc>
        <w:tc>
          <w:tcPr>
            <w:tcW w:w="1755" w:type="pct"/>
            <w:noWrap/>
            <w:vAlign w:val="center"/>
          </w:tcPr>
          <w:p w14:paraId="6B2A5866">
            <w:pPr>
              <w:pStyle w:val="44"/>
              <w:rPr>
                <w:color w:val="auto"/>
              </w:rPr>
            </w:pPr>
            <w:r>
              <w:rPr>
                <w:color w:val="auto"/>
              </w:rPr>
              <w:t>重庆啤酒股份有限公司（新区）</w:t>
            </w:r>
          </w:p>
        </w:tc>
        <w:tc>
          <w:tcPr>
            <w:tcW w:w="1069" w:type="pct"/>
            <w:noWrap/>
            <w:vAlign w:val="center"/>
          </w:tcPr>
          <w:p w14:paraId="63341123">
            <w:pPr>
              <w:pStyle w:val="44"/>
              <w:rPr>
                <w:color w:val="auto"/>
              </w:rPr>
            </w:pPr>
            <w:r>
              <w:rPr>
                <w:color w:val="auto"/>
              </w:rPr>
              <w:t>6.76</w:t>
            </w:r>
          </w:p>
        </w:tc>
        <w:tc>
          <w:tcPr>
            <w:tcW w:w="897" w:type="pct"/>
            <w:noWrap/>
            <w:vAlign w:val="center"/>
          </w:tcPr>
          <w:p w14:paraId="477D30DC">
            <w:pPr>
              <w:pStyle w:val="44"/>
              <w:rPr>
                <w:color w:val="auto"/>
              </w:rPr>
            </w:pPr>
            <w:r>
              <w:rPr>
                <w:color w:val="auto"/>
              </w:rPr>
              <w:t>1999年</w:t>
            </w:r>
          </w:p>
        </w:tc>
      </w:tr>
      <w:tr w14:paraId="420A1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4C5E5CD3">
            <w:pPr>
              <w:pStyle w:val="44"/>
              <w:rPr>
                <w:color w:val="auto"/>
              </w:rPr>
            </w:pPr>
            <w:r>
              <w:rPr>
                <w:color w:val="auto"/>
              </w:rPr>
              <w:t>99</w:t>
            </w:r>
          </w:p>
        </w:tc>
        <w:tc>
          <w:tcPr>
            <w:tcW w:w="839" w:type="pct"/>
            <w:noWrap/>
            <w:vAlign w:val="center"/>
          </w:tcPr>
          <w:p w14:paraId="4893B7C5">
            <w:pPr>
              <w:pStyle w:val="44"/>
              <w:rPr>
                <w:color w:val="auto"/>
              </w:rPr>
            </w:pPr>
            <w:r>
              <w:rPr>
                <w:color w:val="auto"/>
              </w:rPr>
              <w:t>Bf8-1-4/05</w:t>
            </w:r>
          </w:p>
        </w:tc>
        <w:tc>
          <w:tcPr>
            <w:tcW w:w="1755" w:type="pct"/>
            <w:noWrap/>
            <w:vAlign w:val="center"/>
          </w:tcPr>
          <w:p w14:paraId="4BABDD62">
            <w:pPr>
              <w:pStyle w:val="44"/>
              <w:rPr>
                <w:color w:val="auto"/>
              </w:rPr>
            </w:pPr>
            <w:r>
              <w:rPr>
                <w:color w:val="auto"/>
              </w:rPr>
              <w:t>重庆轻工家电维修部</w:t>
            </w:r>
          </w:p>
        </w:tc>
        <w:tc>
          <w:tcPr>
            <w:tcW w:w="1069" w:type="pct"/>
            <w:noWrap/>
            <w:vAlign w:val="center"/>
          </w:tcPr>
          <w:p w14:paraId="0C4D4CE6">
            <w:pPr>
              <w:pStyle w:val="44"/>
              <w:rPr>
                <w:color w:val="auto"/>
              </w:rPr>
            </w:pPr>
            <w:r>
              <w:rPr>
                <w:color w:val="auto"/>
              </w:rPr>
              <w:t>0.46</w:t>
            </w:r>
          </w:p>
        </w:tc>
        <w:tc>
          <w:tcPr>
            <w:tcW w:w="897" w:type="pct"/>
            <w:noWrap/>
            <w:vAlign w:val="center"/>
          </w:tcPr>
          <w:p w14:paraId="02FB86BA">
            <w:pPr>
              <w:pStyle w:val="44"/>
              <w:rPr>
                <w:color w:val="auto"/>
              </w:rPr>
            </w:pPr>
            <w:r>
              <w:rPr>
                <w:color w:val="auto"/>
              </w:rPr>
              <w:t>2004年</w:t>
            </w:r>
          </w:p>
        </w:tc>
      </w:tr>
      <w:tr w14:paraId="123F5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72A6ED9">
            <w:pPr>
              <w:pStyle w:val="44"/>
              <w:rPr>
                <w:color w:val="auto"/>
              </w:rPr>
            </w:pPr>
            <w:r>
              <w:rPr>
                <w:color w:val="auto"/>
              </w:rPr>
              <w:t>100</w:t>
            </w:r>
          </w:p>
        </w:tc>
        <w:tc>
          <w:tcPr>
            <w:tcW w:w="839" w:type="pct"/>
            <w:noWrap/>
            <w:vAlign w:val="center"/>
          </w:tcPr>
          <w:p w14:paraId="0B5AB6E4">
            <w:pPr>
              <w:pStyle w:val="44"/>
              <w:rPr>
                <w:color w:val="auto"/>
              </w:rPr>
            </w:pPr>
            <w:r>
              <w:rPr>
                <w:color w:val="auto"/>
              </w:rPr>
              <w:t>Bf8-1-1/05</w:t>
            </w:r>
          </w:p>
        </w:tc>
        <w:tc>
          <w:tcPr>
            <w:tcW w:w="1755" w:type="pct"/>
            <w:noWrap/>
            <w:vAlign w:val="center"/>
          </w:tcPr>
          <w:p w14:paraId="0CAC44EB">
            <w:pPr>
              <w:pStyle w:val="44"/>
              <w:rPr>
                <w:color w:val="auto"/>
              </w:rPr>
            </w:pPr>
            <w:r>
              <w:rPr>
                <w:color w:val="auto"/>
              </w:rPr>
              <w:t>比亚迪销售中心</w:t>
            </w:r>
          </w:p>
        </w:tc>
        <w:tc>
          <w:tcPr>
            <w:tcW w:w="1069" w:type="pct"/>
            <w:noWrap/>
            <w:vAlign w:val="center"/>
          </w:tcPr>
          <w:p w14:paraId="2ACF3D97">
            <w:pPr>
              <w:pStyle w:val="44"/>
              <w:rPr>
                <w:color w:val="auto"/>
              </w:rPr>
            </w:pPr>
            <w:r>
              <w:rPr>
                <w:color w:val="auto"/>
              </w:rPr>
              <w:t>1.06</w:t>
            </w:r>
          </w:p>
        </w:tc>
        <w:tc>
          <w:tcPr>
            <w:tcW w:w="897" w:type="pct"/>
            <w:noWrap/>
            <w:vAlign w:val="center"/>
          </w:tcPr>
          <w:p w14:paraId="10B93BA7">
            <w:pPr>
              <w:pStyle w:val="44"/>
              <w:rPr>
                <w:color w:val="auto"/>
              </w:rPr>
            </w:pPr>
            <w:r>
              <w:rPr>
                <w:color w:val="auto"/>
              </w:rPr>
              <w:t>2006年</w:t>
            </w:r>
          </w:p>
        </w:tc>
      </w:tr>
      <w:tr w14:paraId="30350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05307E6">
            <w:pPr>
              <w:pStyle w:val="44"/>
              <w:rPr>
                <w:color w:val="auto"/>
              </w:rPr>
            </w:pPr>
            <w:r>
              <w:rPr>
                <w:color w:val="auto"/>
              </w:rPr>
              <w:t>101</w:t>
            </w:r>
          </w:p>
        </w:tc>
        <w:tc>
          <w:tcPr>
            <w:tcW w:w="839" w:type="pct"/>
            <w:vMerge w:val="restart"/>
            <w:noWrap/>
            <w:vAlign w:val="center"/>
          </w:tcPr>
          <w:p w14:paraId="0FD91C87">
            <w:pPr>
              <w:pStyle w:val="44"/>
              <w:rPr>
                <w:color w:val="auto"/>
              </w:rPr>
            </w:pPr>
            <w:r>
              <w:rPr>
                <w:color w:val="auto"/>
              </w:rPr>
              <w:t>Bf8-3-1/06</w:t>
            </w:r>
          </w:p>
        </w:tc>
        <w:tc>
          <w:tcPr>
            <w:tcW w:w="1755" w:type="pct"/>
            <w:noWrap/>
            <w:vAlign w:val="center"/>
          </w:tcPr>
          <w:p w14:paraId="64FB6D2E">
            <w:pPr>
              <w:pStyle w:val="44"/>
              <w:rPr>
                <w:color w:val="auto"/>
              </w:rPr>
            </w:pPr>
            <w:r>
              <w:rPr>
                <w:color w:val="auto"/>
              </w:rPr>
              <w:t>中国石油</w:t>
            </w:r>
          </w:p>
        </w:tc>
        <w:tc>
          <w:tcPr>
            <w:tcW w:w="1069" w:type="pct"/>
            <w:vMerge w:val="restart"/>
            <w:noWrap/>
            <w:vAlign w:val="center"/>
          </w:tcPr>
          <w:p w14:paraId="2C0DBC27">
            <w:pPr>
              <w:pStyle w:val="44"/>
              <w:rPr>
                <w:color w:val="auto"/>
              </w:rPr>
            </w:pPr>
            <w:r>
              <w:rPr>
                <w:color w:val="auto"/>
              </w:rPr>
              <w:t>2.83</w:t>
            </w:r>
          </w:p>
        </w:tc>
        <w:tc>
          <w:tcPr>
            <w:tcW w:w="897" w:type="pct"/>
            <w:noWrap/>
            <w:vAlign w:val="center"/>
          </w:tcPr>
          <w:p w14:paraId="41D548D3">
            <w:pPr>
              <w:pStyle w:val="44"/>
              <w:rPr>
                <w:color w:val="auto"/>
              </w:rPr>
            </w:pPr>
            <w:r>
              <w:rPr>
                <w:color w:val="auto"/>
              </w:rPr>
              <w:t>2001年</w:t>
            </w:r>
          </w:p>
        </w:tc>
      </w:tr>
      <w:tr w14:paraId="576B2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3B1453C">
            <w:pPr>
              <w:pStyle w:val="44"/>
              <w:rPr>
                <w:color w:val="auto"/>
              </w:rPr>
            </w:pPr>
            <w:r>
              <w:rPr>
                <w:color w:val="auto"/>
              </w:rPr>
              <w:t>102</w:t>
            </w:r>
          </w:p>
        </w:tc>
        <w:tc>
          <w:tcPr>
            <w:tcW w:w="839" w:type="pct"/>
            <w:vMerge w:val="continue"/>
            <w:vAlign w:val="center"/>
          </w:tcPr>
          <w:p w14:paraId="51A95D82">
            <w:pPr>
              <w:pStyle w:val="44"/>
              <w:rPr>
                <w:color w:val="auto"/>
              </w:rPr>
            </w:pPr>
          </w:p>
        </w:tc>
        <w:tc>
          <w:tcPr>
            <w:tcW w:w="1755" w:type="pct"/>
            <w:noWrap/>
            <w:vAlign w:val="center"/>
          </w:tcPr>
          <w:p w14:paraId="4CC8C396">
            <w:pPr>
              <w:pStyle w:val="44"/>
              <w:rPr>
                <w:color w:val="auto"/>
              </w:rPr>
            </w:pPr>
            <w:r>
              <w:rPr>
                <w:color w:val="auto"/>
              </w:rPr>
              <w:t>友发钢管集团</w:t>
            </w:r>
          </w:p>
        </w:tc>
        <w:tc>
          <w:tcPr>
            <w:tcW w:w="1069" w:type="pct"/>
            <w:vMerge w:val="continue"/>
            <w:vAlign w:val="center"/>
          </w:tcPr>
          <w:p w14:paraId="0E0FFEC4">
            <w:pPr>
              <w:pStyle w:val="44"/>
              <w:rPr>
                <w:color w:val="auto"/>
              </w:rPr>
            </w:pPr>
          </w:p>
        </w:tc>
        <w:tc>
          <w:tcPr>
            <w:tcW w:w="897" w:type="pct"/>
            <w:noWrap/>
            <w:vAlign w:val="center"/>
          </w:tcPr>
          <w:p w14:paraId="7C8FED1A">
            <w:pPr>
              <w:pStyle w:val="44"/>
              <w:rPr>
                <w:color w:val="auto"/>
              </w:rPr>
            </w:pPr>
            <w:r>
              <w:rPr>
                <w:color w:val="auto"/>
              </w:rPr>
              <w:t>1999年</w:t>
            </w:r>
          </w:p>
        </w:tc>
      </w:tr>
      <w:tr w14:paraId="38B7B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793BBFB1">
            <w:pPr>
              <w:pStyle w:val="44"/>
              <w:rPr>
                <w:color w:val="auto"/>
              </w:rPr>
            </w:pPr>
            <w:r>
              <w:rPr>
                <w:color w:val="auto"/>
              </w:rPr>
              <w:t>103</w:t>
            </w:r>
          </w:p>
        </w:tc>
        <w:tc>
          <w:tcPr>
            <w:tcW w:w="839" w:type="pct"/>
            <w:noWrap/>
            <w:vAlign w:val="center"/>
          </w:tcPr>
          <w:p w14:paraId="2E4C24C5">
            <w:pPr>
              <w:pStyle w:val="44"/>
              <w:rPr>
                <w:color w:val="auto"/>
              </w:rPr>
            </w:pPr>
            <w:r>
              <w:rPr>
                <w:color w:val="auto"/>
              </w:rPr>
              <w:t>M6-4/04</w:t>
            </w:r>
          </w:p>
        </w:tc>
        <w:tc>
          <w:tcPr>
            <w:tcW w:w="1755" w:type="pct"/>
            <w:noWrap/>
            <w:vAlign w:val="center"/>
          </w:tcPr>
          <w:p w14:paraId="31B85599">
            <w:pPr>
              <w:pStyle w:val="44"/>
              <w:rPr>
                <w:color w:val="auto"/>
              </w:rPr>
            </w:pPr>
            <w:r>
              <w:rPr>
                <w:color w:val="auto"/>
              </w:rPr>
              <w:t>壳牌翼龙路加油站</w:t>
            </w:r>
          </w:p>
        </w:tc>
        <w:tc>
          <w:tcPr>
            <w:tcW w:w="1069" w:type="pct"/>
            <w:noWrap/>
            <w:vAlign w:val="center"/>
          </w:tcPr>
          <w:p w14:paraId="6A8C4AD5">
            <w:pPr>
              <w:pStyle w:val="44"/>
              <w:rPr>
                <w:color w:val="auto"/>
              </w:rPr>
            </w:pPr>
            <w:r>
              <w:rPr>
                <w:color w:val="auto"/>
              </w:rPr>
              <w:t>0.26</w:t>
            </w:r>
          </w:p>
        </w:tc>
        <w:tc>
          <w:tcPr>
            <w:tcW w:w="897" w:type="pct"/>
            <w:noWrap/>
            <w:vAlign w:val="center"/>
          </w:tcPr>
          <w:p w14:paraId="7472F97C">
            <w:pPr>
              <w:pStyle w:val="44"/>
              <w:rPr>
                <w:color w:val="auto"/>
              </w:rPr>
            </w:pPr>
            <w:r>
              <w:rPr>
                <w:color w:val="auto"/>
              </w:rPr>
              <w:t>2002年</w:t>
            </w:r>
          </w:p>
        </w:tc>
      </w:tr>
      <w:tr w14:paraId="07A20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708BCB5">
            <w:pPr>
              <w:pStyle w:val="44"/>
              <w:rPr>
                <w:color w:val="auto"/>
              </w:rPr>
            </w:pPr>
            <w:r>
              <w:rPr>
                <w:color w:val="auto"/>
              </w:rPr>
              <w:t>104</w:t>
            </w:r>
          </w:p>
        </w:tc>
        <w:tc>
          <w:tcPr>
            <w:tcW w:w="839" w:type="pct"/>
            <w:noWrap/>
            <w:vAlign w:val="center"/>
          </w:tcPr>
          <w:p w14:paraId="5AD47173">
            <w:pPr>
              <w:pStyle w:val="44"/>
              <w:rPr>
                <w:color w:val="auto"/>
              </w:rPr>
            </w:pPr>
            <w:r>
              <w:rPr>
                <w:color w:val="auto"/>
              </w:rPr>
              <w:t>M6-6/04</w:t>
            </w:r>
          </w:p>
        </w:tc>
        <w:tc>
          <w:tcPr>
            <w:tcW w:w="1755" w:type="pct"/>
            <w:noWrap/>
            <w:vAlign w:val="center"/>
          </w:tcPr>
          <w:p w14:paraId="15A1ABF1">
            <w:pPr>
              <w:pStyle w:val="44"/>
              <w:rPr>
                <w:color w:val="auto"/>
              </w:rPr>
            </w:pPr>
            <w:r>
              <w:rPr>
                <w:color w:val="auto"/>
              </w:rPr>
              <w:t>生态污水处理厂</w:t>
            </w:r>
          </w:p>
        </w:tc>
        <w:tc>
          <w:tcPr>
            <w:tcW w:w="1069" w:type="pct"/>
            <w:noWrap/>
            <w:vAlign w:val="center"/>
          </w:tcPr>
          <w:p w14:paraId="3582459C">
            <w:pPr>
              <w:pStyle w:val="44"/>
              <w:rPr>
                <w:color w:val="auto"/>
              </w:rPr>
            </w:pPr>
            <w:r>
              <w:rPr>
                <w:color w:val="auto"/>
              </w:rPr>
              <w:t>3.37</w:t>
            </w:r>
          </w:p>
        </w:tc>
        <w:tc>
          <w:tcPr>
            <w:tcW w:w="897" w:type="pct"/>
            <w:noWrap/>
            <w:vAlign w:val="center"/>
          </w:tcPr>
          <w:p w14:paraId="33D7E1CE">
            <w:pPr>
              <w:pStyle w:val="44"/>
              <w:rPr>
                <w:color w:val="auto"/>
              </w:rPr>
            </w:pPr>
            <w:r>
              <w:rPr>
                <w:color w:val="auto"/>
              </w:rPr>
              <w:t>1999年</w:t>
            </w:r>
          </w:p>
        </w:tc>
      </w:tr>
      <w:tr w14:paraId="7C25C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186456AB">
            <w:pPr>
              <w:pStyle w:val="44"/>
              <w:rPr>
                <w:color w:val="auto"/>
              </w:rPr>
            </w:pPr>
            <w:r>
              <w:rPr>
                <w:color w:val="auto"/>
              </w:rPr>
              <w:t>105</w:t>
            </w:r>
          </w:p>
        </w:tc>
        <w:tc>
          <w:tcPr>
            <w:tcW w:w="839" w:type="pct"/>
            <w:noWrap/>
            <w:vAlign w:val="center"/>
          </w:tcPr>
          <w:p w14:paraId="14D44567">
            <w:pPr>
              <w:pStyle w:val="44"/>
              <w:rPr>
                <w:color w:val="auto"/>
              </w:rPr>
            </w:pPr>
            <w:r>
              <w:rPr>
                <w:color w:val="auto"/>
              </w:rPr>
              <w:t>LB10-6/03</w:t>
            </w:r>
          </w:p>
        </w:tc>
        <w:tc>
          <w:tcPr>
            <w:tcW w:w="1755" w:type="pct"/>
            <w:noWrap/>
            <w:vAlign w:val="center"/>
          </w:tcPr>
          <w:p w14:paraId="49DA1884">
            <w:pPr>
              <w:pStyle w:val="44"/>
              <w:rPr>
                <w:color w:val="auto"/>
              </w:rPr>
            </w:pPr>
            <w:r>
              <w:rPr>
                <w:color w:val="auto"/>
              </w:rPr>
              <w:t>中石化加油站</w:t>
            </w:r>
          </w:p>
        </w:tc>
        <w:tc>
          <w:tcPr>
            <w:tcW w:w="1069" w:type="pct"/>
            <w:noWrap/>
            <w:vAlign w:val="center"/>
          </w:tcPr>
          <w:p w14:paraId="72887715">
            <w:pPr>
              <w:pStyle w:val="44"/>
              <w:rPr>
                <w:color w:val="auto"/>
              </w:rPr>
            </w:pPr>
            <w:r>
              <w:rPr>
                <w:color w:val="auto"/>
              </w:rPr>
              <w:t>0.22</w:t>
            </w:r>
          </w:p>
        </w:tc>
        <w:tc>
          <w:tcPr>
            <w:tcW w:w="897" w:type="pct"/>
            <w:noWrap/>
            <w:vAlign w:val="center"/>
          </w:tcPr>
          <w:p w14:paraId="041B31B0">
            <w:pPr>
              <w:pStyle w:val="44"/>
              <w:rPr>
                <w:color w:val="auto"/>
              </w:rPr>
            </w:pPr>
            <w:r>
              <w:rPr>
                <w:color w:val="auto"/>
              </w:rPr>
              <w:t>2001年</w:t>
            </w:r>
          </w:p>
        </w:tc>
      </w:tr>
      <w:tr w14:paraId="400D1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527DCE1">
            <w:pPr>
              <w:pStyle w:val="44"/>
              <w:rPr>
                <w:color w:val="auto"/>
              </w:rPr>
            </w:pPr>
            <w:r>
              <w:rPr>
                <w:color w:val="auto"/>
              </w:rPr>
              <w:t>106</w:t>
            </w:r>
          </w:p>
        </w:tc>
        <w:tc>
          <w:tcPr>
            <w:tcW w:w="839" w:type="pct"/>
            <w:noWrap/>
            <w:vAlign w:val="center"/>
          </w:tcPr>
          <w:p w14:paraId="5E2D585B">
            <w:pPr>
              <w:pStyle w:val="44"/>
              <w:rPr>
                <w:color w:val="auto"/>
              </w:rPr>
            </w:pPr>
            <w:r>
              <w:rPr>
                <w:color w:val="auto"/>
              </w:rPr>
              <w:t>Ae5-2/05</w:t>
            </w:r>
          </w:p>
        </w:tc>
        <w:tc>
          <w:tcPr>
            <w:tcW w:w="1755" w:type="pct"/>
            <w:noWrap/>
            <w:vAlign w:val="center"/>
          </w:tcPr>
          <w:p w14:paraId="0046C832">
            <w:pPr>
              <w:pStyle w:val="44"/>
              <w:rPr>
                <w:color w:val="auto"/>
              </w:rPr>
            </w:pPr>
            <w:r>
              <w:rPr>
                <w:color w:val="auto"/>
              </w:rPr>
              <w:t>建材库房用地</w:t>
            </w:r>
          </w:p>
        </w:tc>
        <w:tc>
          <w:tcPr>
            <w:tcW w:w="1069" w:type="pct"/>
            <w:noWrap/>
            <w:vAlign w:val="center"/>
          </w:tcPr>
          <w:p w14:paraId="76B4629E">
            <w:pPr>
              <w:pStyle w:val="44"/>
              <w:rPr>
                <w:color w:val="auto"/>
              </w:rPr>
            </w:pPr>
            <w:r>
              <w:rPr>
                <w:color w:val="auto"/>
              </w:rPr>
              <w:t>0.36</w:t>
            </w:r>
          </w:p>
        </w:tc>
        <w:tc>
          <w:tcPr>
            <w:tcW w:w="897" w:type="pct"/>
            <w:noWrap/>
            <w:vAlign w:val="center"/>
          </w:tcPr>
          <w:p w14:paraId="2D3516B2">
            <w:pPr>
              <w:pStyle w:val="44"/>
              <w:rPr>
                <w:color w:val="auto"/>
              </w:rPr>
            </w:pPr>
            <w:r>
              <w:rPr>
                <w:color w:val="auto"/>
              </w:rPr>
              <w:t>2000年</w:t>
            </w:r>
          </w:p>
        </w:tc>
      </w:tr>
      <w:tr w14:paraId="5B1E5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0913481A">
            <w:pPr>
              <w:pStyle w:val="44"/>
              <w:rPr>
                <w:color w:val="auto"/>
              </w:rPr>
            </w:pPr>
            <w:r>
              <w:rPr>
                <w:color w:val="auto"/>
              </w:rPr>
              <w:t>107</w:t>
            </w:r>
          </w:p>
        </w:tc>
        <w:tc>
          <w:tcPr>
            <w:tcW w:w="839" w:type="pct"/>
            <w:noWrap/>
            <w:vAlign w:val="center"/>
          </w:tcPr>
          <w:p w14:paraId="5FA56854">
            <w:pPr>
              <w:pStyle w:val="44"/>
              <w:rPr>
                <w:color w:val="auto"/>
              </w:rPr>
            </w:pPr>
            <w:r>
              <w:rPr>
                <w:color w:val="auto"/>
              </w:rPr>
              <w:t>Ae5-5/06</w:t>
            </w:r>
          </w:p>
        </w:tc>
        <w:tc>
          <w:tcPr>
            <w:tcW w:w="1755" w:type="pct"/>
            <w:noWrap/>
            <w:vAlign w:val="center"/>
          </w:tcPr>
          <w:p w14:paraId="4B0A8277">
            <w:pPr>
              <w:pStyle w:val="44"/>
              <w:rPr>
                <w:color w:val="auto"/>
              </w:rPr>
            </w:pPr>
            <w:r>
              <w:rPr>
                <w:color w:val="auto"/>
              </w:rPr>
              <w:t>中国石油</w:t>
            </w:r>
          </w:p>
        </w:tc>
        <w:tc>
          <w:tcPr>
            <w:tcW w:w="1069" w:type="pct"/>
            <w:noWrap/>
            <w:vAlign w:val="center"/>
          </w:tcPr>
          <w:p w14:paraId="038510BB">
            <w:pPr>
              <w:pStyle w:val="44"/>
              <w:rPr>
                <w:color w:val="auto"/>
              </w:rPr>
            </w:pPr>
            <w:r>
              <w:rPr>
                <w:color w:val="auto"/>
              </w:rPr>
              <w:t>0.29</w:t>
            </w:r>
          </w:p>
        </w:tc>
        <w:tc>
          <w:tcPr>
            <w:tcW w:w="897" w:type="pct"/>
            <w:noWrap/>
            <w:vAlign w:val="center"/>
          </w:tcPr>
          <w:p w14:paraId="0D71D258">
            <w:pPr>
              <w:pStyle w:val="44"/>
              <w:rPr>
                <w:color w:val="auto"/>
              </w:rPr>
            </w:pPr>
            <w:r>
              <w:rPr>
                <w:color w:val="auto"/>
              </w:rPr>
              <w:t>2001年</w:t>
            </w:r>
          </w:p>
        </w:tc>
      </w:tr>
      <w:tr w14:paraId="736DE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24EBD953">
            <w:pPr>
              <w:pStyle w:val="44"/>
              <w:rPr>
                <w:color w:val="auto"/>
              </w:rPr>
            </w:pPr>
            <w:r>
              <w:rPr>
                <w:color w:val="auto"/>
              </w:rPr>
              <w:t>108</w:t>
            </w:r>
          </w:p>
        </w:tc>
        <w:tc>
          <w:tcPr>
            <w:tcW w:w="839" w:type="pct"/>
            <w:noWrap/>
            <w:vAlign w:val="center"/>
          </w:tcPr>
          <w:p w14:paraId="033654EC">
            <w:pPr>
              <w:pStyle w:val="44"/>
              <w:rPr>
                <w:color w:val="auto"/>
              </w:rPr>
            </w:pPr>
            <w:r>
              <w:rPr>
                <w:color w:val="auto"/>
              </w:rPr>
              <w:t>NF1-3/07</w:t>
            </w:r>
          </w:p>
        </w:tc>
        <w:tc>
          <w:tcPr>
            <w:tcW w:w="1755" w:type="pct"/>
            <w:noWrap/>
            <w:vAlign w:val="center"/>
          </w:tcPr>
          <w:p w14:paraId="5483852C">
            <w:pPr>
              <w:pStyle w:val="44"/>
              <w:rPr>
                <w:color w:val="auto"/>
              </w:rPr>
            </w:pPr>
            <w:r>
              <w:rPr>
                <w:color w:val="auto"/>
              </w:rPr>
              <w:t>垃圾站</w:t>
            </w:r>
          </w:p>
        </w:tc>
        <w:tc>
          <w:tcPr>
            <w:tcW w:w="1069" w:type="pct"/>
            <w:noWrap/>
            <w:vAlign w:val="center"/>
          </w:tcPr>
          <w:p w14:paraId="510A3B96">
            <w:pPr>
              <w:pStyle w:val="44"/>
              <w:rPr>
                <w:color w:val="auto"/>
              </w:rPr>
            </w:pPr>
            <w:r>
              <w:rPr>
                <w:color w:val="auto"/>
              </w:rPr>
              <w:t>1.54</w:t>
            </w:r>
          </w:p>
        </w:tc>
        <w:tc>
          <w:tcPr>
            <w:tcW w:w="897" w:type="pct"/>
            <w:noWrap/>
            <w:vAlign w:val="center"/>
          </w:tcPr>
          <w:p w14:paraId="52F1B52D">
            <w:pPr>
              <w:pStyle w:val="44"/>
              <w:rPr>
                <w:color w:val="auto"/>
              </w:rPr>
            </w:pPr>
            <w:r>
              <w:rPr>
                <w:color w:val="auto"/>
              </w:rPr>
              <w:t>2000年</w:t>
            </w:r>
          </w:p>
        </w:tc>
      </w:tr>
      <w:tr w14:paraId="349A0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717271A">
            <w:pPr>
              <w:pStyle w:val="44"/>
              <w:rPr>
                <w:color w:val="auto"/>
              </w:rPr>
            </w:pPr>
            <w:r>
              <w:rPr>
                <w:color w:val="auto"/>
              </w:rPr>
              <w:t>109</w:t>
            </w:r>
          </w:p>
        </w:tc>
        <w:tc>
          <w:tcPr>
            <w:tcW w:w="839" w:type="pct"/>
            <w:noWrap/>
            <w:vAlign w:val="center"/>
          </w:tcPr>
          <w:p w14:paraId="3EBDE64F">
            <w:pPr>
              <w:pStyle w:val="44"/>
              <w:rPr>
                <w:color w:val="auto"/>
              </w:rPr>
            </w:pPr>
            <w:r>
              <w:rPr>
                <w:color w:val="auto"/>
              </w:rPr>
              <w:t>QF5-2/04</w:t>
            </w:r>
          </w:p>
        </w:tc>
        <w:tc>
          <w:tcPr>
            <w:tcW w:w="1755" w:type="pct"/>
            <w:noWrap/>
            <w:vAlign w:val="center"/>
          </w:tcPr>
          <w:p w14:paraId="595B8D1F">
            <w:pPr>
              <w:pStyle w:val="44"/>
              <w:rPr>
                <w:color w:val="auto"/>
              </w:rPr>
            </w:pPr>
            <w:r>
              <w:rPr>
                <w:color w:val="auto"/>
              </w:rPr>
              <w:t>砖堡变电站</w:t>
            </w:r>
          </w:p>
        </w:tc>
        <w:tc>
          <w:tcPr>
            <w:tcW w:w="1069" w:type="pct"/>
            <w:noWrap/>
            <w:vAlign w:val="center"/>
          </w:tcPr>
          <w:p w14:paraId="386CA6CB">
            <w:pPr>
              <w:pStyle w:val="44"/>
              <w:rPr>
                <w:color w:val="auto"/>
              </w:rPr>
            </w:pPr>
            <w:r>
              <w:rPr>
                <w:color w:val="auto"/>
              </w:rPr>
              <w:t>0.74</w:t>
            </w:r>
          </w:p>
        </w:tc>
        <w:tc>
          <w:tcPr>
            <w:tcW w:w="897" w:type="pct"/>
            <w:noWrap/>
            <w:vAlign w:val="center"/>
          </w:tcPr>
          <w:p w14:paraId="1ED82972">
            <w:pPr>
              <w:pStyle w:val="44"/>
              <w:rPr>
                <w:color w:val="auto"/>
              </w:rPr>
            </w:pPr>
            <w:r>
              <w:rPr>
                <w:color w:val="auto"/>
              </w:rPr>
              <w:t>1999年</w:t>
            </w:r>
          </w:p>
        </w:tc>
      </w:tr>
      <w:tr w14:paraId="4DC40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EE5E505">
            <w:pPr>
              <w:pStyle w:val="44"/>
              <w:rPr>
                <w:color w:val="auto"/>
              </w:rPr>
            </w:pPr>
            <w:r>
              <w:rPr>
                <w:color w:val="auto"/>
              </w:rPr>
              <w:t>110</w:t>
            </w:r>
          </w:p>
        </w:tc>
        <w:tc>
          <w:tcPr>
            <w:tcW w:w="839" w:type="pct"/>
            <w:noWrap/>
            <w:vAlign w:val="center"/>
          </w:tcPr>
          <w:p w14:paraId="6817B8C6">
            <w:pPr>
              <w:pStyle w:val="44"/>
              <w:rPr>
                <w:color w:val="auto"/>
              </w:rPr>
            </w:pPr>
            <w:r>
              <w:rPr>
                <w:color w:val="auto"/>
              </w:rPr>
              <w:t>QF6-4/03</w:t>
            </w:r>
          </w:p>
        </w:tc>
        <w:tc>
          <w:tcPr>
            <w:tcW w:w="1755" w:type="pct"/>
            <w:noWrap/>
            <w:vAlign w:val="center"/>
          </w:tcPr>
          <w:p w14:paraId="28E1F89D">
            <w:pPr>
              <w:pStyle w:val="44"/>
              <w:rPr>
                <w:color w:val="auto"/>
              </w:rPr>
            </w:pPr>
            <w:r>
              <w:rPr>
                <w:color w:val="auto"/>
              </w:rPr>
              <w:t>中国石油</w:t>
            </w:r>
          </w:p>
        </w:tc>
        <w:tc>
          <w:tcPr>
            <w:tcW w:w="1069" w:type="pct"/>
            <w:noWrap/>
            <w:vAlign w:val="center"/>
          </w:tcPr>
          <w:p w14:paraId="62C33994">
            <w:pPr>
              <w:pStyle w:val="44"/>
              <w:rPr>
                <w:color w:val="auto"/>
              </w:rPr>
            </w:pPr>
            <w:r>
              <w:rPr>
                <w:color w:val="auto"/>
              </w:rPr>
              <w:t>0.3</w:t>
            </w:r>
          </w:p>
        </w:tc>
        <w:tc>
          <w:tcPr>
            <w:tcW w:w="897" w:type="pct"/>
            <w:noWrap/>
            <w:vAlign w:val="center"/>
          </w:tcPr>
          <w:p w14:paraId="3575C9A3">
            <w:pPr>
              <w:pStyle w:val="44"/>
              <w:rPr>
                <w:color w:val="auto"/>
              </w:rPr>
            </w:pPr>
            <w:r>
              <w:rPr>
                <w:color w:val="auto"/>
              </w:rPr>
              <w:t>2001年</w:t>
            </w:r>
          </w:p>
        </w:tc>
      </w:tr>
      <w:tr w14:paraId="65998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6F8A9665">
            <w:pPr>
              <w:pStyle w:val="44"/>
              <w:rPr>
                <w:color w:val="auto"/>
              </w:rPr>
            </w:pPr>
            <w:r>
              <w:rPr>
                <w:color w:val="auto"/>
              </w:rPr>
              <w:t>111</w:t>
            </w:r>
          </w:p>
        </w:tc>
        <w:tc>
          <w:tcPr>
            <w:tcW w:w="839" w:type="pct"/>
            <w:noWrap/>
            <w:vAlign w:val="center"/>
          </w:tcPr>
          <w:p w14:paraId="233C07B7">
            <w:pPr>
              <w:pStyle w:val="44"/>
              <w:rPr>
                <w:color w:val="auto"/>
              </w:rPr>
            </w:pPr>
            <w:r>
              <w:rPr>
                <w:color w:val="auto"/>
              </w:rPr>
              <w:t>QF6-5-2/04</w:t>
            </w:r>
          </w:p>
        </w:tc>
        <w:tc>
          <w:tcPr>
            <w:tcW w:w="1755" w:type="pct"/>
            <w:noWrap/>
            <w:vAlign w:val="center"/>
          </w:tcPr>
          <w:p w14:paraId="114261F7">
            <w:pPr>
              <w:pStyle w:val="44"/>
              <w:rPr>
                <w:color w:val="auto"/>
              </w:rPr>
            </w:pPr>
            <w:r>
              <w:rPr>
                <w:color w:val="auto"/>
              </w:rPr>
              <w:t>国网水碾220KV变电站</w:t>
            </w:r>
          </w:p>
        </w:tc>
        <w:tc>
          <w:tcPr>
            <w:tcW w:w="1069" w:type="pct"/>
            <w:noWrap/>
            <w:vAlign w:val="center"/>
          </w:tcPr>
          <w:p w14:paraId="075F3C30">
            <w:pPr>
              <w:pStyle w:val="44"/>
              <w:rPr>
                <w:color w:val="auto"/>
              </w:rPr>
            </w:pPr>
            <w:r>
              <w:rPr>
                <w:color w:val="auto"/>
              </w:rPr>
              <w:t>0.56</w:t>
            </w:r>
          </w:p>
        </w:tc>
        <w:tc>
          <w:tcPr>
            <w:tcW w:w="897" w:type="pct"/>
            <w:noWrap/>
            <w:vAlign w:val="center"/>
          </w:tcPr>
          <w:p w14:paraId="2522F2CC">
            <w:pPr>
              <w:pStyle w:val="44"/>
              <w:rPr>
                <w:color w:val="auto"/>
              </w:rPr>
            </w:pPr>
            <w:r>
              <w:rPr>
                <w:color w:val="auto"/>
              </w:rPr>
              <w:t>1999年</w:t>
            </w:r>
          </w:p>
        </w:tc>
      </w:tr>
      <w:tr w14:paraId="5F2EB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440" w:type="pct"/>
            <w:noWrap/>
            <w:vAlign w:val="center"/>
          </w:tcPr>
          <w:p w14:paraId="3E694B84">
            <w:pPr>
              <w:pStyle w:val="44"/>
              <w:rPr>
                <w:color w:val="auto"/>
              </w:rPr>
            </w:pPr>
            <w:r>
              <w:rPr>
                <w:color w:val="auto"/>
              </w:rPr>
              <w:t>合计</w:t>
            </w:r>
          </w:p>
        </w:tc>
        <w:tc>
          <w:tcPr>
            <w:tcW w:w="839" w:type="pct"/>
            <w:noWrap/>
            <w:vAlign w:val="center"/>
          </w:tcPr>
          <w:p w14:paraId="3A742CC5">
            <w:pPr>
              <w:pStyle w:val="44"/>
              <w:rPr>
                <w:color w:val="auto"/>
              </w:rPr>
            </w:pPr>
            <w:r>
              <w:rPr>
                <w:color w:val="auto"/>
              </w:rPr>
              <w:t>98个地块</w:t>
            </w:r>
          </w:p>
        </w:tc>
        <w:tc>
          <w:tcPr>
            <w:tcW w:w="1755" w:type="pct"/>
            <w:noWrap/>
            <w:vAlign w:val="center"/>
          </w:tcPr>
          <w:p w14:paraId="468D6A20">
            <w:pPr>
              <w:pStyle w:val="44"/>
              <w:rPr>
                <w:color w:val="auto"/>
              </w:rPr>
            </w:pPr>
            <w:r>
              <w:rPr>
                <w:color w:val="auto"/>
              </w:rPr>
              <w:t>111个企业</w:t>
            </w:r>
          </w:p>
        </w:tc>
        <w:tc>
          <w:tcPr>
            <w:tcW w:w="1069" w:type="pct"/>
            <w:noWrap/>
            <w:vAlign w:val="center"/>
          </w:tcPr>
          <w:p w14:paraId="030198E7">
            <w:pPr>
              <w:pStyle w:val="44"/>
              <w:rPr>
                <w:color w:val="auto"/>
              </w:rPr>
            </w:pPr>
            <w:r>
              <w:rPr>
                <w:color w:val="auto"/>
              </w:rPr>
              <w:t>228.47</w:t>
            </w:r>
          </w:p>
        </w:tc>
        <w:tc>
          <w:tcPr>
            <w:tcW w:w="897" w:type="pct"/>
            <w:noWrap/>
            <w:vAlign w:val="center"/>
          </w:tcPr>
          <w:p w14:paraId="484B8A09">
            <w:pPr>
              <w:pStyle w:val="44"/>
              <w:rPr>
                <w:color w:val="auto"/>
              </w:rPr>
            </w:pPr>
            <w:r>
              <w:rPr>
                <w:color w:val="auto"/>
              </w:rPr>
              <w:t>　</w:t>
            </w:r>
          </w:p>
        </w:tc>
      </w:tr>
    </w:tbl>
    <w:p w14:paraId="3E4BB405">
      <w:pPr>
        <w:pStyle w:val="5"/>
        <w:numPr>
          <w:ilvl w:val="0"/>
          <w:numId w:val="0"/>
        </w:numPr>
        <w:spacing w:before="166" w:after="166"/>
        <w:rPr>
          <w:color w:val="auto"/>
        </w:rPr>
      </w:pPr>
      <w:r>
        <w:rPr>
          <w:color w:val="auto"/>
        </w:rPr>
        <w:t>2.3.2 九龙工业园区B区</w:t>
      </w:r>
    </w:p>
    <w:p w14:paraId="6C969791">
      <w:pPr>
        <w:ind w:firstLine="482"/>
        <w:rPr>
          <w:b/>
          <w:bCs/>
          <w:color w:val="auto"/>
        </w:rPr>
      </w:pPr>
      <w:r>
        <w:rPr>
          <w:b/>
          <w:bCs/>
          <w:color w:val="auto"/>
        </w:rPr>
        <w:t>（1）地块开发现状</w:t>
      </w:r>
    </w:p>
    <w:p w14:paraId="00017C8D">
      <w:pPr>
        <w:topLinePunct/>
        <w:ind w:firstLine="480"/>
        <w:rPr>
          <w:color w:val="auto"/>
          <w:szCs w:val="28"/>
        </w:rPr>
      </w:pPr>
      <w:r>
        <w:rPr>
          <w:color w:val="auto"/>
          <w:szCs w:val="28"/>
        </w:rPr>
        <w:t>九龙工业园区（B区）于2002年正式开工建设，截止2021年1月底，园区内各地块陆续进行场平开发利用，中梁山组团规划区域基本在2002年开工建设，2010年完工，大渡口组团于2020年完工，中梁山组团IKL标准分区及大渡口组团KO标准分区包括三个地块，壹本科工城所属地块于2013年开工，2022年完工，美每家所属地块于2007年开工建设，2012年完工建设。</w:t>
      </w:r>
    </w:p>
    <w:p w14:paraId="57E999F6">
      <w:pPr>
        <w:topLinePunct/>
        <w:ind w:firstLine="480"/>
        <w:rPr>
          <w:color w:val="auto"/>
          <w:szCs w:val="28"/>
        </w:rPr>
      </w:pPr>
      <w:r>
        <w:rPr>
          <w:color w:val="auto"/>
        </w:rPr>
        <w:t>现状总体开发利用较高，整个</w:t>
      </w:r>
      <w:r>
        <w:rPr>
          <w:color w:val="auto"/>
          <w:szCs w:val="28"/>
        </w:rPr>
        <w:t>园区场平率93.65%，地块开发率88.03%，包括规划功能区、道路管网区和防护绿地区，具体开发利用如下：目前园区已建项目涉及地块155个（含部分已建地块1个），建设面积413.62hm</w:t>
      </w:r>
      <w:r>
        <w:rPr>
          <w:color w:val="auto"/>
          <w:szCs w:val="28"/>
          <w:vertAlign w:val="superscript"/>
        </w:rPr>
        <w:t>2</w:t>
      </w:r>
      <w:r>
        <w:rPr>
          <w:color w:val="auto"/>
          <w:szCs w:val="28"/>
        </w:rPr>
        <w:t>，在建项目涉及地块16个，建设面积</w:t>
      </w:r>
      <w:r>
        <w:rPr>
          <w:color w:val="auto"/>
        </w:rPr>
        <w:t>51.00hm</w:t>
      </w:r>
      <w:r>
        <w:rPr>
          <w:color w:val="auto"/>
          <w:vertAlign w:val="superscript"/>
        </w:rPr>
        <w:t>2</w:t>
      </w:r>
      <w:r>
        <w:rPr>
          <w:color w:val="auto"/>
          <w:szCs w:val="28"/>
        </w:rPr>
        <w:t>，已场平项目涉及地块20个（含部分场平待建1个），建设面积</w:t>
      </w:r>
      <w:r>
        <w:rPr>
          <w:color w:val="auto"/>
        </w:rPr>
        <w:t>30.32hm</w:t>
      </w:r>
      <w:r>
        <w:rPr>
          <w:color w:val="auto"/>
          <w:vertAlign w:val="superscript"/>
        </w:rPr>
        <w:t>2</w:t>
      </w:r>
      <w:r>
        <w:rPr>
          <w:color w:val="auto"/>
          <w:szCs w:val="28"/>
        </w:rPr>
        <w:t>，未开发待建项目涉及地块13个，建设面积33.52 hm</w:t>
      </w:r>
      <w:r>
        <w:rPr>
          <w:color w:val="auto"/>
          <w:szCs w:val="28"/>
          <w:vertAlign w:val="superscript"/>
        </w:rPr>
        <w:t>2</w:t>
      </w:r>
      <w:r>
        <w:rPr>
          <w:color w:val="auto"/>
          <w:szCs w:val="28"/>
        </w:rPr>
        <w:t>；园区规划建设道路226.89hm</w:t>
      </w:r>
      <w:r>
        <w:rPr>
          <w:color w:val="auto"/>
          <w:szCs w:val="28"/>
          <w:vertAlign w:val="superscript"/>
        </w:rPr>
        <w:t>2</w:t>
      </w:r>
      <w:r>
        <w:rPr>
          <w:color w:val="auto"/>
          <w:szCs w:val="28"/>
        </w:rPr>
        <w:t>/79条，其中已建道路总长56341m /76条（含部分建成2条），建设面积219.72hm</w:t>
      </w:r>
      <w:r>
        <w:rPr>
          <w:color w:val="auto"/>
          <w:szCs w:val="28"/>
          <w:vertAlign w:val="superscript"/>
        </w:rPr>
        <w:t>2</w:t>
      </w:r>
      <w:r>
        <w:rPr>
          <w:color w:val="auto"/>
          <w:szCs w:val="28"/>
        </w:rPr>
        <w:t>，未建2385m/5条（含部分建成2条），规划建设面积7.17hm</w:t>
      </w:r>
      <w:r>
        <w:rPr>
          <w:color w:val="auto"/>
          <w:szCs w:val="28"/>
          <w:vertAlign w:val="superscript"/>
        </w:rPr>
        <w:t>2</w:t>
      </w:r>
      <w:r>
        <w:rPr>
          <w:color w:val="auto"/>
          <w:szCs w:val="28"/>
        </w:rPr>
        <w:t>。</w:t>
      </w:r>
    </w:p>
    <w:p w14:paraId="0850EA7E">
      <w:pPr>
        <w:topLinePunct/>
        <w:ind w:firstLine="480"/>
        <w:rPr>
          <w:color w:val="auto"/>
          <w:szCs w:val="28"/>
        </w:rPr>
      </w:pPr>
      <w:r>
        <w:rPr>
          <w:color w:val="auto"/>
          <w:szCs w:val="28"/>
        </w:rPr>
        <w:t>具体各区域地块开发现状详见表2.3-3。</w:t>
      </w:r>
    </w:p>
    <w:p w14:paraId="503389F1">
      <w:pPr>
        <w:topLinePunct/>
        <w:ind w:firstLine="0" w:firstLineChars="0"/>
        <w:jc w:val="left"/>
        <w:rPr>
          <w:b/>
          <w:bCs/>
          <w:color w:val="auto"/>
          <w:kern w:val="0"/>
          <w:vertAlign w:val="superscript"/>
          <w:lang w:bidi="en-US"/>
        </w:rPr>
      </w:pPr>
      <w:r>
        <w:rPr>
          <w:b/>
          <w:bCs/>
          <w:color w:val="auto"/>
          <w:kern w:val="0"/>
          <w:lang w:bidi="en-US"/>
        </w:rPr>
        <w:t>表2.3-3          九龙工业园区（B区）域地块开发现状           单位：hm</w:t>
      </w:r>
      <w:r>
        <w:rPr>
          <w:b/>
          <w:bCs/>
          <w:color w:val="auto"/>
          <w:kern w:val="0"/>
          <w:vertAlign w:val="superscript"/>
          <w:lang w:bidi="en-US"/>
        </w:rPr>
        <w:t>2</w:t>
      </w:r>
    </w:p>
    <w:tbl>
      <w:tblPr>
        <w:tblStyle w:val="21"/>
        <w:tblW w:w="5000" w:type="pct"/>
        <w:tblInd w:w="0" w:type="dxa"/>
        <w:tblLayout w:type="autofit"/>
        <w:tblCellMar>
          <w:top w:w="0" w:type="dxa"/>
          <w:left w:w="108" w:type="dxa"/>
          <w:bottom w:w="0" w:type="dxa"/>
          <w:right w:w="108" w:type="dxa"/>
        </w:tblCellMar>
      </w:tblPr>
      <w:tblGrid>
        <w:gridCol w:w="1443"/>
        <w:gridCol w:w="1164"/>
        <w:gridCol w:w="1302"/>
        <w:gridCol w:w="1302"/>
        <w:gridCol w:w="1302"/>
        <w:gridCol w:w="1302"/>
        <w:gridCol w:w="1302"/>
      </w:tblGrid>
      <w:tr w14:paraId="6BB7720C">
        <w:tblPrEx>
          <w:tblCellMar>
            <w:top w:w="0" w:type="dxa"/>
            <w:left w:w="108" w:type="dxa"/>
            <w:bottom w:w="0" w:type="dxa"/>
            <w:right w:w="108" w:type="dxa"/>
          </w:tblCellMar>
        </w:tblPrEx>
        <w:trPr>
          <w:trHeight w:val="330" w:hRule="atLeast"/>
        </w:trPr>
        <w:tc>
          <w:tcPr>
            <w:tcW w:w="1429" w:type="pct"/>
            <w:gridSpan w:val="2"/>
            <w:tcBorders>
              <w:top w:val="single" w:color="auto" w:sz="12" w:space="0"/>
              <w:left w:val="single" w:color="auto" w:sz="12" w:space="0"/>
              <w:bottom w:val="single" w:color="auto" w:sz="4" w:space="0"/>
              <w:right w:val="single" w:color="auto" w:sz="4" w:space="0"/>
            </w:tcBorders>
            <w:noWrap/>
            <w:vAlign w:val="center"/>
          </w:tcPr>
          <w:p w14:paraId="2912C015">
            <w:pPr>
              <w:pStyle w:val="44"/>
              <w:rPr>
                <w:color w:val="auto"/>
              </w:rPr>
            </w:pPr>
            <w:r>
              <w:rPr>
                <w:color w:val="auto"/>
              </w:rPr>
              <w:t>类型</w:t>
            </w:r>
          </w:p>
        </w:tc>
        <w:tc>
          <w:tcPr>
            <w:tcW w:w="714" w:type="pct"/>
            <w:tcBorders>
              <w:top w:val="single" w:color="auto" w:sz="12" w:space="0"/>
              <w:left w:val="nil"/>
              <w:bottom w:val="single" w:color="auto" w:sz="4" w:space="0"/>
              <w:right w:val="single" w:color="auto" w:sz="4" w:space="0"/>
            </w:tcBorders>
            <w:noWrap/>
            <w:vAlign w:val="center"/>
          </w:tcPr>
          <w:p w14:paraId="2A3BD947">
            <w:pPr>
              <w:pStyle w:val="44"/>
              <w:rPr>
                <w:color w:val="auto"/>
              </w:rPr>
            </w:pPr>
            <w:r>
              <w:rPr>
                <w:color w:val="auto"/>
              </w:rPr>
              <w:t>已建</w:t>
            </w:r>
          </w:p>
        </w:tc>
        <w:tc>
          <w:tcPr>
            <w:tcW w:w="714" w:type="pct"/>
            <w:tcBorders>
              <w:top w:val="single" w:color="auto" w:sz="12" w:space="0"/>
              <w:left w:val="nil"/>
              <w:bottom w:val="single" w:color="auto" w:sz="4" w:space="0"/>
              <w:right w:val="single" w:color="auto" w:sz="4" w:space="0"/>
            </w:tcBorders>
            <w:noWrap/>
            <w:vAlign w:val="center"/>
          </w:tcPr>
          <w:p w14:paraId="72FBEEBB">
            <w:pPr>
              <w:pStyle w:val="44"/>
              <w:rPr>
                <w:color w:val="auto"/>
              </w:rPr>
            </w:pPr>
            <w:r>
              <w:rPr>
                <w:color w:val="auto"/>
              </w:rPr>
              <w:t>在建</w:t>
            </w:r>
          </w:p>
        </w:tc>
        <w:tc>
          <w:tcPr>
            <w:tcW w:w="714" w:type="pct"/>
            <w:tcBorders>
              <w:top w:val="single" w:color="auto" w:sz="12" w:space="0"/>
              <w:left w:val="nil"/>
              <w:bottom w:val="single" w:color="auto" w:sz="4" w:space="0"/>
              <w:right w:val="single" w:color="auto" w:sz="4" w:space="0"/>
            </w:tcBorders>
            <w:noWrap/>
            <w:vAlign w:val="center"/>
          </w:tcPr>
          <w:p w14:paraId="376F1ADB">
            <w:pPr>
              <w:pStyle w:val="44"/>
              <w:rPr>
                <w:color w:val="auto"/>
              </w:rPr>
            </w:pPr>
            <w:r>
              <w:rPr>
                <w:color w:val="auto"/>
              </w:rPr>
              <w:t>已场平</w:t>
            </w:r>
          </w:p>
        </w:tc>
        <w:tc>
          <w:tcPr>
            <w:tcW w:w="714" w:type="pct"/>
            <w:tcBorders>
              <w:top w:val="single" w:color="auto" w:sz="12" w:space="0"/>
              <w:left w:val="nil"/>
              <w:bottom w:val="single" w:color="auto" w:sz="4" w:space="0"/>
              <w:right w:val="single" w:color="auto" w:sz="4" w:space="0"/>
            </w:tcBorders>
            <w:noWrap/>
            <w:vAlign w:val="center"/>
          </w:tcPr>
          <w:p w14:paraId="5D8CDAA3">
            <w:pPr>
              <w:pStyle w:val="44"/>
              <w:rPr>
                <w:color w:val="auto"/>
              </w:rPr>
            </w:pPr>
            <w:r>
              <w:rPr>
                <w:color w:val="auto"/>
              </w:rPr>
              <w:t>未建</w:t>
            </w:r>
          </w:p>
        </w:tc>
        <w:tc>
          <w:tcPr>
            <w:tcW w:w="714" w:type="pct"/>
            <w:tcBorders>
              <w:top w:val="single" w:color="auto" w:sz="12" w:space="0"/>
              <w:left w:val="nil"/>
              <w:bottom w:val="single" w:color="auto" w:sz="4" w:space="0"/>
              <w:right w:val="single" w:color="auto" w:sz="12" w:space="0"/>
            </w:tcBorders>
            <w:noWrap/>
            <w:vAlign w:val="center"/>
          </w:tcPr>
          <w:p w14:paraId="27560899">
            <w:pPr>
              <w:pStyle w:val="44"/>
              <w:rPr>
                <w:color w:val="auto"/>
              </w:rPr>
            </w:pPr>
            <w:r>
              <w:rPr>
                <w:color w:val="auto"/>
              </w:rPr>
              <w:t>合计</w:t>
            </w:r>
          </w:p>
        </w:tc>
      </w:tr>
      <w:tr w14:paraId="5E3B6336">
        <w:tblPrEx>
          <w:tblCellMar>
            <w:top w:w="0" w:type="dxa"/>
            <w:left w:w="108" w:type="dxa"/>
            <w:bottom w:w="0" w:type="dxa"/>
            <w:right w:w="108" w:type="dxa"/>
          </w:tblCellMar>
        </w:tblPrEx>
        <w:trPr>
          <w:trHeight w:val="300" w:hRule="atLeast"/>
        </w:trPr>
        <w:tc>
          <w:tcPr>
            <w:tcW w:w="1429" w:type="pct"/>
            <w:gridSpan w:val="2"/>
            <w:tcBorders>
              <w:top w:val="single" w:color="auto" w:sz="4" w:space="0"/>
              <w:left w:val="single" w:color="auto" w:sz="12" w:space="0"/>
              <w:bottom w:val="single" w:color="auto" w:sz="4" w:space="0"/>
              <w:right w:val="single" w:color="auto" w:sz="4" w:space="0"/>
            </w:tcBorders>
            <w:noWrap/>
            <w:vAlign w:val="center"/>
          </w:tcPr>
          <w:p w14:paraId="50AE8ABF">
            <w:pPr>
              <w:pStyle w:val="44"/>
              <w:rPr>
                <w:color w:val="auto"/>
              </w:rPr>
            </w:pPr>
            <w:r>
              <w:rPr>
                <w:color w:val="auto"/>
              </w:rPr>
              <w:t>规划功能区</w:t>
            </w:r>
          </w:p>
        </w:tc>
        <w:tc>
          <w:tcPr>
            <w:tcW w:w="714" w:type="pct"/>
            <w:tcBorders>
              <w:top w:val="nil"/>
              <w:left w:val="nil"/>
              <w:bottom w:val="single" w:color="auto" w:sz="4" w:space="0"/>
              <w:right w:val="single" w:color="auto" w:sz="4" w:space="0"/>
            </w:tcBorders>
            <w:noWrap/>
            <w:vAlign w:val="center"/>
          </w:tcPr>
          <w:p w14:paraId="6E421235">
            <w:pPr>
              <w:pStyle w:val="44"/>
              <w:rPr>
                <w:color w:val="auto"/>
              </w:rPr>
            </w:pPr>
            <w:r>
              <w:rPr>
                <w:color w:val="auto"/>
              </w:rPr>
              <w:t xml:space="preserve">413.62 </w:t>
            </w:r>
          </w:p>
        </w:tc>
        <w:tc>
          <w:tcPr>
            <w:tcW w:w="714" w:type="pct"/>
            <w:tcBorders>
              <w:top w:val="nil"/>
              <w:left w:val="nil"/>
              <w:bottom w:val="single" w:color="auto" w:sz="4" w:space="0"/>
              <w:right w:val="single" w:color="auto" w:sz="4" w:space="0"/>
            </w:tcBorders>
            <w:noWrap/>
            <w:vAlign w:val="center"/>
          </w:tcPr>
          <w:p w14:paraId="2AB4581B">
            <w:pPr>
              <w:pStyle w:val="44"/>
              <w:rPr>
                <w:color w:val="auto"/>
              </w:rPr>
            </w:pPr>
            <w:r>
              <w:rPr>
                <w:color w:val="auto"/>
              </w:rPr>
              <w:t xml:space="preserve">51.00 </w:t>
            </w:r>
          </w:p>
        </w:tc>
        <w:tc>
          <w:tcPr>
            <w:tcW w:w="714" w:type="pct"/>
            <w:tcBorders>
              <w:top w:val="nil"/>
              <w:left w:val="nil"/>
              <w:bottom w:val="single" w:color="auto" w:sz="4" w:space="0"/>
              <w:right w:val="single" w:color="auto" w:sz="4" w:space="0"/>
            </w:tcBorders>
            <w:noWrap/>
            <w:vAlign w:val="center"/>
          </w:tcPr>
          <w:p w14:paraId="1EF3C2D3">
            <w:pPr>
              <w:pStyle w:val="44"/>
              <w:rPr>
                <w:color w:val="auto"/>
              </w:rPr>
            </w:pPr>
            <w:r>
              <w:rPr>
                <w:color w:val="auto"/>
              </w:rPr>
              <w:t xml:space="preserve">29.67 </w:t>
            </w:r>
          </w:p>
        </w:tc>
        <w:tc>
          <w:tcPr>
            <w:tcW w:w="714" w:type="pct"/>
            <w:tcBorders>
              <w:top w:val="nil"/>
              <w:left w:val="nil"/>
              <w:bottom w:val="single" w:color="auto" w:sz="4" w:space="0"/>
              <w:right w:val="single" w:color="auto" w:sz="4" w:space="0"/>
            </w:tcBorders>
            <w:noWrap/>
            <w:vAlign w:val="center"/>
          </w:tcPr>
          <w:p w14:paraId="07E2046B">
            <w:pPr>
              <w:pStyle w:val="44"/>
              <w:rPr>
                <w:color w:val="auto"/>
              </w:rPr>
            </w:pPr>
            <w:r>
              <w:rPr>
                <w:color w:val="auto"/>
              </w:rPr>
              <w:t xml:space="preserve">33.52 </w:t>
            </w:r>
          </w:p>
        </w:tc>
        <w:tc>
          <w:tcPr>
            <w:tcW w:w="714" w:type="pct"/>
            <w:tcBorders>
              <w:top w:val="nil"/>
              <w:left w:val="nil"/>
              <w:bottom w:val="single" w:color="auto" w:sz="4" w:space="0"/>
              <w:right w:val="single" w:color="auto" w:sz="12" w:space="0"/>
            </w:tcBorders>
            <w:noWrap/>
            <w:vAlign w:val="center"/>
          </w:tcPr>
          <w:p w14:paraId="00A418ED">
            <w:pPr>
              <w:pStyle w:val="44"/>
              <w:rPr>
                <w:color w:val="auto"/>
              </w:rPr>
            </w:pPr>
            <w:r>
              <w:rPr>
                <w:color w:val="auto"/>
              </w:rPr>
              <w:t xml:space="preserve">527.81 </w:t>
            </w:r>
          </w:p>
        </w:tc>
      </w:tr>
      <w:tr w14:paraId="652790DE">
        <w:tblPrEx>
          <w:tblCellMar>
            <w:top w:w="0" w:type="dxa"/>
            <w:left w:w="108" w:type="dxa"/>
            <w:bottom w:w="0" w:type="dxa"/>
            <w:right w:w="108" w:type="dxa"/>
          </w:tblCellMar>
        </w:tblPrEx>
        <w:trPr>
          <w:trHeight w:val="315" w:hRule="atLeast"/>
        </w:trPr>
        <w:tc>
          <w:tcPr>
            <w:tcW w:w="791" w:type="pct"/>
            <w:vMerge w:val="restart"/>
            <w:tcBorders>
              <w:top w:val="nil"/>
              <w:left w:val="single" w:color="auto" w:sz="12" w:space="0"/>
              <w:bottom w:val="single" w:color="auto" w:sz="4" w:space="0"/>
              <w:right w:val="single" w:color="auto" w:sz="4" w:space="0"/>
            </w:tcBorders>
            <w:noWrap/>
            <w:vAlign w:val="center"/>
          </w:tcPr>
          <w:p w14:paraId="4A7554F2">
            <w:pPr>
              <w:pStyle w:val="44"/>
              <w:rPr>
                <w:color w:val="auto"/>
              </w:rPr>
            </w:pPr>
            <w:r>
              <w:rPr>
                <w:color w:val="auto"/>
              </w:rPr>
              <w:t>公共设施</w:t>
            </w:r>
          </w:p>
        </w:tc>
        <w:tc>
          <w:tcPr>
            <w:tcW w:w="638" w:type="pct"/>
            <w:tcBorders>
              <w:top w:val="nil"/>
              <w:left w:val="nil"/>
              <w:bottom w:val="single" w:color="auto" w:sz="4" w:space="0"/>
              <w:right w:val="single" w:color="auto" w:sz="4" w:space="0"/>
            </w:tcBorders>
            <w:noWrap/>
            <w:vAlign w:val="center"/>
          </w:tcPr>
          <w:p w14:paraId="0BE72ABD">
            <w:pPr>
              <w:pStyle w:val="44"/>
              <w:rPr>
                <w:color w:val="auto"/>
              </w:rPr>
            </w:pPr>
            <w:r>
              <w:rPr>
                <w:color w:val="auto"/>
              </w:rPr>
              <w:t>道路工程</w:t>
            </w:r>
          </w:p>
        </w:tc>
        <w:tc>
          <w:tcPr>
            <w:tcW w:w="714" w:type="pct"/>
            <w:tcBorders>
              <w:top w:val="nil"/>
              <w:left w:val="nil"/>
              <w:bottom w:val="single" w:color="auto" w:sz="4" w:space="0"/>
              <w:right w:val="single" w:color="auto" w:sz="4" w:space="0"/>
            </w:tcBorders>
            <w:noWrap/>
            <w:vAlign w:val="center"/>
          </w:tcPr>
          <w:p w14:paraId="0618D800">
            <w:pPr>
              <w:pStyle w:val="44"/>
              <w:rPr>
                <w:color w:val="auto"/>
              </w:rPr>
            </w:pPr>
            <w:r>
              <w:rPr>
                <w:color w:val="auto"/>
              </w:rPr>
              <w:t xml:space="preserve">232.13 </w:t>
            </w:r>
          </w:p>
        </w:tc>
        <w:tc>
          <w:tcPr>
            <w:tcW w:w="714" w:type="pct"/>
            <w:tcBorders>
              <w:top w:val="nil"/>
              <w:left w:val="nil"/>
              <w:bottom w:val="single" w:color="auto" w:sz="4" w:space="0"/>
              <w:right w:val="single" w:color="auto" w:sz="4" w:space="0"/>
            </w:tcBorders>
            <w:noWrap/>
            <w:vAlign w:val="center"/>
          </w:tcPr>
          <w:p w14:paraId="109E6240">
            <w:pPr>
              <w:pStyle w:val="44"/>
              <w:rPr>
                <w:color w:val="auto"/>
              </w:rPr>
            </w:pPr>
            <w:r>
              <w:rPr>
                <w:color w:val="auto"/>
              </w:rPr>
              <w:t xml:space="preserve">2.36 </w:t>
            </w:r>
          </w:p>
        </w:tc>
        <w:tc>
          <w:tcPr>
            <w:tcW w:w="714" w:type="pct"/>
            <w:tcBorders>
              <w:top w:val="nil"/>
              <w:left w:val="nil"/>
              <w:bottom w:val="single" w:color="auto" w:sz="4" w:space="0"/>
              <w:right w:val="single" w:color="auto" w:sz="4" w:space="0"/>
            </w:tcBorders>
            <w:noWrap/>
            <w:vAlign w:val="center"/>
          </w:tcPr>
          <w:p w14:paraId="6B8D57B4">
            <w:pPr>
              <w:pStyle w:val="44"/>
              <w:rPr>
                <w:color w:val="auto"/>
              </w:rPr>
            </w:pPr>
            <w:r>
              <w:rPr>
                <w:color w:val="auto"/>
              </w:rPr>
              <w:t xml:space="preserve">0.27 </w:t>
            </w:r>
          </w:p>
        </w:tc>
        <w:tc>
          <w:tcPr>
            <w:tcW w:w="714" w:type="pct"/>
            <w:tcBorders>
              <w:top w:val="nil"/>
              <w:left w:val="nil"/>
              <w:bottom w:val="single" w:color="auto" w:sz="4" w:space="0"/>
              <w:right w:val="single" w:color="auto" w:sz="4" w:space="0"/>
            </w:tcBorders>
            <w:noWrap/>
            <w:vAlign w:val="center"/>
          </w:tcPr>
          <w:p w14:paraId="249287B2">
            <w:pPr>
              <w:pStyle w:val="44"/>
              <w:rPr>
                <w:color w:val="auto"/>
              </w:rPr>
            </w:pPr>
            <w:r>
              <w:rPr>
                <w:color w:val="auto"/>
              </w:rPr>
              <w:t xml:space="preserve">8.85 </w:t>
            </w:r>
          </w:p>
        </w:tc>
        <w:tc>
          <w:tcPr>
            <w:tcW w:w="714" w:type="pct"/>
            <w:tcBorders>
              <w:top w:val="nil"/>
              <w:left w:val="nil"/>
              <w:bottom w:val="single" w:color="auto" w:sz="4" w:space="0"/>
              <w:right w:val="single" w:color="auto" w:sz="12" w:space="0"/>
            </w:tcBorders>
            <w:noWrap/>
            <w:vAlign w:val="center"/>
          </w:tcPr>
          <w:p w14:paraId="54930305">
            <w:pPr>
              <w:pStyle w:val="44"/>
              <w:rPr>
                <w:color w:val="auto"/>
              </w:rPr>
            </w:pPr>
            <w:r>
              <w:rPr>
                <w:color w:val="auto"/>
              </w:rPr>
              <w:t xml:space="preserve">243.61 </w:t>
            </w:r>
          </w:p>
        </w:tc>
      </w:tr>
      <w:tr w14:paraId="1D4FA4B1">
        <w:tblPrEx>
          <w:tblCellMar>
            <w:top w:w="0" w:type="dxa"/>
            <w:left w:w="108" w:type="dxa"/>
            <w:bottom w:w="0" w:type="dxa"/>
            <w:right w:w="108" w:type="dxa"/>
          </w:tblCellMar>
        </w:tblPrEx>
        <w:trPr>
          <w:trHeight w:val="315" w:hRule="atLeast"/>
        </w:trPr>
        <w:tc>
          <w:tcPr>
            <w:tcW w:w="791" w:type="pct"/>
            <w:vMerge w:val="continue"/>
            <w:tcBorders>
              <w:top w:val="nil"/>
              <w:left w:val="single" w:color="auto" w:sz="12" w:space="0"/>
              <w:bottom w:val="single" w:color="auto" w:sz="4" w:space="0"/>
              <w:right w:val="single" w:color="auto" w:sz="4" w:space="0"/>
            </w:tcBorders>
            <w:vAlign w:val="center"/>
          </w:tcPr>
          <w:p w14:paraId="05F608CE">
            <w:pPr>
              <w:pStyle w:val="44"/>
              <w:rPr>
                <w:color w:val="auto"/>
              </w:rPr>
            </w:pPr>
          </w:p>
        </w:tc>
        <w:tc>
          <w:tcPr>
            <w:tcW w:w="638" w:type="pct"/>
            <w:tcBorders>
              <w:top w:val="nil"/>
              <w:left w:val="nil"/>
              <w:bottom w:val="single" w:color="auto" w:sz="4" w:space="0"/>
              <w:right w:val="single" w:color="auto" w:sz="4" w:space="0"/>
            </w:tcBorders>
            <w:noWrap/>
            <w:vAlign w:val="center"/>
          </w:tcPr>
          <w:p w14:paraId="10259F23">
            <w:pPr>
              <w:pStyle w:val="44"/>
              <w:rPr>
                <w:color w:val="auto"/>
              </w:rPr>
            </w:pPr>
            <w:r>
              <w:rPr>
                <w:color w:val="auto"/>
              </w:rPr>
              <w:t>景观绿化</w:t>
            </w:r>
          </w:p>
        </w:tc>
        <w:tc>
          <w:tcPr>
            <w:tcW w:w="714" w:type="pct"/>
            <w:tcBorders>
              <w:top w:val="nil"/>
              <w:left w:val="nil"/>
              <w:bottom w:val="single" w:color="auto" w:sz="4" w:space="0"/>
              <w:right w:val="single" w:color="auto" w:sz="4" w:space="0"/>
            </w:tcBorders>
            <w:noWrap/>
            <w:vAlign w:val="center"/>
          </w:tcPr>
          <w:p w14:paraId="5CD0B0D8">
            <w:pPr>
              <w:pStyle w:val="44"/>
              <w:rPr>
                <w:color w:val="auto"/>
              </w:rPr>
            </w:pPr>
            <w:r>
              <w:rPr>
                <w:color w:val="auto"/>
              </w:rPr>
              <w:t xml:space="preserve">90.99 </w:t>
            </w:r>
          </w:p>
        </w:tc>
        <w:tc>
          <w:tcPr>
            <w:tcW w:w="714" w:type="pct"/>
            <w:tcBorders>
              <w:top w:val="nil"/>
              <w:left w:val="nil"/>
              <w:bottom w:val="single" w:color="auto" w:sz="4" w:space="0"/>
              <w:right w:val="single" w:color="auto" w:sz="4" w:space="0"/>
            </w:tcBorders>
            <w:noWrap/>
            <w:vAlign w:val="center"/>
          </w:tcPr>
          <w:p w14:paraId="2E3606DB">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27882930">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5852D13F">
            <w:pPr>
              <w:pStyle w:val="44"/>
              <w:rPr>
                <w:color w:val="auto"/>
              </w:rPr>
            </w:pPr>
            <w:r>
              <w:rPr>
                <w:color w:val="auto"/>
              </w:rPr>
              <w:t xml:space="preserve">29.33 </w:t>
            </w:r>
          </w:p>
        </w:tc>
        <w:tc>
          <w:tcPr>
            <w:tcW w:w="714" w:type="pct"/>
            <w:tcBorders>
              <w:top w:val="nil"/>
              <w:left w:val="nil"/>
              <w:bottom w:val="single" w:color="auto" w:sz="4" w:space="0"/>
              <w:right w:val="single" w:color="auto" w:sz="12" w:space="0"/>
            </w:tcBorders>
            <w:noWrap/>
            <w:vAlign w:val="center"/>
          </w:tcPr>
          <w:p w14:paraId="20AB69C2">
            <w:pPr>
              <w:pStyle w:val="44"/>
              <w:rPr>
                <w:color w:val="auto"/>
              </w:rPr>
            </w:pPr>
            <w:r>
              <w:rPr>
                <w:color w:val="auto"/>
              </w:rPr>
              <w:t xml:space="preserve">120.32 </w:t>
            </w:r>
          </w:p>
        </w:tc>
      </w:tr>
      <w:tr w14:paraId="3059DD78">
        <w:tblPrEx>
          <w:tblCellMar>
            <w:top w:w="0" w:type="dxa"/>
            <w:left w:w="108" w:type="dxa"/>
            <w:bottom w:w="0" w:type="dxa"/>
            <w:right w:w="108" w:type="dxa"/>
          </w:tblCellMar>
        </w:tblPrEx>
        <w:trPr>
          <w:trHeight w:val="315" w:hRule="atLeast"/>
        </w:trPr>
        <w:tc>
          <w:tcPr>
            <w:tcW w:w="791" w:type="pct"/>
            <w:tcBorders>
              <w:top w:val="nil"/>
              <w:left w:val="single" w:color="auto" w:sz="12" w:space="0"/>
              <w:bottom w:val="single" w:color="auto" w:sz="4" w:space="0"/>
              <w:right w:val="single" w:color="auto" w:sz="4" w:space="0"/>
            </w:tcBorders>
            <w:noWrap/>
            <w:vAlign w:val="center"/>
          </w:tcPr>
          <w:p w14:paraId="3D53BB70">
            <w:pPr>
              <w:pStyle w:val="44"/>
              <w:rPr>
                <w:color w:val="auto"/>
              </w:rPr>
            </w:pPr>
            <w:r>
              <w:rPr>
                <w:color w:val="auto"/>
              </w:rPr>
              <w:t>小计</w:t>
            </w:r>
          </w:p>
        </w:tc>
        <w:tc>
          <w:tcPr>
            <w:tcW w:w="638" w:type="pct"/>
            <w:tcBorders>
              <w:top w:val="nil"/>
              <w:left w:val="nil"/>
              <w:bottom w:val="single" w:color="auto" w:sz="4" w:space="0"/>
              <w:right w:val="single" w:color="auto" w:sz="4" w:space="0"/>
            </w:tcBorders>
            <w:noWrap/>
            <w:vAlign w:val="center"/>
          </w:tcPr>
          <w:p w14:paraId="0BBBD99E">
            <w:pPr>
              <w:pStyle w:val="44"/>
              <w:rPr>
                <w:color w:val="auto"/>
              </w:rPr>
            </w:pPr>
            <w:r>
              <w:rPr>
                <w:color w:val="auto"/>
              </w:rPr>
              <w:t>　</w:t>
            </w:r>
          </w:p>
        </w:tc>
        <w:tc>
          <w:tcPr>
            <w:tcW w:w="714" w:type="pct"/>
            <w:tcBorders>
              <w:top w:val="nil"/>
              <w:left w:val="nil"/>
              <w:bottom w:val="single" w:color="auto" w:sz="4" w:space="0"/>
              <w:right w:val="single" w:color="auto" w:sz="4" w:space="0"/>
            </w:tcBorders>
            <w:noWrap/>
            <w:vAlign w:val="center"/>
          </w:tcPr>
          <w:p w14:paraId="4930C5A6">
            <w:pPr>
              <w:pStyle w:val="44"/>
              <w:rPr>
                <w:color w:val="auto"/>
              </w:rPr>
            </w:pPr>
            <w:r>
              <w:rPr>
                <w:color w:val="auto"/>
              </w:rPr>
              <w:t xml:space="preserve">736.74 </w:t>
            </w:r>
          </w:p>
        </w:tc>
        <w:tc>
          <w:tcPr>
            <w:tcW w:w="714" w:type="pct"/>
            <w:tcBorders>
              <w:top w:val="nil"/>
              <w:left w:val="nil"/>
              <w:bottom w:val="single" w:color="auto" w:sz="4" w:space="0"/>
              <w:right w:val="single" w:color="auto" w:sz="4" w:space="0"/>
            </w:tcBorders>
            <w:noWrap/>
            <w:vAlign w:val="center"/>
          </w:tcPr>
          <w:p w14:paraId="54C01A13">
            <w:pPr>
              <w:pStyle w:val="44"/>
              <w:rPr>
                <w:color w:val="auto"/>
              </w:rPr>
            </w:pPr>
            <w:r>
              <w:rPr>
                <w:color w:val="auto"/>
              </w:rPr>
              <w:t xml:space="preserve">53.36 </w:t>
            </w:r>
          </w:p>
        </w:tc>
        <w:tc>
          <w:tcPr>
            <w:tcW w:w="714" w:type="pct"/>
            <w:tcBorders>
              <w:top w:val="nil"/>
              <w:left w:val="nil"/>
              <w:bottom w:val="single" w:color="auto" w:sz="4" w:space="0"/>
              <w:right w:val="single" w:color="auto" w:sz="4" w:space="0"/>
            </w:tcBorders>
            <w:noWrap/>
            <w:vAlign w:val="center"/>
          </w:tcPr>
          <w:p w14:paraId="31208A5B">
            <w:pPr>
              <w:pStyle w:val="44"/>
              <w:rPr>
                <w:color w:val="auto"/>
              </w:rPr>
            </w:pPr>
            <w:r>
              <w:rPr>
                <w:color w:val="auto"/>
              </w:rPr>
              <w:t xml:space="preserve">29.94 </w:t>
            </w:r>
          </w:p>
        </w:tc>
        <w:tc>
          <w:tcPr>
            <w:tcW w:w="714" w:type="pct"/>
            <w:tcBorders>
              <w:top w:val="nil"/>
              <w:left w:val="nil"/>
              <w:bottom w:val="single" w:color="auto" w:sz="4" w:space="0"/>
              <w:right w:val="single" w:color="auto" w:sz="4" w:space="0"/>
            </w:tcBorders>
            <w:noWrap/>
            <w:vAlign w:val="center"/>
          </w:tcPr>
          <w:p w14:paraId="2012B724">
            <w:pPr>
              <w:pStyle w:val="44"/>
              <w:rPr>
                <w:color w:val="auto"/>
              </w:rPr>
            </w:pPr>
            <w:r>
              <w:rPr>
                <w:color w:val="auto"/>
              </w:rPr>
              <w:t xml:space="preserve">71.70 </w:t>
            </w:r>
          </w:p>
        </w:tc>
        <w:tc>
          <w:tcPr>
            <w:tcW w:w="714" w:type="pct"/>
            <w:tcBorders>
              <w:top w:val="nil"/>
              <w:left w:val="nil"/>
              <w:bottom w:val="single" w:color="auto" w:sz="4" w:space="0"/>
              <w:right w:val="single" w:color="auto" w:sz="12" w:space="0"/>
            </w:tcBorders>
            <w:noWrap/>
            <w:vAlign w:val="center"/>
          </w:tcPr>
          <w:p w14:paraId="2C0E434B">
            <w:pPr>
              <w:pStyle w:val="44"/>
              <w:rPr>
                <w:color w:val="auto"/>
              </w:rPr>
            </w:pPr>
            <w:r>
              <w:rPr>
                <w:color w:val="auto"/>
              </w:rPr>
              <w:t xml:space="preserve">891.74 </w:t>
            </w:r>
          </w:p>
        </w:tc>
      </w:tr>
      <w:tr w14:paraId="24DE2976">
        <w:tblPrEx>
          <w:tblCellMar>
            <w:top w:w="0" w:type="dxa"/>
            <w:left w:w="108" w:type="dxa"/>
            <w:bottom w:w="0" w:type="dxa"/>
            <w:right w:w="108" w:type="dxa"/>
          </w:tblCellMar>
        </w:tblPrEx>
        <w:trPr>
          <w:trHeight w:val="315" w:hRule="atLeast"/>
        </w:trPr>
        <w:tc>
          <w:tcPr>
            <w:tcW w:w="791" w:type="pct"/>
            <w:tcBorders>
              <w:top w:val="nil"/>
              <w:left w:val="single" w:color="auto" w:sz="12" w:space="0"/>
              <w:bottom w:val="nil"/>
              <w:right w:val="single" w:color="auto" w:sz="4" w:space="0"/>
            </w:tcBorders>
            <w:noWrap/>
            <w:vAlign w:val="center"/>
          </w:tcPr>
          <w:p w14:paraId="57EE901A">
            <w:pPr>
              <w:pStyle w:val="44"/>
              <w:rPr>
                <w:color w:val="auto"/>
              </w:rPr>
            </w:pPr>
            <w:r>
              <w:rPr>
                <w:color w:val="auto"/>
              </w:rPr>
              <w:t>非建设用地</w:t>
            </w:r>
          </w:p>
        </w:tc>
        <w:tc>
          <w:tcPr>
            <w:tcW w:w="638" w:type="pct"/>
            <w:tcBorders>
              <w:top w:val="nil"/>
              <w:left w:val="nil"/>
              <w:bottom w:val="single" w:color="auto" w:sz="4" w:space="0"/>
              <w:right w:val="single" w:color="auto" w:sz="4" w:space="0"/>
            </w:tcBorders>
            <w:noWrap/>
            <w:vAlign w:val="center"/>
          </w:tcPr>
          <w:p w14:paraId="435ACA0B">
            <w:pPr>
              <w:pStyle w:val="44"/>
              <w:rPr>
                <w:color w:val="auto"/>
              </w:rPr>
            </w:pPr>
            <w:r>
              <w:rPr>
                <w:color w:val="auto"/>
              </w:rPr>
              <w:t>水域</w:t>
            </w:r>
          </w:p>
        </w:tc>
        <w:tc>
          <w:tcPr>
            <w:tcW w:w="714" w:type="pct"/>
            <w:tcBorders>
              <w:top w:val="nil"/>
              <w:left w:val="nil"/>
              <w:bottom w:val="single" w:color="auto" w:sz="4" w:space="0"/>
              <w:right w:val="single" w:color="auto" w:sz="4" w:space="0"/>
            </w:tcBorders>
            <w:noWrap/>
            <w:vAlign w:val="center"/>
          </w:tcPr>
          <w:p w14:paraId="079FD727">
            <w:pPr>
              <w:pStyle w:val="44"/>
              <w:rPr>
                <w:color w:val="auto"/>
              </w:rPr>
            </w:pPr>
            <w:r>
              <w:rPr>
                <w:color w:val="auto"/>
              </w:rPr>
              <w:t xml:space="preserve">6.18 </w:t>
            </w:r>
          </w:p>
        </w:tc>
        <w:tc>
          <w:tcPr>
            <w:tcW w:w="714" w:type="pct"/>
            <w:tcBorders>
              <w:top w:val="nil"/>
              <w:left w:val="nil"/>
              <w:bottom w:val="single" w:color="auto" w:sz="4" w:space="0"/>
              <w:right w:val="single" w:color="auto" w:sz="4" w:space="0"/>
            </w:tcBorders>
            <w:noWrap/>
            <w:vAlign w:val="center"/>
          </w:tcPr>
          <w:p w14:paraId="54607893">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287210D4">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00786F4D">
            <w:pPr>
              <w:pStyle w:val="44"/>
              <w:rPr>
                <w:color w:val="auto"/>
              </w:rPr>
            </w:pPr>
            <w:r>
              <w:rPr>
                <w:color w:val="auto"/>
              </w:rPr>
              <w:t xml:space="preserve">0.00 </w:t>
            </w:r>
          </w:p>
        </w:tc>
        <w:tc>
          <w:tcPr>
            <w:tcW w:w="714" w:type="pct"/>
            <w:tcBorders>
              <w:top w:val="nil"/>
              <w:left w:val="nil"/>
              <w:bottom w:val="single" w:color="auto" w:sz="4" w:space="0"/>
              <w:right w:val="single" w:color="auto" w:sz="12" w:space="0"/>
            </w:tcBorders>
            <w:noWrap/>
            <w:vAlign w:val="center"/>
          </w:tcPr>
          <w:p w14:paraId="6C88F2D2">
            <w:pPr>
              <w:pStyle w:val="44"/>
              <w:rPr>
                <w:color w:val="auto"/>
              </w:rPr>
            </w:pPr>
            <w:r>
              <w:rPr>
                <w:color w:val="auto"/>
              </w:rPr>
              <w:t xml:space="preserve">6.18 </w:t>
            </w:r>
          </w:p>
        </w:tc>
      </w:tr>
      <w:tr w14:paraId="3D6BB815">
        <w:tblPrEx>
          <w:tblCellMar>
            <w:top w:w="0" w:type="dxa"/>
            <w:left w:w="108" w:type="dxa"/>
            <w:bottom w:w="0" w:type="dxa"/>
            <w:right w:w="108" w:type="dxa"/>
          </w:tblCellMar>
        </w:tblPrEx>
        <w:trPr>
          <w:trHeight w:val="300" w:hRule="atLeast"/>
        </w:trPr>
        <w:tc>
          <w:tcPr>
            <w:tcW w:w="791" w:type="pct"/>
            <w:tcBorders>
              <w:top w:val="single" w:color="auto" w:sz="4" w:space="0"/>
              <w:left w:val="single" w:color="auto" w:sz="12" w:space="0"/>
              <w:bottom w:val="single" w:color="auto" w:sz="4" w:space="0"/>
              <w:right w:val="single" w:color="auto" w:sz="4" w:space="0"/>
            </w:tcBorders>
            <w:noWrap/>
            <w:vAlign w:val="center"/>
          </w:tcPr>
          <w:p w14:paraId="75176F10">
            <w:pPr>
              <w:pStyle w:val="44"/>
              <w:rPr>
                <w:color w:val="auto"/>
              </w:rPr>
            </w:pPr>
            <w:r>
              <w:rPr>
                <w:color w:val="auto"/>
              </w:rPr>
              <w:t>小计</w:t>
            </w:r>
          </w:p>
        </w:tc>
        <w:tc>
          <w:tcPr>
            <w:tcW w:w="638" w:type="pct"/>
            <w:tcBorders>
              <w:top w:val="nil"/>
              <w:left w:val="nil"/>
              <w:bottom w:val="single" w:color="auto" w:sz="4" w:space="0"/>
              <w:right w:val="single" w:color="auto" w:sz="4" w:space="0"/>
            </w:tcBorders>
            <w:noWrap/>
            <w:vAlign w:val="center"/>
          </w:tcPr>
          <w:p w14:paraId="30761DC2">
            <w:pPr>
              <w:pStyle w:val="44"/>
              <w:rPr>
                <w:color w:val="auto"/>
              </w:rPr>
            </w:pPr>
            <w:r>
              <w:rPr>
                <w:color w:val="auto"/>
              </w:rPr>
              <w:t>　</w:t>
            </w:r>
          </w:p>
        </w:tc>
        <w:tc>
          <w:tcPr>
            <w:tcW w:w="714" w:type="pct"/>
            <w:tcBorders>
              <w:top w:val="nil"/>
              <w:left w:val="nil"/>
              <w:bottom w:val="single" w:color="auto" w:sz="4" w:space="0"/>
              <w:right w:val="single" w:color="auto" w:sz="4" w:space="0"/>
            </w:tcBorders>
            <w:noWrap/>
            <w:vAlign w:val="center"/>
          </w:tcPr>
          <w:p w14:paraId="754737F7">
            <w:pPr>
              <w:pStyle w:val="44"/>
              <w:rPr>
                <w:color w:val="auto"/>
              </w:rPr>
            </w:pPr>
            <w:r>
              <w:rPr>
                <w:color w:val="auto"/>
              </w:rPr>
              <w:t xml:space="preserve">6.18 </w:t>
            </w:r>
          </w:p>
        </w:tc>
        <w:tc>
          <w:tcPr>
            <w:tcW w:w="714" w:type="pct"/>
            <w:tcBorders>
              <w:top w:val="nil"/>
              <w:left w:val="nil"/>
              <w:bottom w:val="single" w:color="auto" w:sz="4" w:space="0"/>
              <w:right w:val="single" w:color="auto" w:sz="4" w:space="0"/>
            </w:tcBorders>
            <w:noWrap/>
            <w:vAlign w:val="center"/>
          </w:tcPr>
          <w:p w14:paraId="56C82058">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22314E58">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7BC9487B">
            <w:pPr>
              <w:pStyle w:val="44"/>
              <w:rPr>
                <w:color w:val="auto"/>
              </w:rPr>
            </w:pPr>
            <w:r>
              <w:rPr>
                <w:color w:val="auto"/>
              </w:rPr>
              <w:t xml:space="preserve">0.00 </w:t>
            </w:r>
          </w:p>
        </w:tc>
        <w:tc>
          <w:tcPr>
            <w:tcW w:w="714" w:type="pct"/>
            <w:tcBorders>
              <w:top w:val="nil"/>
              <w:left w:val="nil"/>
              <w:bottom w:val="single" w:color="auto" w:sz="4" w:space="0"/>
              <w:right w:val="single" w:color="auto" w:sz="12" w:space="0"/>
            </w:tcBorders>
            <w:noWrap/>
            <w:vAlign w:val="center"/>
          </w:tcPr>
          <w:p w14:paraId="01A66C67">
            <w:pPr>
              <w:pStyle w:val="44"/>
              <w:rPr>
                <w:color w:val="auto"/>
              </w:rPr>
            </w:pPr>
            <w:r>
              <w:rPr>
                <w:color w:val="auto"/>
              </w:rPr>
              <w:t xml:space="preserve">6.18 </w:t>
            </w:r>
          </w:p>
        </w:tc>
      </w:tr>
      <w:tr w14:paraId="3F7E27E1">
        <w:tblPrEx>
          <w:tblCellMar>
            <w:top w:w="0" w:type="dxa"/>
            <w:left w:w="108" w:type="dxa"/>
            <w:bottom w:w="0" w:type="dxa"/>
            <w:right w:w="108" w:type="dxa"/>
          </w:tblCellMar>
        </w:tblPrEx>
        <w:trPr>
          <w:trHeight w:val="315" w:hRule="atLeast"/>
        </w:trPr>
        <w:tc>
          <w:tcPr>
            <w:tcW w:w="791" w:type="pct"/>
            <w:tcBorders>
              <w:top w:val="nil"/>
              <w:left w:val="single" w:color="auto" w:sz="12" w:space="0"/>
              <w:bottom w:val="single" w:color="auto" w:sz="12" w:space="0"/>
              <w:right w:val="single" w:color="auto" w:sz="4" w:space="0"/>
            </w:tcBorders>
            <w:noWrap/>
            <w:vAlign w:val="center"/>
          </w:tcPr>
          <w:p w14:paraId="2CFBA0D0">
            <w:pPr>
              <w:pStyle w:val="44"/>
              <w:rPr>
                <w:color w:val="auto"/>
              </w:rPr>
            </w:pPr>
            <w:r>
              <w:rPr>
                <w:color w:val="auto"/>
              </w:rPr>
              <w:t>合计</w:t>
            </w:r>
          </w:p>
        </w:tc>
        <w:tc>
          <w:tcPr>
            <w:tcW w:w="638" w:type="pct"/>
            <w:tcBorders>
              <w:top w:val="nil"/>
              <w:left w:val="nil"/>
              <w:bottom w:val="single" w:color="auto" w:sz="12" w:space="0"/>
              <w:right w:val="single" w:color="auto" w:sz="4" w:space="0"/>
            </w:tcBorders>
            <w:noWrap/>
            <w:vAlign w:val="center"/>
          </w:tcPr>
          <w:p w14:paraId="394D5375">
            <w:pPr>
              <w:pStyle w:val="44"/>
              <w:rPr>
                <w:color w:val="auto"/>
              </w:rPr>
            </w:pPr>
            <w:r>
              <w:rPr>
                <w:color w:val="auto"/>
              </w:rPr>
              <w:t>　</w:t>
            </w:r>
          </w:p>
        </w:tc>
        <w:tc>
          <w:tcPr>
            <w:tcW w:w="714" w:type="pct"/>
            <w:tcBorders>
              <w:top w:val="nil"/>
              <w:left w:val="nil"/>
              <w:bottom w:val="single" w:color="auto" w:sz="12" w:space="0"/>
              <w:right w:val="single" w:color="auto" w:sz="4" w:space="0"/>
            </w:tcBorders>
            <w:noWrap/>
            <w:vAlign w:val="center"/>
          </w:tcPr>
          <w:p w14:paraId="0C2CACA3">
            <w:pPr>
              <w:pStyle w:val="44"/>
              <w:rPr>
                <w:color w:val="auto"/>
              </w:rPr>
            </w:pPr>
            <w:r>
              <w:rPr>
                <w:color w:val="auto"/>
              </w:rPr>
              <w:t xml:space="preserve">742.92 </w:t>
            </w:r>
          </w:p>
        </w:tc>
        <w:tc>
          <w:tcPr>
            <w:tcW w:w="714" w:type="pct"/>
            <w:tcBorders>
              <w:top w:val="nil"/>
              <w:left w:val="nil"/>
              <w:bottom w:val="single" w:color="auto" w:sz="12" w:space="0"/>
              <w:right w:val="single" w:color="auto" w:sz="4" w:space="0"/>
            </w:tcBorders>
            <w:noWrap/>
            <w:vAlign w:val="center"/>
          </w:tcPr>
          <w:p w14:paraId="47E43AF3">
            <w:pPr>
              <w:pStyle w:val="44"/>
              <w:rPr>
                <w:color w:val="auto"/>
              </w:rPr>
            </w:pPr>
            <w:r>
              <w:rPr>
                <w:color w:val="auto"/>
              </w:rPr>
              <w:t xml:space="preserve">53.36 </w:t>
            </w:r>
          </w:p>
        </w:tc>
        <w:tc>
          <w:tcPr>
            <w:tcW w:w="714" w:type="pct"/>
            <w:tcBorders>
              <w:top w:val="nil"/>
              <w:left w:val="nil"/>
              <w:bottom w:val="single" w:color="auto" w:sz="12" w:space="0"/>
              <w:right w:val="single" w:color="auto" w:sz="4" w:space="0"/>
            </w:tcBorders>
            <w:noWrap/>
            <w:vAlign w:val="center"/>
          </w:tcPr>
          <w:p w14:paraId="4F136C21">
            <w:pPr>
              <w:pStyle w:val="44"/>
              <w:rPr>
                <w:color w:val="auto"/>
              </w:rPr>
            </w:pPr>
            <w:r>
              <w:rPr>
                <w:color w:val="auto"/>
              </w:rPr>
              <w:t xml:space="preserve">29.94 </w:t>
            </w:r>
          </w:p>
        </w:tc>
        <w:tc>
          <w:tcPr>
            <w:tcW w:w="714" w:type="pct"/>
            <w:tcBorders>
              <w:top w:val="nil"/>
              <w:left w:val="nil"/>
              <w:bottom w:val="single" w:color="auto" w:sz="12" w:space="0"/>
              <w:right w:val="single" w:color="auto" w:sz="4" w:space="0"/>
            </w:tcBorders>
            <w:noWrap/>
            <w:vAlign w:val="center"/>
          </w:tcPr>
          <w:p w14:paraId="60A2B2CD">
            <w:pPr>
              <w:pStyle w:val="44"/>
              <w:rPr>
                <w:color w:val="auto"/>
              </w:rPr>
            </w:pPr>
            <w:r>
              <w:rPr>
                <w:color w:val="auto"/>
              </w:rPr>
              <w:t xml:space="preserve">71.70 </w:t>
            </w:r>
          </w:p>
        </w:tc>
        <w:tc>
          <w:tcPr>
            <w:tcW w:w="714" w:type="pct"/>
            <w:tcBorders>
              <w:top w:val="nil"/>
              <w:left w:val="nil"/>
              <w:bottom w:val="single" w:color="auto" w:sz="12" w:space="0"/>
              <w:right w:val="single" w:color="auto" w:sz="12" w:space="0"/>
            </w:tcBorders>
            <w:noWrap/>
            <w:vAlign w:val="center"/>
          </w:tcPr>
          <w:p w14:paraId="347A7A98">
            <w:pPr>
              <w:pStyle w:val="44"/>
              <w:rPr>
                <w:color w:val="auto"/>
              </w:rPr>
            </w:pPr>
            <w:r>
              <w:rPr>
                <w:color w:val="auto"/>
              </w:rPr>
              <w:t xml:space="preserve">897.92 </w:t>
            </w:r>
          </w:p>
        </w:tc>
      </w:tr>
    </w:tbl>
    <w:p w14:paraId="3355DD2C">
      <w:pPr>
        <w:ind w:firstLine="480"/>
        <w:rPr>
          <w:color w:val="auto"/>
        </w:rPr>
      </w:pPr>
      <w:r>
        <w:rPr>
          <w:color w:val="auto"/>
        </w:rPr>
        <w:t>（2）入住企业情况</w:t>
      </w:r>
    </w:p>
    <w:p w14:paraId="30249469">
      <w:pPr>
        <w:topLinePunct/>
        <w:ind w:firstLine="480"/>
        <w:rPr>
          <w:color w:val="auto"/>
        </w:rPr>
      </w:pPr>
      <w:r>
        <w:rPr>
          <w:color w:val="auto"/>
          <w:szCs w:val="28"/>
        </w:rPr>
        <w:t>目前，九龙工业园区（B区）</w:t>
      </w:r>
      <w:r>
        <w:rPr>
          <w:color w:val="auto"/>
        </w:rPr>
        <w:t>现状地块入驻企业较多，主要有福安居小区、华福山水小区、重庆市九龙坡区看守所、国家电网、中国石油、伟岸.福缘尚城、华龙苑小区、大顺不锈钢产业园、重庆智慧水务有限公司、重庆新世界建材市场、协能.枫馨丽园小区、重庆广播电视大学、重庆周君记火锅食品有限公司、重庆普什、重庆建设.雅马哈摩托车有限公司、书林贸易公司、新华电商仓储配送中心、重庆实验外国语学校、隆兴通用B区、重庆秋霞食品餐饮有限公司、壹本科工城</w:t>
      </w:r>
      <w:r>
        <w:rPr>
          <w:color w:val="auto"/>
          <w:szCs w:val="28"/>
        </w:rPr>
        <w:t>等多家企业</w:t>
      </w:r>
      <w:r>
        <w:rPr>
          <w:color w:val="auto"/>
        </w:rPr>
        <w:t>约203个企业和住宅小区。</w:t>
      </w:r>
    </w:p>
    <w:p w14:paraId="65BC1489">
      <w:pPr>
        <w:topLinePunct/>
        <w:ind w:firstLine="480"/>
        <w:rPr>
          <w:color w:val="auto"/>
          <w:szCs w:val="24"/>
        </w:rPr>
      </w:pPr>
      <w:r>
        <w:rPr>
          <w:color w:val="auto"/>
        </w:rPr>
        <w:t>九龙工业园区B区位于中梁山街道和九龙坡区华岩片区，已形成以建设雅马哈、普什、隆鑫为代表的汽车、摩托车产业集群，</w:t>
      </w:r>
      <w:r>
        <w:rPr>
          <w:color w:val="auto"/>
          <w:szCs w:val="24"/>
        </w:rPr>
        <w:t>与规划主导产业定位基本一致。符合规划发展产业要求。</w:t>
      </w:r>
    </w:p>
    <w:p w14:paraId="50079495">
      <w:pPr>
        <w:topLinePunct/>
        <w:ind w:firstLine="480"/>
        <w:rPr>
          <w:color w:val="auto"/>
        </w:rPr>
      </w:pPr>
      <w:r>
        <w:rPr>
          <w:color w:val="auto"/>
        </w:rPr>
        <w:t>据调查，九龙工业园区B区入驻企业不存在自备水源，均由丰收坝水厂供水。</w:t>
      </w:r>
    </w:p>
    <w:p w14:paraId="74A17E30">
      <w:pPr>
        <w:topLinePunct/>
        <w:ind w:firstLine="241" w:firstLineChars="100"/>
        <w:jc w:val="left"/>
        <w:rPr>
          <w:b/>
          <w:bCs/>
          <w:color w:val="auto"/>
          <w:kern w:val="0"/>
          <w:lang w:bidi="en-US"/>
        </w:rPr>
      </w:pPr>
      <w:r>
        <w:rPr>
          <w:b/>
          <w:bCs/>
          <w:color w:val="auto"/>
          <w:kern w:val="0"/>
          <w:lang w:bidi="en-US"/>
        </w:rPr>
        <w:t>表2.7-4            九龙工业园区B区入住企业统计表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967"/>
        <w:gridCol w:w="1369"/>
        <w:gridCol w:w="3362"/>
        <w:gridCol w:w="1668"/>
        <w:gridCol w:w="1079"/>
      </w:tblGrid>
      <w:tr w14:paraId="6C9D0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368" w:type="pct"/>
            <w:noWrap/>
            <w:vAlign w:val="center"/>
          </w:tcPr>
          <w:p w14:paraId="7FA27E85">
            <w:pPr>
              <w:pStyle w:val="44"/>
              <w:rPr>
                <w:color w:val="auto"/>
              </w:rPr>
            </w:pPr>
            <w:r>
              <w:rPr>
                <w:color w:val="auto"/>
              </w:rPr>
              <w:t>序号</w:t>
            </w:r>
          </w:p>
        </w:tc>
        <w:tc>
          <w:tcPr>
            <w:tcW w:w="530" w:type="pct"/>
            <w:noWrap/>
            <w:vAlign w:val="center"/>
          </w:tcPr>
          <w:p w14:paraId="23C4B871">
            <w:pPr>
              <w:pStyle w:val="44"/>
              <w:rPr>
                <w:color w:val="auto"/>
              </w:rPr>
            </w:pPr>
            <w:r>
              <w:rPr>
                <w:color w:val="auto"/>
              </w:rPr>
              <w:t>区域名称</w:t>
            </w:r>
          </w:p>
        </w:tc>
        <w:tc>
          <w:tcPr>
            <w:tcW w:w="751" w:type="pct"/>
            <w:noWrap/>
            <w:vAlign w:val="center"/>
          </w:tcPr>
          <w:p w14:paraId="29936720">
            <w:pPr>
              <w:pStyle w:val="44"/>
              <w:rPr>
                <w:color w:val="auto"/>
              </w:rPr>
            </w:pPr>
            <w:r>
              <w:rPr>
                <w:color w:val="auto"/>
              </w:rPr>
              <w:t>地块编号</w:t>
            </w:r>
          </w:p>
        </w:tc>
        <w:tc>
          <w:tcPr>
            <w:tcW w:w="1844" w:type="pct"/>
            <w:noWrap/>
            <w:vAlign w:val="center"/>
          </w:tcPr>
          <w:p w14:paraId="77896CCB">
            <w:pPr>
              <w:pStyle w:val="44"/>
              <w:rPr>
                <w:color w:val="auto"/>
              </w:rPr>
            </w:pPr>
            <w:r>
              <w:rPr>
                <w:color w:val="auto"/>
              </w:rPr>
              <w:t>建设单位</w:t>
            </w:r>
          </w:p>
        </w:tc>
        <w:tc>
          <w:tcPr>
            <w:tcW w:w="915" w:type="pct"/>
            <w:noWrap/>
            <w:vAlign w:val="center"/>
          </w:tcPr>
          <w:p w14:paraId="5D81AFE5">
            <w:pPr>
              <w:pStyle w:val="44"/>
              <w:rPr>
                <w:color w:val="auto"/>
              </w:rPr>
            </w:pPr>
            <w:r>
              <w:rPr>
                <w:color w:val="auto"/>
              </w:rPr>
              <w:t>占地面积（hm2）</w:t>
            </w:r>
          </w:p>
        </w:tc>
        <w:tc>
          <w:tcPr>
            <w:tcW w:w="592" w:type="pct"/>
            <w:noWrap/>
            <w:vAlign w:val="center"/>
          </w:tcPr>
          <w:p w14:paraId="405E548F">
            <w:pPr>
              <w:pStyle w:val="44"/>
              <w:rPr>
                <w:color w:val="auto"/>
              </w:rPr>
            </w:pPr>
            <w:r>
              <w:rPr>
                <w:color w:val="auto"/>
              </w:rPr>
              <w:t>开发时间</w:t>
            </w:r>
          </w:p>
        </w:tc>
      </w:tr>
      <w:tr w14:paraId="338C8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A68C830">
            <w:pPr>
              <w:pStyle w:val="44"/>
              <w:rPr>
                <w:color w:val="auto"/>
              </w:rPr>
            </w:pPr>
            <w:r>
              <w:rPr>
                <w:color w:val="auto"/>
              </w:rPr>
              <w:t>1</w:t>
            </w:r>
          </w:p>
        </w:tc>
        <w:tc>
          <w:tcPr>
            <w:tcW w:w="530" w:type="pct"/>
            <w:vMerge w:val="restart"/>
            <w:vAlign w:val="center"/>
          </w:tcPr>
          <w:p w14:paraId="658111C0">
            <w:pPr>
              <w:pStyle w:val="44"/>
              <w:rPr>
                <w:color w:val="auto"/>
              </w:rPr>
            </w:pPr>
            <w:r>
              <w:rPr>
                <w:color w:val="auto"/>
              </w:rPr>
              <w:t>中梁山组团D标准分区</w:t>
            </w:r>
          </w:p>
        </w:tc>
        <w:tc>
          <w:tcPr>
            <w:tcW w:w="751" w:type="pct"/>
            <w:noWrap/>
            <w:vAlign w:val="center"/>
          </w:tcPr>
          <w:p w14:paraId="4013D6B5">
            <w:pPr>
              <w:pStyle w:val="44"/>
              <w:rPr>
                <w:color w:val="auto"/>
              </w:rPr>
            </w:pPr>
            <w:r>
              <w:rPr>
                <w:color w:val="auto"/>
              </w:rPr>
              <w:t>D23-4/05</w:t>
            </w:r>
          </w:p>
        </w:tc>
        <w:tc>
          <w:tcPr>
            <w:tcW w:w="1844" w:type="pct"/>
            <w:noWrap/>
            <w:vAlign w:val="center"/>
          </w:tcPr>
          <w:p w14:paraId="6D444566">
            <w:pPr>
              <w:pStyle w:val="44"/>
              <w:rPr>
                <w:color w:val="auto"/>
              </w:rPr>
            </w:pPr>
            <w:r>
              <w:rPr>
                <w:color w:val="auto"/>
              </w:rPr>
              <w:t>福安居小区</w:t>
            </w:r>
          </w:p>
        </w:tc>
        <w:tc>
          <w:tcPr>
            <w:tcW w:w="915" w:type="pct"/>
            <w:noWrap/>
            <w:vAlign w:val="center"/>
          </w:tcPr>
          <w:p w14:paraId="57A704E5">
            <w:pPr>
              <w:pStyle w:val="44"/>
              <w:rPr>
                <w:color w:val="auto"/>
              </w:rPr>
            </w:pPr>
            <w:r>
              <w:rPr>
                <w:color w:val="auto"/>
              </w:rPr>
              <w:t xml:space="preserve">0.64 </w:t>
            </w:r>
          </w:p>
        </w:tc>
        <w:tc>
          <w:tcPr>
            <w:tcW w:w="592" w:type="pct"/>
            <w:noWrap/>
            <w:vAlign w:val="center"/>
          </w:tcPr>
          <w:p w14:paraId="185E2950">
            <w:pPr>
              <w:pStyle w:val="44"/>
              <w:rPr>
                <w:color w:val="auto"/>
              </w:rPr>
            </w:pPr>
            <w:r>
              <w:rPr>
                <w:color w:val="auto"/>
              </w:rPr>
              <w:t>2002年</w:t>
            </w:r>
          </w:p>
        </w:tc>
      </w:tr>
      <w:tr w14:paraId="7FDAA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B6C10DC">
            <w:pPr>
              <w:pStyle w:val="44"/>
              <w:rPr>
                <w:color w:val="auto"/>
              </w:rPr>
            </w:pPr>
            <w:r>
              <w:rPr>
                <w:color w:val="auto"/>
              </w:rPr>
              <w:t>2</w:t>
            </w:r>
          </w:p>
        </w:tc>
        <w:tc>
          <w:tcPr>
            <w:tcW w:w="530" w:type="pct"/>
            <w:vMerge w:val="continue"/>
            <w:vAlign w:val="center"/>
          </w:tcPr>
          <w:p w14:paraId="3A662807">
            <w:pPr>
              <w:pStyle w:val="44"/>
              <w:rPr>
                <w:color w:val="auto"/>
              </w:rPr>
            </w:pPr>
          </w:p>
        </w:tc>
        <w:tc>
          <w:tcPr>
            <w:tcW w:w="751" w:type="pct"/>
            <w:noWrap/>
            <w:vAlign w:val="center"/>
          </w:tcPr>
          <w:p w14:paraId="36DFC411">
            <w:pPr>
              <w:pStyle w:val="44"/>
              <w:rPr>
                <w:color w:val="auto"/>
              </w:rPr>
            </w:pPr>
            <w:r>
              <w:rPr>
                <w:color w:val="auto"/>
              </w:rPr>
              <w:t>D21-1/03</w:t>
            </w:r>
          </w:p>
        </w:tc>
        <w:tc>
          <w:tcPr>
            <w:tcW w:w="1844" w:type="pct"/>
            <w:noWrap/>
            <w:vAlign w:val="center"/>
          </w:tcPr>
          <w:p w14:paraId="41DAC85D">
            <w:pPr>
              <w:pStyle w:val="44"/>
              <w:rPr>
                <w:color w:val="auto"/>
              </w:rPr>
            </w:pPr>
            <w:r>
              <w:rPr>
                <w:color w:val="auto"/>
              </w:rPr>
              <w:t>华福山水小区</w:t>
            </w:r>
          </w:p>
        </w:tc>
        <w:tc>
          <w:tcPr>
            <w:tcW w:w="915" w:type="pct"/>
            <w:noWrap/>
            <w:vAlign w:val="center"/>
          </w:tcPr>
          <w:p w14:paraId="6127502A">
            <w:pPr>
              <w:pStyle w:val="44"/>
              <w:rPr>
                <w:color w:val="auto"/>
              </w:rPr>
            </w:pPr>
            <w:r>
              <w:rPr>
                <w:color w:val="auto"/>
              </w:rPr>
              <w:t xml:space="preserve">0.77 </w:t>
            </w:r>
          </w:p>
        </w:tc>
        <w:tc>
          <w:tcPr>
            <w:tcW w:w="592" w:type="pct"/>
            <w:noWrap/>
            <w:vAlign w:val="center"/>
          </w:tcPr>
          <w:p w14:paraId="5FD09CDB">
            <w:pPr>
              <w:pStyle w:val="44"/>
              <w:rPr>
                <w:color w:val="auto"/>
              </w:rPr>
            </w:pPr>
            <w:r>
              <w:rPr>
                <w:color w:val="auto"/>
              </w:rPr>
              <w:t>2003年</w:t>
            </w:r>
          </w:p>
        </w:tc>
      </w:tr>
      <w:tr w14:paraId="0FFDB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645E29C">
            <w:pPr>
              <w:pStyle w:val="44"/>
              <w:rPr>
                <w:color w:val="auto"/>
              </w:rPr>
            </w:pPr>
            <w:r>
              <w:rPr>
                <w:color w:val="auto"/>
              </w:rPr>
              <w:t>3</w:t>
            </w:r>
          </w:p>
        </w:tc>
        <w:tc>
          <w:tcPr>
            <w:tcW w:w="530" w:type="pct"/>
            <w:vMerge w:val="continue"/>
            <w:vAlign w:val="center"/>
          </w:tcPr>
          <w:p w14:paraId="2B672F4A">
            <w:pPr>
              <w:pStyle w:val="44"/>
              <w:rPr>
                <w:color w:val="auto"/>
              </w:rPr>
            </w:pPr>
          </w:p>
        </w:tc>
        <w:tc>
          <w:tcPr>
            <w:tcW w:w="751" w:type="pct"/>
            <w:noWrap/>
            <w:vAlign w:val="center"/>
          </w:tcPr>
          <w:p w14:paraId="46B281E2">
            <w:pPr>
              <w:pStyle w:val="44"/>
              <w:rPr>
                <w:color w:val="auto"/>
              </w:rPr>
            </w:pPr>
            <w:r>
              <w:rPr>
                <w:color w:val="auto"/>
              </w:rPr>
              <w:t>D21-2/03</w:t>
            </w:r>
          </w:p>
        </w:tc>
        <w:tc>
          <w:tcPr>
            <w:tcW w:w="1844" w:type="pct"/>
            <w:noWrap/>
            <w:vAlign w:val="center"/>
          </w:tcPr>
          <w:p w14:paraId="75465D60">
            <w:pPr>
              <w:pStyle w:val="44"/>
              <w:rPr>
                <w:color w:val="auto"/>
              </w:rPr>
            </w:pPr>
            <w:r>
              <w:rPr>
                <w:color w:val="auto"/>
              </w:rPr>
              <w:t>华福山水小区</w:t>
            </w:r>
          </w:p>
        </w:tc>
        <w:tc>
          <w:tcPr>
            <w:tcW w:w="915" w:type="pct"/>
            <w:noWrap/>
            <w:vAlign w:val="center"/>
          </w:tcPr>
          <w:p w14:paraId="6C7771EA">
            <w:pPr>
              <w:pStyle w:val="44"/>
              <w:rPr>
                <w:color w:val="auto"/>
              </w:rPr>
            </w:pPr>
            <w:r>
              <w:rPr>
                <w:color w:val="auto"/>
              </w:rPr>
              <w:t xml:space="preserve">1.34 </w:t>
            </w:r>
          </w:p>
        </w:tc>
        <w:tc>
          <w:tcPr>
            <w:tcW w:w="592" w:type="pct"/>
            <w:noWrap/>
            <w:vAlign w:val="center"/>
          </w:tcPr>
          <w:p w14:paraId="2822F364">
            <w:pPr>
              <w:pStyle w:val="44"/>
              <w:rPr>
                <w:color w:val="auto"/>
              </w:rPr>
            </w:pPr>
            <w:r>
              <w:rPr>
                <w:color w:val="auto"/>
              </w:rPr>
              <w:t>2003年</w:t>
            </w:r>
          </w:p>
        </w:tc>
      </w:tr>
      <w:tr w14:paraId="7E87A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EC0F572">
            <w:pPr>
              <w:pStyle w:val="44"/>
              <w:rPr>
                <w:color w:val="auto"/>
              </w:rPr>
            </w:pPr>
            <w:r>
              <w:rPr>
                <w:color w:val="auto"/>
              </w:rPr>
              <w:t>4</w:t>
            </w:r>
          </w:p>
        </w:tc>
        <w:tc>
          <w:tcPr>
            <w:tcW w:w="530" w:type="pct"/>
            <w:vMerge w:val="continue"/>
            <w:vAlign w:val="center"/>
          </w:tcPr>
          <w:p w14:paraId="5FBF7C34">
            <w:pPr>
              <w:pStyle w:val="44"/>
              <w:rPr>
                <w:color w:val="auto"/>
              </w:rPr>
            </w:pPr>
          </w:p>
        </w:tc>
        <w:tc>
          <w:tcPr>
            <w:tcW w:w="751" w:type="pct"/>
            <w:vMerge w:val="restart"/>
            <w:noWrap/>
            <w:vAlign w:val="center"/>
          </w:tcPr>
          <w:p w14:paraId="471F0AAF">
            <w:pPr>
              <w:pStyle w:val="44"/>
              <w:rPr>
                <w:color w:val="auto"/>
              </w:rPr>
            </w:pPr>
            <w:r>
              <w:rPr>
                <w:color w:val="auto"/>
              </w:rPr>
              <w:t>D23-1/05</w:t>
            </w:r>
          </w:p>
        </w:tc>
        <w:tc>
          <w:tcPr>
            <w:tcW w:w="1844" w:type="pct"/>
            <w:noWrap/>
            <w:vAlign w:val="center"/>
          </w:tcPr>
          <w:p w14:paraId="453659E9">
            <w:pPr>
              <w:pStyle w:val="44"/>
              <w:rPr>
                <w:color w:val="auto"/>
              </w:rPr>
            </w:pPr>
            <w:r>
              <w:rPr>
                <w:color w:val="auto"/>
              </w:rPr>
              <w:t>重庆市九龙坡区看守所</w:t>
            </w:r>
          </w:p>
        </w:tc>
        <w:tc>
          <w:tcPr>
            <w:tcW w:w="915" w:type="pct"/>
            <w:vMerge w:val="restart"/>
            <w:noWrap/>
            <w:vAlign w:val="center"/>
          </w:tcPr>
          <w:p w14:paraId="6C342FEB">
            <w:pPr>
              <w:pStyle w:val="44"/>
              <w:rPr>
                <w:color w:val="auto"/>
              </w:rPr>
            </w:pPr>
            <w:r>
              <w:rPr>
                <w:color w:val="auto"/>
              </w:rPr>
              <w:t xml:space="preserve">5.92 </w:t>
            </w:r>
          </w:p>
        </w:tc>
        <w:tc>
          <w:tcPr>
            <w:tcW w:w="592" w:type="pct"/>
            <w:noWrap/>
            <w:vAlign w:val="center"/>
          </w:tcPr>
          <w:p w14:paraId="20A75CAB">
            <w:pPr>
              <w:pStyle w:val="44"/>
              <w:rPr>
                <w:color w:val="auto"/>
              </w:rPr>
            </w:pPr>
            <w:r>
              <w:rPr>
                <w:color w:val="auto"/>
              </w:rPr>
              <w:t>2002年</w:t>
            </w:r>
          </w:p>
        </w:tc>
      </w:tr>
      <w:tr w14:paraId="37B683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D661100">
            <w:pPr>
              <w:pStyle w:val="44"/>
              <w:rPr>
                <w:color w:val="auto"/>
              </w:rPr>
            </w:pPr>
            <w:r>
              <w:rPr>
                <w:color w:val="auto"/>
              </w:rPr>
              <w:t>5</w:t>
            </w:r>
          </w:p>
        </w:tc>
        <w:tc>
          <w:tcPr>
            <w:tcW w:w="530" w:type="pct"/>
            <w:vMerge w:val="continue"/>
            <w:vAlign w:val="center"/>
          </w:tcPr>
          <w:p w14:paraId="0EC91F04">
            <w:pPr>
              <w:pStyle w:val="44"/>
              <w:rPr>
                <w:color w:val="auto"/>
              </w:rPr>
            </w:pPr>
          </w:p>
        </w:tc>
        <w:tc>
          <w:tcPr>
            <w:tcW w:w="751" w:type="pct"/>
            <w:vMerge w:val="continue"/>
            <w:vAlign w:val="center"/>
          </w:tcPr>
          <w:p w14:paraId="71A60AF1">
            <w:pPr>
              <w:pStyle w:val="44"/>
              <w:rPr>
                <w:color w:val="auto"/>
              </w:rPr>
            </w:pPr>
          </w:p>
        </w:tc>
        <w:tc>
          <w:tcPr>
            <w:tcW w:w="1844" w:type="pct"/>
            <w:noWrap/>
            <w:vAlign w:val="center"/>
          </w:tcPr>
          <w:p w14:paraId="6457EDA1">
            <w:pPr>
              <w:pStyle w:val="44"/>
              <w:rPr>
                <w:color w:val="auto"/>
              </w:rPr>
            </w:pPr>
            <w:r>
              <w:rPr>
                <w:color w:val="auto"/>
              </w:rPr>
              <w:t>华岩寺配套商业</w:t>
            </w:r>
          </w:p>
        </w:tc>
        <w:tc>
          <w:tcPr>
            <w:tcW w:w="915" w:type="pct"/>
            <w:vMerge w:val="continue"/>
            <w:vAlign w:val="center"/>
          </w:tcPr>
          <w:p w14:paraId="536EA73E">
            <w:pPr>
              <w:pStyle w:val="44"/>
              <w:rPr>
                <w:color w:val="auto"/>
              </w:rPr>
            </w:pPr>
          </w:p>
        </w:tc>
        <w:tc>
          <w:tcPr>
            <w:tcW w:w="592" w:type="pct"/>
            <w:noWrap/>
            <w:vAlign w:val="center"/>
          </w:tcPr>
          <w:p w14:paraId="535C38B6">
            <w:pPr>
              <w:pStyle w:val="44"/>
              <w:rPr>
                <w:color w:val="auto"/>
              </w:rPr>
            </w:pPr>
            <w:r>
              <w:rPr>
                <w:color w:val="auto"/>
              </w:rPr>
              <w:t>2002年</w:t>
            </w:r>
          </w:p>
        </w:tc>
      </w:tr>
      <w:tr w14:paraId="3E51B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977DB4A">
            <w:pPr>
              <w:pStyle w:val="44"/>
              <w:rPr>
                <w:color w:val="auto"/>
              </w:rPr>
            </w:pPr>
            <w:r>
              <w:rPr>
                <w:color w:val="auto"/>
              </w:rPr>
              <w:t>6</w:t>
            </w:r>
          </w:p>
        </w:tc>
        <w:tc>
          <w:tcPr>
            <w:tcW w:w="530" w:type="pct"/>
            <w:vMerge w:val="continue"/>
            <w:vAlign w:val="center"/>
          </w:tcPr>
          <w:p w14:paraId="270D91E0">
            <w:pPr>
              <w:pStyle w:val="44"/>
              <w:rPr>
                <w:color w:val="auto"/>
              </w:rPr>
            </w:pPr>
          </w:p>
        </w:tc>
        <w:tc>
          <w:tcPr>
            <w:tcW w:w="751" w:type="pct"/>
            <w:noWrap/>
            <w:vAlign w:val="center"/>
          </w:tcPr>
          <w:p w14:paraId="4224699B">
            <w:pPr>
              <w:pStyle w:val="44"/>
              <w:rPr>
                <w:color w:val="auto"/>
              </w:rPr>
            </w:pPr>
            <w:r>
              <w:rPr>
                <w:color w:val="auto"/>
              </w:rPr>
              <w:t>D21-3-1/03</w:t>
            </w:r>
          </w:p>
        </w:tc>
        <w:tc>
          <w:tcPr>
            <w:tcW w:w="1844" w:type="pct"/>
            <w:noWrap/>
            <w:vAlign w:val="center"/>
          </w:tcPr>
          <w:p w14:paraId="10FD526C">
            <w:pPr>
              <w:pStyle w:val="44"/>
              <w:rPr>
                <w:color w:val="auto"/>
              </w:rPr>
            </w:pPr>
            <w:r>
              <w:rPr>
                <w:color w:val="auto"/>
              </w:rPr>
              <w:t>华福山水小区配套设施</w:t>
            </w:r>
          </w:p>
        </w:tc>
        <w:tc>
          <w:tcPr>
            <w:tcW w:w="915" w:type="pct"/>
            <w:noWrap/>
            <w:vAlign w:val="center"/>
          </w:tcPr>
          <w:p w14:paraId="15612B20">
            <w:pPr>
              <w:pStyle w:val="44"/>
              <w:rPr>
                <w:color w:val="auto"/>
              </w:rPr>
            </w:pPr>
            <w:r>
              <w:rPr>
                <w:color w:val="auto"/>
              </w:rPr>
              <w:t xml:space="preserve">0.15 </w:t>
            </w:r>
          </w:p>
        </w:tc>
        <w:tc>
          <w:tcPr>
            <w:tcW w:w="592" w:type="pct"/>
            <w:noWrap/>
            <w:vAlign w:val="center"/>
          </w:tcPr>
          <w:p w14:paraId="45550350">
            <w:pPr>
              <w:pStyle w:val="44"/>
              <w:rPr>
                <w:color w:val="auto"/>
              </w:rPr>
            </w:pPr>
            <w:r>
              <w:rPr>
                <w:color w:val="auto"/>
              </w:rPr>
              <w:t>2003年</w:t>
            </w:r>
          </w:p>
        </w:tc>
      </w:tr>
      <w:tr w14:paraId="52E96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57C60B8">
            <w:pPr>
              <w:pStyle w:val="44"/>
              <w:rPr>
                <w:color w:val="auto"/>
              </w:rPr>
            </w:pPr>
            <w:r>
              <w:rPr>
                <w:color w:val="auto"/>
              </w:rPr>
              <w:t>7</w:t>
            </w:r>
          </w:p>
        </w:tc>
        <w:tc>
          <w:tcPr>
            <w:tcW w:w="530" w:type="pct"/>
            <w:vMerge w:val="continue"/>
            <w:vAlign w:val="center"/>
          </w:tcPr>
          <w:p w14:paraId="53F61FAC">
            <w:pPr>
              <w:pStyle w:val="44"/>
              <w:rPr>
                <w:color w:val="auto"/>
              </w:rPr>
            </w:pPr>
          </w:p>
        </w:tc>
        <w:tc>
          <w:tcPr>
            <w:tcW w:w="751" w:type="pct"/>
            <w:noWrap/>
            <w:vAlign w:val="center"/>
          </w:tcPr>
          <w:p w14:paraId="75C85D07">
            <w:pPr>
              <w:pStyle w:val="44"/>
              <w:rPr>
                <w:color w:val="auto"/>
              </w:rPr>
            </w:pPr>
            <w:r>
              <w:rPr>
                <w:color w:val="auto"/>
              </w:rPr>
              <w:t>D23-5/06</w:t>
            </w:r>
          </w:p>
        </w:tc>
        <w:tc>
          <w:tcPr>
            <w:tcW w:w="1844" w:type="pct"/>
            <w:noWrap/>
            <w:vAlign w:val="center"/>
          </w:tcPr>
          <w:p w14:paraId="71F41533">
            <w:pPr>
              <w:pStyle w:val="44"/>
              <w:rPr>
                <w:color w:val="auto"/>
              </w:rPr>
            </w:pPr>
            <w:r>
              <w:rPr>
                <w:color w:val="auto"/>
              </w:rPr>
              <w:t>国家电网</w:t>
            </w:r>
          </w:p>
        </w:tc>
        <w:tc>
          <w:tcPr>
            <w:tcW w:w="915" w:type="pct"/>
            <w:noWrap/>
            <w:vAlign w:val="center"/>
          </w:tcPr>
          <w:p w14:paraId="234AA938">
            <w:pPr>
              <w:pStyle w:val="44"/>
              <w:rPr>
                <w:color w:val="auto"/>
              </w:rPr>
            </w:pPr>
            <w:r>
              <w:rPr>
                <w:color w:val="auto"/>
              </w:rPr>
              <w:t xml:space="preserve">0.22 </w:t>
            </w:r>
          </w:p>
        </w:tc>
        <w:tc>
          <w:tcPr>
            <w:tcW w:w="592" w:type="pct"/>
            <w:noWrap/>
            <w:vAlign w:val="center"/>
          </w:tcPr>
          <w:p w14:paraId="1F566EB3">
            <w:pPr>
              <w:pStyle w:val="44"/>
              <w:rPr>
                <w:color w:val="auto"/>
              </w:rPr>
            </w:pPr>
            <w:r>
              <w:rPr>
                <w:color w:val="auto"/>
              </w:rPr>
              <w:t>2004年</w:t>
            </w:r>
          </w:p>
        </w:tc>
      </w:tr>
      <w:tr w14:paraId="55DA1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F79837A">
            <w:pPr>
              <w:pStyle w:val="44"/>
              <w:rPr>
                <w:color w:val="auto"/>
              </w:rPr>
            </w:pPr>
            <w:r>
              <w:rPr>
                <w:color w:val="auto"/>
              </w:rPr>
              <w:t>8</w:t>
            </w:r>
          </w:p>
        </w:tc>
        <w:tc>
          <w:tcPr>
            <w:tcW w:w="530" w:type="pct"/>
            <w:vMerge w:val="continue"/>
            <w:vAlign w:val="center"/>
          </w:tcPr>
          <w:p w14:paraId="3E42A017">
            <w:pPr>
              <w:pStyle w:val="44"/>
              <w:rPr>
                <w:color w:val="auto"/>
              </w:rPr>
            </w:pPr>
          </w:p>
        </w:tc>
        <w:tc>
          <w:tcPr>
            <w:tcW w:w="751" w:type="pct"/>
            <w:noWrap/>
            <w:vAlign w:val="center"/>
          </w:tcPr>
          <w:p w14:paraId="7FB5DDED">
            <w:pPr>
              <w:pStyle w:val="44"/>
              <w:rPr>
                <w:color w:val="auto"/>
              </w:rPr>
            </w:pPr>
            <w:r>
              <w:rPr>
                <w:color w:val="auto"/>
              </w:rPr>
              <w:t>D22-7/04</w:t>
            </w:r>
          </w:p>
        </w:tc>
        <w:tc>
          <w:tcPr>
            <w:tcW w:w="1844" w:type="pct"/>
            <w:noWrap/>
            <w:vAlign w:val="center"/>
          </w:tcPr>
          <w:p w14:paraId="355317EA">
            <w:pPr>
              <w:pStyle w:val="44"/>
              <w:rPr>
                <w:color w:val="auto"/>
              </w:rPr>
            </w:pPr>
            <w:r>
              <w:rPr>
                <w:color w:val="auto"/>
              </w:rPr>
              <w:t>中国石油</w:t>
            </w:r>
          </w:p>
        </w:tc>
        <w:tc>
          <w:tcPr>
            <w:tcW w:w="915" w:type="pct"/>
            <w:noWrap/>
            <w:vAlign w:val="center"/>
          </w:tcPr>
          <w:p w14:paraId="09DFFFEC">
            <w:pPr>
              <w:pStyle w:val="44"/>
              <w:rPr>
                <w:color w:val="auto"/>
              </w:rPr>
            </w:pPr>
            <w:r>
              <w:rPr>
                <w:color w:val="auto"/>
              </w:rPr>
              <w:t xml:space="preserve">0.78 </w:t>
            </w:r>
          </w:p>
        </w:tc>
        <w:tc>
          <w:tcPr>
            <w:tcW w:w="592" w:type="pct"/>
            <w:noWrap/>
            <w:vAlign w:val="center"/>
          </w:tcPr>
          <w:p w14:paraId="3E13477C">
            <w:pPr>
              <w:pStyle w:val="44"/>
              <w:rPr>
                <w:color w:val="auto"/>
              </w:rPr>
            </w:pPr>
            <w:r>
              <w:rPr>
                <w:color w:val="auto"/>
              </w:rPr>
              <w:t>2004年</w:t>
            </w:r>
          </w:p>
        </w:tc>
      </w:tr>
      <w:tr w14:paraId="71664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9786AD2">
            <w:pPr>
              <w:pStyle w:val="44"/>
              <w:rPr>
                <w:color w:val="auto"/>
              </w:rPr>
            </w:pPr>
            <w:r>
              <w:rPr>
                <w:color w:val="auto"/>
              </w:rPr>
              <w:t>合计</w:t>
            </w:r>
          </w:p>
        </w:tc>
        <w:tc>
          <w:tcPr>
            <w:tcW w:w="530" w:type="pct"/>
            <w:vMerge w:val="continue"/>
            <w:vAlign w:val="center"/>
          </w:tcPr>
          <w:p w14:paraId="189ACD14">
            <w:pPr>
              <w:pStyle w:val="44"/>
              <w:rPr>
                <w:color w:val="auto"/>
              </w:rPr>
            </w:pPr>
          </w:p>
        </w:tc>
        <w:tc>
          <w:tcPr>
            <w:tcW w:w="751" w:type="pct"/>
            <w:noWrap/>
            <w:vAlign w:val="center"/>
          </w:tcPr>
          <w:p w14:paraId="1D34549B">
            <w:pPr>
              <w:pStyle w:val="44"/>
              <w:rPr>
                <w:color w:val="auto"/>
              </w:rPr>
            </w:pPr>
            <w:r>
              <w:rPr>
                <w:color w:val="auto"/>
              </w:rPr>
              <w:t>　</w:t>
            </w:r>
          </w:p>
        </w:tc>
        <w:tc>
          <w:tcPr>
            <w:tcW w:w="1844" w:type="pct"/>
            <w:noWrap/>
            <w:vAlign w:val="center"/>
          </w:tcPr>
          <w:p w14:paraId="42BF842F">
            <w:pPr>
              <w:pStyle w:val="44"/>
              <w:rPr>
                <w:color w:val="auto"/>
              </w:rPr>
            </w:pPr>
            <w:r>
              <w:rPr>
                <w:color w:val="auto"/>
              </w:rPr>
              <w:t>　</w:t>
            </w:r>
          </w:p>
        </w:tc>
        <w:tc>
          <w:tcPr>
            <w:tcW w:w="915" w:type="pct"/>
            <w:noWrap/>
            <w:vAlign w:val="center"/>
          </w:tcPr>
          <w:p w14:paraId="1BCEC3B5">
            <w:pPr>
              <w:pStyle w:val="44"/>
              <w:rPr>
                <w:color w:val="auto"/>
              </w:rPr>
            </w:pPr>
            <w:r>
              <w:rPr>
                <w:color w:val="auto"/>
              </w:rPr>
              <w:t xml:space="preserve">9.82 </w:t>
            </w:r>
          </w:p>
        </w:tc>
        <w:tc>
          <w:tcPr>
            <w:tcW w:w="592" w:type="pct"/>
            <w:noWrap/>
            <w:vAlign w:val="center"/>
          </w:tcPr>
          <w:p w14:paraId="64D20DE4">
            <w:pPr>
              <w:pStyle w:val="44"/>
              <w:rPr>
                <w:color w:val="auto"/>
              </w:rPr>
            </w:pPr>
            <w:r>
              <w:rPr>
                <w:color w:val="auto"/>
              </w:rPr>
              <w:t>　</w:t>
            </w:r>
          </w:p>
        </w:tc>
      </w:tr>
      <w:tr w14:paraId="027A9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2D476D7">
            <w:pPr>
              <w:pStyle w:val="44"/>
              <w:rPr>
                <w:color w:val="auto"/>
              </w:rPr>
            </w:pPr>
            <w:r>
              <w:rPr>
                <w:color w:val="auto"/>
              </w:rPr>
              <w:t>1</w:t>
            </w:r>
          </w:p>
        </w:tc>
        <w:tc>
          <w:tcPr>
            <w:tcW w:w="530" w:type="pct"/>
            <w:vMerge w:val="restart"/>
            <w:vAlign w:val="center"/>
          </w:tcPr>
          <w:p w14:paraId="168701A9">
            <w:pPr>
              <w:pStyle w:val="44"/>
              <w:rPr>
                <w:color w:val="auto"/>
              </w:rPr>
            </w:pPr>
            <w:r>
              <w:rPr>
                <w:color w:val="auto"/>
              </w:rPr>
              <w:t>中梁山组团E标准分区</w:t>
            </w:r>
          </w:p>
        </w:tc>
        <w:tc>
          <w:tcPr>
            <w:tcW w:w="751" w:type="pct"/>
            <w:noWrap/>
            <w:vAlign w:val="center"/>
          </w:tcPr>
          <w:p w14:paraId="418E54E5">
            <w:pPr>
              <w:pStyle w:val="44"/>
              <w:rPr>
                <w:color w:val="auto"/>
              </w:rPr>
            </w:pPr>
            <w:r>
              <w:rPr>
                <w:color w:val="auto"/>
              </w:rPr>
              <w:t>E5-2-1/06</w:t>
            </w:r>
          </w:p>
        </w:tc>
        <w:tc>
          <w:tcPr>
            <w:tcW w:w="1844" w:type="pct"/>
            <w:noWrap/>
            <w:vAlign w:val="center"/>
          </w:tcPr>
          <w:p w14:paraId="66D66008">
            <w:pPr>
              <w:pStyle w:val="44"/>
              <w:rPr>
                <w:color w:val="auto"/>
              </w:rPr>
            </w:pPr>
            <w:r>
              <w:rPr>
                <w:color w:val="auto"/>
              </w:rPr>
              <w:t>伟岸.福缘尚城</w:t>
            </w:r>
          </w:p>
        </w:tc>
        <w:tc>
          <w:tcPr>
            <w:tcW w:w="915" w:type="pct"/>
            <w:noWrap/>
            <w:vAlign w:val="center"/>
          </w:tcPr>
          <w:p w14:paraId="418C08DA">
            <w:pPr>
              <w:pStyle w:val="44"/>
              <w:rPr>
                <w:color w:val="auto"/>
              </w:rPr>
            </w:pPr>
            <w:r>
              <w:rPr>
                <w:color w:val="auto"/>
              </w:rPr>
              <w:t xml:space="preserve">0.96 </w:t>
            </w:r>
          </w:p>
        </w:tc>
        <w:tc>
          <w:tcPr>
            <w:tcW w:w="592" w:type="pct"/>
            <w:noWrap/>
            <w:vAlign w:val="center"/>
          </w:tcPr>
          <w:p w14:paraId="48E12376">
            <w:pPr>
              <w:pStyle w:val="44"/>
              <w:rPr>
                <w:color w:val="auto"/>
              </w:rPr>
            </w:pPr>
            <w:r>
              <w:rPr>
                <w:color w:val="auto"/>
              </w:rPr>
              <w:t>2005年</w:t>
            </w:r>
          </w:p>
        </w:tc>
      </w:tr>
      <w:tr w14:paraId="745C8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31A9818">
            <w:pPr>
              <w:pStyle w:val="44"/>
              <w:rPr>
                <w:color w:val="auto"/>
              </w:rPr>
            </w:pPr>
            <w:r>
              <w:rPr>
                <w:color w:val="auto"/>
              </w:rPr>
              <w:t>2</w:t>
            </w:r>
          </w:p>
        </w:tc>
        <w:tc>
          <w:tcPr>
            <w:tcW w:w="530" w:type="pct"/>
            <w:vMerge w:val="continue"/>
            <w:vAlign w:val="center"/>
          </w:tcPr>
          <w:p w14:paraId="0AED15A8">
            <w:pPr>
              <w:pStyle w:val="44"/>
              <w:rPr>
                <w:color w:val="auto"/>
              </w:rPr>
            </w:pPr>
          </w:p>
        </w:tc>
        <w:tc>
          <w:tcPr>
            <w:tcW w:w="751" w:type="pct"/>
            <w:noWrap/>
            <w:vAlign w:val="center"/>
          </w:tcPr>
          <w:p w14:paraId="3AC18EA8">
            <w:pPr>
              <w:pStyle w:val="44"/>
              <w:rPr>
                <w:color w:val="auto"/>
              </w:rPr>
            </w:pPr>
            <w:r>
              <w:rPr>
                <w:color w:val="auto"/>
              </w:rPr>
              <w:t>E4-1/02</w:t>
            </w:r>
          </w:p>
        </w:tc>
        <w:tc>
          <w:tcPr>
            <w:tcW w:w="1844" w:type="pct"/>
            <w:noWrap/>
            <w:vAlign w:val="center"/>
          </w:tcPr>
          <w:p w14:paraId="339BABF0">
            <w:pPr>
              <w:pStyle w:val="44"/>
              <w:rPr>
                <w:color w:val="auto"/>
              </w:rPr>
            </w:pPr>
            <w:r>
              <w:rPr>
                <w:color w:val="auto"/>
              </w:rPr>
              <w:t>华龙苑小区</w:t>
            </w:r>
          </w:p>
        </w:tc>
        <w:tc>
          <w:tcPr>
            <w:tcW w:w="915" w:type="pct"/>
            <w:noWrap/>
            <w:vAlign w:val="center"/>
          </w:tcPr>
          <w:p w14:paraId="77DBB417">
            <w:pPr>
              <w:pStyle w:val="44"/>
              <w:rPr>
                <w:color w:val="auto"/>
              </w:rPr>
            </w:pPr>
            <w:r>
              <w:rPr>
                <w:color w:val="auto"/>
              </w:rPr>
              <w:t xml:space="preserve">1.20 </w:t>
            </w:r>
          </w:p>
        </w:tc>
        <w:tc>
          <w:tcPr>
            <w:tcW w:w="592" w:type="pct"/>
            <w:noWrap/>
            <w:vAlign w:val="center"/>
          </w:tcPr>
          <w:p w14:paraId="421992E5">
            <w:pPr>
              <w:pStyle w:val="44"/>
              <w:rPr>
                <w:color w:val="auto"/>
              </w:rPr>
            </w:pPr>
            <w:r>
              <w:rPr>
                <w:color w:val="auto"/>
              </w:rPr>
              <w:t>2002年</w:t>
            </w:r>
          </w:p>
        </w:tc>
      </w:tr>
      <w:tr w14:paraId="7B799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B897DFC">
            <w:pPr>
              <w:pStyle w:val="44"/>
              <w:rPr>
                <w:color w:val="auto"/>
              </w:rPr>
            </w:pPr>
            <w:r>
              <w:rPr>
                <w:color w:val="auto"/>
              </w:rPr>
              <w:t>3</w:t>
            </w:r>
          </w:p>
        </w:tc>
        <w:tc>
          <w:tcPr>
            <w:tcW w:w="530" w:type="pct"/>
            <w:vMerge w:val="continue"/>
            <w:vAlign w:val="center"/>
          </w:tcPr>
          <w:p w14:paraId="74ED6509">
            <w:pPr>
              <w:pStyle w:val="44"/>
              <w:rPr>
                <w:color w:val="auto"/>
              </w:rPr>
            </w:pPr>
          </w:p>
        </w:tc>
        <w:tc>
          <w:tcPr>
            <w:tcW w:w="751" w:type="pct"/>
            <w:noWrap/>
            <w:vAlign w:val="center"/>
          </w:tcPr>
          <w:p w14:paraId="36D86599">
            <w:pPr>
              <w:pStyle w:val="44"/>
              <w:rPr>
                <w:color w:val="auto"/>
              </w:rPr>
            </w:pPr>
            <w:r>
              <w:rPr>
                <w:color w:val="auto"/>
              </w:rPr>
              <w:t>E6-2/03</w:t>
            </w:r>
          </w:p>
        </w:tc>
        <w:tc>
          <w:tcPr>
            <w:tcW w:w="1844" w:type="pct"/>
            <w:noWrap/>
            <w:vAlign w:val="center"/>
          </w:tcPr>
          <w:p w14:paraId="34048EC1">
            <w:pPr>
              <w:pStyle w:val="44"/>
              <w:rPr>
                <w:color w:val="auto"/>
              </w:rPr>
            </w:pPr>
            <w:r>
              <w:rPr>
                <w:color w:val="auto"/>
              </w:rPr>
              <w:t>华龙苑小区</w:t>
            </w:r>
          </w:p>
        </w:tc>
        <w:tc>
          <w:tcPr>
            <w:tcW w:w="915" w:type="pct"/>
            <w:noWrap/>
            <w:vAlign w:val="center"/>
          </w:tcPr>
          <w:p w14:paraId="05CFAB1E">
            <w:pPr>
              <w:pStyle w:val="44"/>
              <w:rPr>
                <w:color w:val="auto"/>
              </w:rPr>
            </w:pPr>
            <w:r>
              <w:rPr>
                <w:color w:val="auto"/>
              </w:rPr>
              <w:t xml:space="preserve">1.93 </w:t>
            </w:r>
          </w:p>
        </w:tc>
        <w:tc>
          <w:tcPr>
            <w:tcW w:w="592" w:type="pct"/>
            <w:noWrap/>
            <w:vAlign w:val="center"/>
          </w:tcPr>
          <w:p w14:paraId="2B2CB82F">
            <w:pPr>
              <w:pStyle w:val="44"/>
              <w:rPr>
                <w:color w:val="auto"/>
              </w:rPr>
            </w:pPr>
            <w:r>
              <w:rPr>
                <w:color w:val="auto"/>
              </w:rPr>
              <w:t>2002年</w:t>
            </w:r>
          </w:p>
        </w:tc>
      </w:tr>
      <w:tr w14:paraId="01F07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6F12E96">
            <w:pPr>
              <w:pStyle w:val="44"/>
              <w:rPr>
                <w:color w:val="auto"/>
              </w:rPr>
            </w:pPr>
            <w:r>
              <w:rPr>
                <w:color w:val="auto"/>
              </w:rPr>
              <w:t>4</w:t>
            </w:r>
          </w:p>
        </w:tc>
        <w:tc>
          <w:tcPr>
            <w:tcW w:w="530" w:type="pct"/>
            <w:vMerge w:val="continue"/>
            <w:vAlign w:val="center"/>
          </w:tcPr>
          <w:p w14:paraId="0E81AB9B">
            <w:pPr>
              <w:pStyle w:val="44"/>
              <w:rPr>
                <w:color w:val="auto"/>
              </w:rPr>
            </w:pPr>
          </w:p>
        </w:tc>
        <w:tc>
          <w:tcPr>
            <w:tcW w:w="751" w:type="pct"/>
            <w:noWrap/>
            <w:vAlign w:val="center"/>
          </w:tcPr>
          <w:p w14:paraId="240B4041">
            <w:pPr>
              <w:pStyle w:val="44"/>
              <w:rPr>
                <w:color w:val="auto"/>
              </w:rPr>
            </w:pPr>
            <w:r>
              <w:rPr>
                <w:color w:val="auto"/>
              </w:rPr>
              <w:t>E7-2-1/03</w:t>
            </w:r>
          </w:p>
        </w:tc>
        <w:tc>
          <w:tcPr>
            <w:tcW w:w="1844" w:type="pct"/>
            <w:noWrap/>
            <w:vAlign w:val="center"/>
          </w:tcPr>
          <w:p w14:paraId="4EE75DB4">
            <w:pPr>
              <w:pStyle w:val="44"/>
              <w:rPr>
                <w:color w:val="auto"/>
              </w:rPr>
            </w:pPr>
            <w:r>
              <w:rPr>
                <w:color w:val="auto"/>
              </w:rPr>
              <w:t>华龙苑小区</w:t>
            </w:r>
          </w:p>
        </w:tc>
        <w:tc>
          <w:tcPr>
            <w:tcW w:w="915" w:type="pct"/>
            <w:noWrap/>
            <w:vAlign w:val="center"/>
          </w:tcPr>
          <w:p w14:paraId="0706B16A">
            <w:pPr>
              <w:pStyle w:val="44"/>
              <w:rPr>
                <w:color w:val="auto"/>
              </w:rPr>
            </w:pPr>
            <w:r>
              <w:rPr>
                <w:color w:val="auto"/>
              </w:rPr>
              <w:t xml:space="preserve">1.38 </w:t>
            </w:r>
          </w:p>
        </w:tc>
        <w:tc>
          <w:tcPr>
            <w:tcW w:w="592" w:type="pct"/>
            <w:noWrap/>
            <w:vAlign w:val="center"/>
          </w:tcPr>
          <w:p w14:paraId="0AA3D6DC">
            <w:pPr>
              <w:pStyle w:val="44"/>
              <w:rPr>
                <w:color w:val="auto"/>
              </w:rPr>
            </w:pPr>
            <w:r>
              <w:rPr>
                <w:color w:val="auto"/>
              </w:rPr>
              <w:t>2002年</w:t>
            </w:r>
          </w:p>
        </w:tc>
      </w:tr>
      <w:tr w14:paraId="40D84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841A8F2">
            <w:pPr>
              <w:pStyle w:val="44"/>
              <w:rPr>
                <w:color w:val="auto"/>
              </w:rPr>
            </w:pPr>
            <w:r>
              <w:rPr>
                <w:color w:val="auto"/>
              </w:rPr>
              <w:t>5</w:t>
            </w:r>
          </w:p>
        </w:tc>
        <w:tc>
          <w:tcPr>
            <w:tcW w:w="530" w:type="pct"/>
            <w:vMerge w:val="continue"/>
            <w:vAlign w:val="center"/>
          </w:tcPr>
          <w:p w14:paraId="74FAC46B">
            <w:pPr>
              <w:pStyle w:val="44"/>
              <w:rPr>
                <w:color w:val="auto"/>
              </w:rPr>
            </w:pPr>
          </w:p>
        </w:tc>
        <w:tc>
          <w:tcPr>
            <w:tcW w:w="751" w:type="pct"/>
            <w:noWrap/>
            <w:vAlign w:val="center"/>
          </w:tcPr>
          <w:p w14:paraId="3FCF7C5B">
            <w:pPr>
              <w:pStyle w:val="44"/>
              <w:rPr>
                <w:color w:val="auto"/>
              </w:rPr>
            </w:pPr>
            <w:r>
              <w:rPr>
                <w:color w:val="auto"/>
              </w:rPr>
              <w:t>E9-5-2/06</w:t>
            </w:r>
          </w:p>
        </w:tc>
        <w:tc>
          <w:tcPr>
            <w:tcW w:w="1844" w:type="pct"/>
            <w:noWrap/>
            <w:vAlign w:val="center"/>
          </w:tcPr>
          <w:p w14:paraId="18ED6AB0">
            <w:pPr>
              <w:pStyle w:val="44"/>
              <w:rPr>
                <w:color w:val="auto"/>
              </w:rPr>
            </w:pPr>
            <w:r>
              <w:rPr>
                <w:color w:val="auto"/>
              </w:rPr>
              <w:t>华伟农业</w:t>
            </w:r>
          </w:p>
        </w:tc>
        <w:tc>
          <w:tcPr>
            <w:tcW w:w="915" w:type="pct"/>
            <w:noWrap/>
            <w:vAlign w:val="center"/>
          </w:tcPr>
          <w:p w14:paraId="1AE20C7F">
            <w:pPr>
              <w:pStyle w:val="44"/>
              <w:rPr>
                <w:color w:val="auto"/>
              </w:rPr>
            </w:pPr>
            <w:r>
              <w:rPr>
                <w:color w:val="auto"/>
              </w:rPr>
              <w:t xml:space="preserve">2.59 </w:t>
            </w:r>
          </w:p>
        </w:tc>
        <w:tc>
          <w:tcPr>
            <w:tcW w:w="592" w:type="pct"/>
            <w:noWrap/>
            <w:vAlign w:val="center"/>
          </w:tcPr>
          <w:p w14:paraId="759D9696">
            <w:pPr>
              <w:pStyle w:val="44"/>
              <w:rPr>
                <w:color w:val="auto"/>
              </w:rPr>
            </w:pPr>
            <w:r>
              <w:rPr>
                <w:color w:val="auto"/>
              </w:rPr>
              <w:t>2006年</w:t>
            </w:r>
          </w:p>
        </w:tc>
      </w:tr>
      <w:tr w14:paraId="4ABBC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02E4B7A">
            <w:pPr>
              <w:pStyle w:val="44"/>
              <w:rPr>
                <w:color w:val="auto"/>
              </w:rPr>
            </w:pPr>
            <w:r>
              <w:rPr>
                <w:color w:val="auto"/>
              </w:rPr>
              <w:t>6</w:t>
            </w:r>
          </w:p>
        </w:tc>
        <w:tc>
          <w:tcPr>
            <w:tcW w:w="530" w:type="pct"/>
            <w:vMerge w:val="continue"/>
            <w:vAlign w:val="center"/>
          </w:tcPr>
          <w:p w14:paraId="45784AE9">
            <w:pPr>
              <w:pStyle w:val="44"/>
              <w:rPr>
                <w:color w:val="auto"/>
              </w:rPr>
            </w:pPr>
          </w:p>
        </w:tc>
        <w:tc>
          <w:tcPr>
            <w:tcW w:w="751" w:type="pct"/>
            <w:vMerge w:val="restart"/>
            <w:noWrap/>
            <w:vAlign w:val="center"/>
          </w:tcPr>
          <w:p w14:paraId="3692CF06">
            <w:pPr>
              <w:pStyle w:val="44"/>
              <w:rPr>
                <w:color w:val="auto"/>
              </w:rPr>
            </w:pPr>
            <w:r>
              <w:rPr>
                <w:color w:val="auto"/>
              </w:rPr>
              <w:t>E3/04</w:t>
            </w:r>
          </w:p>
        </w:tc>
        <w:tc>
          <w:tcPr>
            <w:tcW w:w="1844" w:type="pct"/>
            <w:noWrap/>
            <w:vAlign w:val="center"/>
          </w:tcPr>
          <w:p w14:paraId="0522A85B">
            <w:pPr>
              <w:pStyle w:val="44"/>
              <w:rPr>
                <w:color w:val="auto"/>
              </w:rPr>
            </w:pPr>
            <w:r>
              <w:rPr>
                <w:color w:val="auto"/>
              </w:rPr>
              <w:t>大顺不锈钢产业园</w:t>
            </w:r>
          </w:p>
        </w:tc>
        <w:tc>
          <w:tcPr>
            <w:tcW w:w="915" w:type="pct"/>
            <w:vMerge w:val="restart"/>
            <w:noWrap/>
            <w:vAlign w:val="center"/>
          </w:tcPr>
          <w:p w14:paraId="17AD6E3E">
            <w:pPr>
              <w:pStyle w:val="44"/>
              <w:rPr>
                <w:color w:val="auto"/>
              </w:rPr>
            </w:pPr>
            <w:r>
              <w:rPr>
                <w:color w:val="auto"/>
              </w:rPr>
              <w:t xml:space="preserve">7.73 </w:t>
            </w:r>
          </w:p>
        </w:tc>
        <w:tc>
          <w:tcPr>
            <w:tcW w:w="592" w:type="pct"/>
            <w:noWrap/>
            <w:vAlign w:val="center"/>
          </w:tcPr>
          <w:p w14:paraId="4ED66B1E">
            <w:pPr>
              <w:pStyle w:val="44"/>
              <w:rPr>
                <w:color w:val="auto"/>
              </w:rPr>
            </w:pPr>
            <w:r>
              <w:rPr>
                <w:color w:val="auto"/>
              </w:rPr>
              <w:t>2005年</w:t>
            </w:r>
          </w:p>
        </w:tc>
      </w:tr>
      <w:tr w14:paraId="14C17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33E8F38">
            <w:pPr>
              <w:pStyle w:val="44"/>
              <w:rPr>
                <w:color w:val="auto"/>
              </w:rPr>
            </w:pPr>
            <w:r>
              <w:rPr>
                <w:color w:val="auto"/>
              </w:rPr>
              <w:t>7</w:t>
            </w:r>
          </w:p>
        </w:tc>
        <w:tc>
          <w:tcPr>
            <w:tcW w:w="530" w:type="pct"/>
            <w:vMerge w:val="continue"/>
            <w:vAlign w:val="center"/>
          </w:tcPr>
          <w:p w14:paraId="1FF54AD9">
            <w:pPr>
              <w:pStyle w:val="44"/>
              <w:rPr>
                <w:color w:val="auto"/>
              </w:rPr>
            </w:pPr>
          </w:p>
        </w:tc>
        <w:tc>
          <w:tcPr>
            <w:tcW w:w="751" w:type="pct"/>
            <w:vMerge w:val="continue"/>
            <w:vAlign w:val="center"/>
          </w:tcPr>
          <w:p w14:paraId="2DC994D1">
            <w:pPr>
              <w:pStyle w:val="44"/>
              <w:rPr>
                <w:color w:val="auto"/>
              </w:rPr>
            </w:pPr>
          </w:p>
        </w:tc>
        <w:tc>
          <w:tcPr>
            <w:tcW w:w="1844" w:type="pct"/>
            <w:noWrap/>
            <w:vAlign w:val="center"/>
          </w:tcPr>
          <w:p w14:paraId="228644DD">
            <w:pPr>
              <w:pStyle w:val="44"/>
              <w:rPr>
                <w:color w:val="auto"/>
              </w:rPr>
            </w:pPr>
            <w:r>
              <w:rPr>
                <w:color w:val="auto"/>
              </w:rPr>
              <w:t>重庆智慧水务有限公司</w:t>
            </w:r>
          </w:p>
        </w:tc>
        <w:tc>
          <w:tcPr>
            <w:tcW w:w="915" w:type="pct"/>
            <w:vMerge w:val="continue"/>
            <w:vAlign w:val="center"/>
          </w:tcPr>
          <w:p w14:paraId="3C0BCB51">
            <w:pPr>
              <w:pStyle w:val="44"/>
              <w:rPr>
                <w:color w:val="auto"/>
              </w:rPr>
            </w:pPr>
          </w:p>
        </w:tc>
        <w:tc>
          <w:tcPr>
            <w:tcW w:w="592" w:type="pct"/>
            <w:noWrap/>
            <w:vAlign w:val="center"/>
          </w:tcPr>
          <w:p w14:paraId="60BFBC57">
            <w:pPr>
              <w:pStyle w:val="44"/>
              <w:rPr>
                <w:color w:val="auto"/>
              </w:rPr>
            </w:pPr>
            <w:r>
              <w:rPr>
                <w:color w:val="auto"/>
              </w:rPr>
              <w:t>2006年</w:t>
            </w:r>
          </w:p>
        </w:tc>
      </w:tr>
      <w:tr w14:paraId="70991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814319D">
            <w:pPr>
              <w:pStyle w:val="44"/>
              <w:rPr>
                <w:color w:val="auto"/>
              </w:rPr>
            </w:pPr>
            <w:r>
              <w:rPr>
                <w:color w:val="auto"/>
              </w:rPr>
              <w:t>8</w:t>
            </w:r>
          </w:p>
        </w:tc>
        <w:tc>
          <w:tcPr>
            <w:tcW w:w="530" w:type="pct"/>
            <w:vMerge w:val="continue"/>
            <w:vAlign w:val="center"/>
          </w:tcPr>
          <w:p w14:paraId="02F8E5D9">
            <w:pPr>
              <w:pStyle w:val="44"/>
              <w:rPr>
                <w:color w:val="auto"/>
              </w:rPr>
            </w:pPr>
          </w:p>
        </w:tc>
        <w:tc>
          <w:tcPr>
            <w:tcW w:w="751" w:type="pct"/>
            <w:noWrap/>
            <w:vAlign w:val="center"/>
          </w:tcPr>
          <w:p w14:paraId="247B3070">
            <w:pPr>
              <w:pStyle w:val="44"/>
              <w:rPr>
                <w:color w:val="auto"/>
              </w:rPr>
            </w:pPr>
            <w:r>
              <w:rPr>
                <w:color w:val="auto"/>
              </w:rPr>
              <w:t>E5-1/04</w:t>
            </w:r>
          </w:p>
        </w:tc>
        <w:tc>
          <w:tcPr>
            <w:tcW w:w="1844" w:type="pct"/>
            <w:noWrap/>
            <w:vAlign w:val="center"/>
          </w:tcPr>
          <w:p w14:paraId="536A6E06">
            <w:pPr>
              <w:pStyle w:val="44"/>
              <w:rPr>
                <w:color w:val="auto"/>
              </w:rPr>
            </w:pPr>
            <w:r>
              <w:rPr>
                <w:color w:val="auto"/>
              </w:rPr>
              <w:t>大顺电器有限公司</w:t>
            </w:r>
          </w:p>
        </w:tc>
        <w:tc>
          <w:tcPr>
            <w:tcW w:w="915" w:type="pct"/>
            <w:noWrap/>
            <w:vAlign w:val="center"/>
          </w:tcPr>
          <w:p w14:paraId="65D74FE4">
            <w:pPr>
              <w:pStyle w:val="44"/>
              <w:rPr>
                <w:color w:val="auto"/>
              </w:rPr>
            </w:pPr>
            <w:r>
              <w:rPr>
                <w:color w:val="auto"/>
              </w:rPr>
              <w:t xml:space="preserve">1.09 </w:t>
            </w:r>
          </w:p>
        </w:tc>
        <w:tc>
          <w:tcPr>
            <w:tcW w:w="592" w:type="pct"/>
            <w:noWrap/>
            <w:vAlign w:val="center"/>
          </w:tcPr>
          <w:p w14:paraId="4D8C6C8D">
            <w:pPr>
              <w:pStyle w:val="44"/>
              <w:rPr>
                <w:color w:val="auto"/>
              </w:rPr>
            </w:pPr>
            <w:r>
              <w:rPr>
                <w:color w:val="auto"/>
              </w:rPr>
              <w:t>2005年</w:t>
            </w:r>
          </w:p>
        </w:tc>
      </w:tr>
      <w:tr w14:paraId="50357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00DD73A">
            <w:pPr>
              <w:pStyle w:val="44"/>
              <w:rPr>
                <w:color w:val="auto"/>
              </w:rPr>
            </w:pPr>
            <w:r>
              <w:rPr>
                <w:color w:val="auto"/>
              </w:rPr>
              <w:t>9</w:t>
            </w:r>
          </w:p>
        </w:tc>
        <w:tc>
          <w:tcPr>
            <w:tcW w:w="530" w:type="pct"/>
            <w:vMerge w:val="continue"/>
            <w:vAlign w:val="center"/>
          </w:tcPr>
          <w:p w14:paraId="5312EE55">
            <w:pPr>
              <w:pStyle w:val="44"/>
              <w:rPr>
                <w:color w:val="auto"/>
              </w:rPr>
            </w:pPr>
          </w:p>
        </w:tc>
        <w:tc>
          <w:tcPr>
            <w:tcW w:w="751" w:type="pct"/>
            <w:noWrap/>
            <w:vAlign w:val="center"/>
          </w:tcPr>
          <w:p w14:paraId="0348F1A5">
            <w:pPr>
              <w:pStyle w:val="44"/>
              <w:rPr>
                <w:color w:val="auto"/>
              </w:rPr>
            </w:pPr>
            <w:r>
              <w:rPr>
                <w:color w:val="auto"/>
              </w:rPr>
              <w:t>E20-1/05</w:t>
            </w:r>
          </w:p>
        </w:tc>
        <w:tc>
          <w:tcPr>
            <w:tcW w:w="1844" w:type="pct"/>
            <w:noWrap/>
            <w:vAlign w:val="center"/>
          </w:tcPr>
          <w:p w14:paraId="69667370">
            <w:pPr>
              <w:pStyle w:val="44"/>
              <w:rPr>
                <w:color w:val="auto"/>
              </w:rPr>
            </w:pPr>
            <w:r>
              <w:rPr>
                <w:color w:val="auto"/>
              </w:rPr>
              <w:t>重庆新世界建材市场</w:t>
            </w:r>
          </w:p>
        </w:tc>
        <w:tc>
          <w:tcPr>
            <w:tcW w:w="915" w:type="pct"/>
            <w:noWrap/>
            <w:vAlign w:val="center"/>
          </w:tcPr>
          <w:p w14:paraId="0DC167AA">
            <w:pPr>
              <w:pStyle w:val="44"/>
              <w:rPr>
                <w:color w:val="auto"/>
              </w:rPr>
            </w:pPr>
            <w:r>
              <w:rPr>
                <w:color w:val="auto"/>
              </w:rPr>
              <w:t xml:space="preserve">3.25 </w:t>
            </w:r>
          </w:p>
        </w:tc>
        <w:tc>
          <w:tcPr>
            <w:tcW w:w="592" w:type="pct"/>
            <w:noWrap/>
            <w:vAlign w:val="center"/>
          </w:tcPr>
          <w:p w14:paraId="1EC02171">
            <w:pPr>
              <w:pStyle w:val="44"/>
              <w:rPr>
                <w:color w:val="auto"/>
              </w:rPr>
            </w:pPr>
            <w:r>
              <w:rPr>
                <w:color w:val="auto"/>
              </w:rPr>
              <w:t>2003年</w:t>
            </w:r>
          </w:p>
        </w:tc>
      </w:tr>
      <w:tr w14:paraId="05454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08EF12C">
            <w:pPr>
              <w:pStyle w:val="44"/>
              <w:rPr>
                <w:color w:val="auto"/>
              </w:rPr>
            </w:pPr>
            <w:r>
              <w:rPr>
                <w:color w:val="auto"/>
              </w:rPr>
              <w:t>10</w:t>
            </w:r>
          </w:p>
        </w:tc>
        <w:tc>
          <w:tcPr>
            <w:tcW w:w="530" w:type="pct"/>
            <w:vMerge w:val="continue"/>
            <w:vAlign w:val="center"/>
          </w:tcPr>
          <w:p w14:paraId="6DC32F12">
            <w:pPr>
              <w:pStyle w:val="44"/>
              <w:rPr>
                <w:color w:val="auto"/>
              </w:rPr>
            </w:pPr>
          </w:p>
        </w:tc>
        <w:tc>
          <w:tcPr>
            <w:tcW w:w="751" w:type="pct"/>
            <w:noWrap/>
            <w:vAlign w:val="center"/>
          </w:tcPr>
          <w:p w14:paraId="6ED8419B">
            <w:pPr>
              <w:pStyle w:val="44"/>
              <w:rPr>
                <w:color w:val="auto"/>
              </w:rPr>
            </w:pPr>
            <w:r>
              <w:rPr>
                <w:color w:val="auto"/>
              </w:rPr>
              <w:t>E20-2/05</w:t>
            </w:r>
          </w:p>
        </w:tc>
        <w:tc>
          <w:tcPr>
            <w:tcW w:w="1844" w:type="pct"/>
            <w:noWrap/>
            <w:vAlign w:val="center"/>
          </w:tcPr>
          <w:p w14:paraId="5AFA5E92">
            <w:pPr>
              <w:pStyle w:val="44"/>
              <w:rPr>
                <w:color w:val="auto"/>
              </w:rPr>
            </w:pPr>
            <w:r>
              <w:rPr>
                <w:color w:val="auto"/>
              </w:rPr>
              <w:t>重庆新世界建材市场</w:t>
            </w:r>
          </w:p>
        </w:tc>
        <w:tc>
          <w:tcPr>
            <w:tcW w:w="915" w:type="pct"/>
            <w:noWrap/>
            <w:vAlign w:val="center"/>
          </w:tcPr>
          <w:p w14:paraId="6FE28BC1">
            <w:pPr>
              <w:pStyle w:val="44"/>
              <w:rPr>
                <w:color w:val="auto"/>
              </w:rPr>
            </w:pPr>
            <w:r>
              <w:rPr>
                <w:color w:val="auto"/>
              </w:rPr>
              <w:t xml:space="preserve">3.96 </w:t>
            </w:r>
          </w:p>
        </w:tc>
        <w:tc>
          <w:tcPr>
            <w:tcW w:w="592" w:type="pct"/>
            <w:noWrap/>
            <w:vAlign w:val="center"/>
          </w:tcPr>
          <w:p w14:paraId="7AF1EE82">
            <w:pPr>
              <w:pStyle w:val="44"/>
              <w:rPr>
                <w:color w:val="auto"/>
              </w:rPr>
            </w:pPr>
            <w:r>
              <w:rPr>
                <w:color w:val="auto"/>
              </w:rPr>
              <w:t>2003年</w:t>
            </w:r>
          </w:p>
        </w:tc>
      </w:tr>
      <w:tr w14:paraId="7791B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E8174C1">
            <w:pPr>
              <w:pStyle w:val="44"/>
              <w:rPr>
                <w:color w:val="auto"/>
              </w:rPr>
            </w:pPr>
            <w:r>
              <w:rPr>
                <w:color w:val="auto"/>
              </w:rPr>
              <w:t>11</w:t>
            </w:r>
          </w:p>
        </w:tc>
        <w:tc>
          <w:tcPr>
            <w:tcW w:w="530" w:type="pct"/>
            <w:vMerge w:val="continue"/>
            <w:vAlign w:val="center"/>
          </w:tcPr>
          <w:p w14:paraId="64C1C7D1">
            <w:pPr>
              <w:pStyle w:val="44"/>
              <w:rPr>
                <w:color w:val="auto"/>
              </w:rPr>
            </w:pPr>
          </w:p>
        </w:tc>
        <w:tc>
          <w:tcPr>
            <w:tcW w:w="751" w:type="pct"/>
            <w:noWrap/>
            <w:vAlign w:val="center"/>
          </w:tcPr>
          <w:p w14:paraId="7C22A33C">
            <w:pPr>
              <w:pStyle w:val="44"/>
              <w:rPr>
                <w:color w:val="auto"/>
              </w:rPr>
            </w:pPr>
            <w:r>
              <w:rPr>
                <w:color w:val="auto"/>
              </w:rPr>
              <w:t>E20-3/05</w:t>
            </w:r>
          </w:p>
        </w:tc>
        <w:tc>
          <w:tcPr>
            <w:tcW w:w="1844" w:type="pct"/>
            <w:noWrap/>
            <w:vAlign w:val="center"/>
          </w:tcPr>
          <w:p w14:paraId="488FED97">
            <w:pPr>
              <w:pStyle w:val="44"/>
              <w:rPr>
                <w:color w:val="auto"/>
              </w:rPr>
            </w:pPr>
            <w:r>
              <w:rPr>
                <w:color w:val="auto"/>
              </w:rPr>
              <w:t>重庆新世界建材市场</w:t>
            </w:r>
          </w:p>
        </w:tc>
        <w:tc>
          <w:tcPr>
            <w:tcW w:w="915" w:type="pct"/>
            <w:noWrap/>
            <w:vAlign w:val="center"/>
          </w:tcPr>
          <w:p w14:paraId="64055ACF">
            <w:pPr>
              <w:pStyle w:val="44"/>
              <w:rPr>
                <w:color w:val="auto"/>
              </w:rPr>
            </w:pPr>
            <w:r>
              <w:rPr>
                <w:color w:val="auto"/>
              </w:rPr>
              <w:t xml:space="preserve">2.54 </w:t>
            </w:r>
          </w:p>
        </w:tc>
        <w:tc>
          <w:tcPr>
            <w:tcW w:w="592" w:type="pct"/>
            <w:noWrap/>
            <w:vAlign w:val="center"/>
          </w:tcPr>
          <w:p w14:paraId="6A9702A9">
            <w:pPr>
              <w:pStyle w:val="44"/>
              <w:rPr>
                <w:color w:val="auto"/>
              </w:rPr>
            </w:pPr>
            <w:r>
              <w:rPr>
                <w:color w:val="auto"/>
              </w:rPr>
              <w:t>2003年</w:t>
            </w:r>
          </w:p>
        </w:tc>
      </w:tr>
      <w:tr w14:paraId="48052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2081F9B">
            <w:pPr>
              <w:pStyle w:val="44"/>
              <w:rPr>
                <w:color w:val="auto"/>
              </w:rPr>
            </w:pPr>
            <w:r>
              <w:rPr>
                <w:color w:val="auto"/>
              </w:rPr>
              <w:t>12</w:t>
            </w:r>
          </w:p>
        </w:tc>
        <w:tc>
          <w:tcPr>
            <w:tcW w:w="530" w:type="pct"/>
            <w:vMerge w:val="continue"/>
            <w:vAlign w:val="center"/>
          </w:tcPr>
          <w:p w14:paraId="66F760EF">
            <w:pPr>
              <w:pStyle w:val="44"/>
              <w:rPr>
                <w:color w:val="auto"/>
              </w:rPr>
            </w:pPr>
          </w:p>
        </w:tc>
        <w:tc>
          <w:tcPr>
            <w:tcW w:w="751" w:type="pct"/>
            <w:noWrap/>
            <w:vAlign w:val="center"/>
          </w:tcPr>
          <w:p w14:paraId="72A1698B">
            <w:pPr>
              <w:pStyle w:val="44"/>
              <w:rPr>
                <w:color w:val="auto"/>
              </w:rPr>
            </w:pPr>
            <w:r>
              <w:rPr>
                <w:color w:val="auto"/>
              </w:rPr>
              <w:t>E20-4/05</w:t>
            </w:r>
          </w:p>
        </w:tc>
        <w:tc>
          <w:tcPr>
            <w:tcW w:w="1844" w:type="pct"/>
            <w:noWrap/>
            <w:vAlign w:val="center"/>
          </w:tcPr>
          <w:p w14:paraId="1F6416BB">
            <w:pPr>
              <w:pStyle w:val="44"/>
              <w:rPr>
                <w:color w:val="auto"/>
              </w:rPr>
            </w:pPr>
            <w:r>
              <w:rPr>
                <w:color w:val="auto"/>
              </w:rPr>
              <w:t>重庆新世界建材市场</w:t>
            </w:r>
          </w:p>
        </w:tc>
        <w:tc>
          <w:tcPr>
            <w:tcW w:w="915" w:type="pct"/>
            <w:noWrap/>
            <w:vAlign w:val="center"/>
          </w:tcPr>
          <w:p w14:paraId="435BB293">
            <w:pPr>
              <w:pStyle w:val="44"/>
              <w:rPr>
                <w:color w:val="auto"/>
              </w:rPr>
            </w:pPr>
            <w:r>
              <w:rPr>
                <w:color w:val="auto"/>
              </w:rPr>
              <w:t xml:space="preserve">3.66 </w:t>
            </w:r>
          </w:p>
        </w:tc>
        <w:tc>
          <w:tcPr>
            <w:tcW w:w="592" w:type="pct"/>
            <w:noWrap/>
            <w:vAlign w:val="center"/>
          </w:tcPr>
          <w:p w14:paraId="309EA710">
            <w:pPr>
              <w:pStyle w:val="44"/>
              <w:rPr>
                <w:color w:val="auto"/>
              </w:rPr>
            </w:pPr>
            <w:r>
              <w:rPr>
                <w:color w:val="auto"/>
              </w:rPr>
              <w:t>2003年</w:t>
            </w:r>
          </w:p>
        </w:tc>
      </w:tr>
      <w:tr w14:paraId="5A738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1A9E691">
            <w:pPr>
              <w:pStyle w:val="44"/>
              <w:rPr>
                <w:color w:val="auto"/>
              </w:rPr>
            </w:pPr>
            <w:r>
              <w:rPr>
                <w:color w:val="auto"/>
              </w:rPr>
              <w:t>13</w:t>
            </w:r>
          </w:p>
        </w:tc>
        <w:tc>
          <w:tcPr>
            <w:tcW w:w="530" w:type="pct"/>
            <w:vMerge w:val="continue"/>
            <w:vAlign w:val="center"/>
          </w:tcPr>
          <w:p w14:paraId="0C0F6B45">
            <w:pPr>
              <w:pStyle w:val="44"/>
              <w:rPr>
                <w:color w:val="auto"/>
              </w:rPr>
            </w:pPr>
          </w:p>
        </w:tc>
        <w:tc>
          <w:tcPr>
            <w:tcW w:w="751" w:type="pct"/>
            <w:noWrap/>
            <w:vAlign w:val="center"/>
          </w:tcPr>
          <w:p w14:paraId="5D19050D">
            <w:pPr>
              <w:pStyle w:val="44"/>
              <w:rPr>
                <w:color w:val="auto"/>
              </w:rPr>
            </w:pPr>
            <w:r>
              <w:rPr>
                <w:color w:val="auto"/>
              </w:rPr>
              <w:t>E20-5/05</w:t>
            </w:r>
          </w:p>
        </w:tc>
        <w:tc>
          <w:tcPr>
            <w:tcW w:w="1844" w:type="pct"/>
            <w:noWrap/>
            <w:vAlign w:val="center"/>
          </w:tcPr>
          <w:p w14:paraId="3341E423">
            <w:pPr>
              <w:pStyle w:val="44"/>
              <w:rPr>
                <w:color w:val="auto"/>
              </w:rPr>
            </w:pPr>
            <w:r>
              <w:rPr>
                <w:color w:val="auto"/>
              </w:rPr>
              <w:t>重庆新世界建材市场</w:t>
            </w:r>
          </w:p>
        </w:tc>
        <w:tc>
          <w:tcPr>
            <w:tcW w:w="915" w:type="pct"/>
            <w:noWrap/>
            <w:vAlign w:val="center"/>
          </w:tcPr>
          <w:p w14:paraId="30101CCE">
            <w:pPr>
              <w:pStyle w:val="44"/>
              <w:rPr>
                <w:color w:val="auto"/>
              </w:rPr>
            </w:pPr>
            <w:r>
              <w:rPr>
                <w:color w:val="auto"/>
              </w:rPr>
              <w:t xml:space="preserve">3.09 </w:t>
            </w:r>
          </w:p>
        </w:tc>
        <w:tc>
          <w:tcPr>
            <w:tcW w:w="592" w:type="pct"/>
            <w:noWrap/>
            <w:vAlign w:val="center"/>
          </w:tcPr>
          <w:p w14:paraId="4AB8571C">
            <w:pPr>
              <w:pStyle w:val="44"/>
              <w:rPr>
                <w:color w:val="auto"/>
              </w:rPr>
            </w:pPr>
            <w:r>
              <w:rPr>
                <w:color w:val="auto"/>
              </w:rPr>
              <w:t>2003年</w:t>
            </w:r>
          </w:p>
        </w:tc>
      </w:tr>
      <w:tr w14:paraId="2AFA5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511C446">
            <w:pPr>
              <w:pStyle w:val="44"/>
              <w:rPr>
                <w:color w:val="auto"/>
              </w:rPr>
            </w:pPr>
            <w:r>
              <w:rPr>
                <w:color w:val="auto"/>
              </w:rPr>
              <w:t>14</w:t>
            </w:r>
          </w:p>
        </w:tc>
        <w:tc>
          <w:tcPr>
            <w:tcW w:w="530" w:type="pct"/>
            <w:vMerge w:val="continue"/>
            <w:vAlign w:val="center"/>
          </w:tcPr>
          <w:p w14:paraId="49E3F39D">
            <w:pPr>
              <w:pStyle w:val="44"/>
              <w:rPr>
                <w:color w:val="auto"/>
              </w:rPr>
            </w:pPr>
          </w:p>
        </w:tc>
        <w:tc>
          <w:tcPr>
            <w:tcW w:w="751" w:type="pct"/>
            <w:noWrap/>
            <w:vAlign w:val="center"/>
          </w:tcPr>
          <w:p w14:paraId="73299A3F">
            <w:pPr>
              <w:pStyle w:val="44"/>
              <w:rPr>
                <w:color w:val="auto"/>
              </w:rPr>
            </w:pPr>
            <w:r>
              <w:rPr>
                <w:color w:val="auto"/>
              </w:rPr>
              <w:t>E20-6/05</w:t>
            </w:r>
          </w:p>
        </w:tc>
        <w:tc>
          <w:tcPr>
            <w:tcW w:w="1844" w:type="pct"/>
            <w:noWrap/>
            <w:vAlign w:val="center"/>
          </w:tcPr>
          <w:p w14:paraId="7F3FCC78">
            <w:pPr>
              <w:pStyle w:val="44"/>
              <w:rPr>
                <w:color w:val="auto"/>
              </w:rPr>
            </w:pPr>
            <w:r>
              <w:rPr>
                <w:color w:val="auto"/>
              </w:rPr>
              <w:t>重庆新世界建材市场</w:t>
            </w:r>
          </w:p>
        </w:tc>
        <w:tc>
          <w:tcPr>
            <w:tcW w:w="915" w:type="pct"/>
            <w:noWrap/>
            <w:vAlign w:val="center"/>
          </w:tcPr>
          <w:p w14:paraId="25B4AE9B">
            <w:pPr>
              <w:pStyle w:val="44"/>
              <w:rPr>
                <w:color w:val="auto"/>
              </w:rPr>
            </w:pPr>
            <w:r>
              <w:rPr>
                <w:color w:val="auto"/>
              </w:rPr>
              <w:t xml:space="preserve">3.50 </w:t>
            </w:r>
          </w:p>
        </w:tc>
        <w:tc>
          <w:tcPr>
            <w:tcW w:w="592" w:type="pct"/>
            <w:noWrap/>
            <w:vAlign w:val="center"/>
          </w:tcPr>
          <w:p w14:paraId="1AD5460E">
            <w:pPr>
              <w:pStyle w:val="44"/>
              <w:rPr>
                <w:color w:val="auto"/>
              </w:rPr>
            </w:pPr>
            <w:r>
              <w:rPr>
                <w:color w:val="auto"/>
              </w:rPr>
              <w:t>2003年</w:t>
            </w:r>
          </w:p>
        </w:tc>
      </w:tr>
      <w:tr w14:paraId="7D84B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815EAB7">
            <w:pPr>
              <w:pStyle w:val="44"/>
              <w:rPr>
                <w:color w:val="auto"/>
              </w:rPr>
            </w:pPr>
            <w:r>
              <w:rPr>
                <w:color w:val="auto"/>
              </w:rPr>
              <w:t>15</w:t>
            </w:r>
          </w:p>
        </w:tc>
        <w:tc>
          <w:tcPr>
            <w:tcW w:w="530" w:type="pct"/>
            <w:vMerge w:val="continue"/>
            <w:vAlign w:val="center"/>
          </w:tcPr>
          <w:p w14:paraId="63C7B47A">
            <w:pPr>
              <w:pStyle w:val="44"/>
              <w:rPr>
                <w:color w:val="auto"/>
              </w:rPr>
            </w:pPr>
          </w:p>
        </w:tc>
        <w:tc>
          <w:tcPr>
            <w:tcW w:w="751" w:type="pct"/>
            <w:vMerge w:val="restart"/>
            <w:noWrap/>
            <w:vAlign w:val="center"/>
          </w:tcPr>
          <w:p w14:paraId="39A44D85">
            <w:pPr>
              <w:pStyle w:val="44"/>
              <w:rPr>
                <w:color w:val="auto"/>
              </w:rPr>
            </w:pPr>
            <w:r>
              <w:rPr>
                <w:color w:val="auto"/>
              </w:rPr>
              <w:t>E6-1/03</w:t>
            </w:r>
          </w:p>
        </w:tc>
        <w:tc>
          <w:tcPr>
            <w:tcW w:w="1844" w:type="pct"/>
            <w:noWrap/>
            <w:vAlign w:val="center"/>
          </w:tcPr>
          <w:p w14:paraId="2BCE05AC">
            <w:pPr>
              <w:pStyle w:val="44"/>
              <w:rPr>
                <w:color w:val="auto"/>
              </w:rPr>
            </w:pPr>
            <w:r>
              <w:rPr>
                <w:color w:val="auto"/>
              </w:rPr>
              <w:t>浩博汽修厂</w:t>
            </w:r>
          </w:p>
        </w:tc>
        <w:tc>
          <w:tcPr>
            <w:tcW w:w="915" w:type="pct"/>
            <w:vMerge w:val="restart"/>
            <w:noWrap/>
            <w:vAlign w:val="center"/>
          </w:tcPr>
          <w:p w14:paraId="2D5A8ED1">
            <w:pPr>
              <w:pStyle w:val="44"/>
              <w:rPr>
                <w:color w:val="auto"/>
              </w:rPr>
            </w:pPr>
            <w:r>
              <w:rPr>
                <w:color w:val="auto"/>
              </w:rPr>
              <w:t xml:space="preserve">0.42 </w:t>
            </w:r>
          </w:p>
        </w:tc>
        <w:tc>
          <w:tcPr>
            <w:tcW w:w="592" w:type="pct"/>
            <w:noWrap/>
            <w:vAlign w:val="center"/>
          </w:tcPr>
          <w:p w14:paraId="35DAADEF">
            <w:pPr>
              <w:pStyle w:val="44"/>
              <w:rPr>
                <w:color w:val="auto"/>
              </w:rPr>
            </w:pPr>
            <w:r>
              <w:rPr>
                <w:color w:val="auto"/>
              </w:rPr>
              <w:t>2005年</w:t>
            </w:r>
          </w:p>
        </w:tc>
      </w:tr>
      <w:tr w14:paraId="05CC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7DD8CFC">
            <w:pPr>
              <w:pStyle w:val="44"/>
              <w:rPr>
                <w:color w:val="auto"/>
              </w:rPr>
            </w:pPr>
            <w:r>
              <w:rPr>
                <w:color w:val="auto"/>
              </w:rPr>
              <w:t>16</w:t>
            </w:r>
          </w:p>
        </w:tc>
        <w:tc>
          <w:tcPr>
            <w:tcW w:w="530" w:type="pct"/>
            <w:vMerge w:val="continue"/>
            <w:vAlign w:val="center"/>
          </w:tcPr>
          <w:p w14:paraId="26ECF724">
            <w:pPr>
              <w:pStyle w:val="44"/>
              <w:rPr>
                <w:color w:val="auto"/>
              </w:rPr>
            </w:pPr>
          </w:p>
        </w:tc>
        <w:tc>
          <w:tcPr>
            <w:tcW w:w="751" w:type="pct"/>
            <w:vMerge w:val="continue"/>
            <w:vAlign w:val="center"/>
          </w:tcPr>
          <w:p w14:paraId="3D83DEF5">
            <w:pPr>
              <w:pStyle w:val="44"/>
              <w:rPr>
                <w:color w:val="auto"/>
              </w:rPr>
            </w:pPr>
          </w:p>
        </w:tc>
        <w:tc>
          <w:tcPr>
            <w:tcW w:w="1844" w:type="pct"/>
            <w:noWrap/>
            <w:vAlign w:val="center"/>
          </w:tcPr>
          <w:p w14:paraId="0CD67A76">
            <w:pPr>
              <w:pStyle w:val="44"/>
              <w:rPr>
                <w:color w:val="auto"/>
              </w:rPr>
            </w:pPr>
            <w:r>
              <w:rPr>
                <w:color w:val="auto"/>
              </w:rPr>
              <w:t>重庆巨海物业有限公司</w:t>
            </w:r>
          </w:p>
        </w:tc>
        <w:tc>
          <w:tcPr>
            <w:tcW w:w="915" w:type="pct"/>
            <w:vMerge w:val="continue"/>
            <w:vAlign w:val="center"/>
          </w:tcPr>
          <w:p w14:paraId="4F6435FD">
            <w:pPr>
              <w:pStyle w:val="44"/>
              <w:rPr>
                <w:color w:val="auto"/>
              </w:rPr>
            </w:pPr>
          </w:p>
        </w:tc>
        <w:tc>
          <w:tcPr>
            <w:tcW w:w="592" w:type="pct"/>
            <w:noWrap/>
            <w:vAlign w:val="center"/>
          </w:tcPr>
          <w:p w14:paraId="3E3C3AFA">
            <w:pPr>
              <w:pStyle w:val="44"/>
              <w:rPr>
                <w:color w:val="auto"/>
              </w:rPr>
            </w:pPr>
            <w:r>
              <w:rPr>
                <w:color w:val="auto"/>
              </w:rPr>
              <w:t>2005年</w:t>
            </w:r>
          </w:p>
        </w:tc>
      </w:tr>
      <w:tr w14:paraId="7AC5F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78B912D">
            <w:pPr>
              <w:pStyle w:val="44"/>
              <w:rPr>
                <w:color w:val="auto"/>
              </w:rPr>
            </w:pPr>
            <w:r>
              <w:rPr>
                <w:color w:val="auto"/>
              </w:rPr>
              <w:t>17</w:t>
            </w:r>
          </w:p>
        </w:tc>
        <w:tc>
          <w:tcPr>
            <w:tcW w:w="530" w:type="pct"/>
            <w:vMerge w:val="continue"/>
            <w:vAlign w:val="center"/>
          </w:tcPr>
          <w:p w14:paraId="55A97488">
            <w:pPr>
              <w:pStyle w:val="44"/>
              <w:rPr>
                <w:color w:val="auto"/>
              </w:rPr>
            </w:pPr>
          </w:p>
        </w:tc>
        <w:tc>
          <w:tcPr>
            <w:tcW w:w="751" w:type="pct"/>
            <w:noWrap/>
            <w:vAlign w:val="center"/>
          </w:tcPr>
          <w:p w14:paraId="4DEA0A08">
            <w:pPr>
              <w:pStyle w:val="44"/>
              <w:rPr>
                <w:color w:val="auto"/>
              </w:rPr>
            </w:pPr>
            <w:r>
              <w:rPr>
                <w:color w:val="auto"/>
              </w:rPr>
              <w:t>E7-1/03</w:t>
            </w:r>
          </w:p>
        </w:tc>
        <w:tc>
          <w:tcPr>
            <w:tcW w:w="1844" w:type="pct"/>
            <w:noWrap/>
            <w:vAlign w:val="center"/>
          </w:tcPr>
          <w:p w14:paraId="13E4C522">
            <w:pPr>
              <w:pStyle w:val="44"/>
              <w:rPr>
                <w:color w:val="auto"/>
              </w:rPr>
            </w:pPr>
            <w:r>
              <w:rPr>
                <w:color w:val="auto"/>
              </w:rPr>
              <w:t>华龙苑配套商业</w:t>
            </w:r>
          </w:p>
        </w:tc>
        <w:tc>
          <w:tcPr>
            <w:tcW w:w="915" w:type="pct"/>
            <w:noWrap/>
            <w:vAlign w:val="center"/>
          </w:tcPr>
          <w:p w14:paraId="00F0778A">
            <w:pPr>
              <w:pStyle w:val="44"/>
              <w:rPr>
                <w:color w:val="auto"/>
              </w:rPr>
            </w:pPr>
            <w:r>
              <w:rPr>
                <w:color w:val="auto"/>
              </w:rPr>
              <w:t xml:space="preserve">0.34 </w:t>
            </w:r>
          </w:p>
        </w:tc>
        <w:tc>
          <w:tcPr>
            <w:tcW w:w="592" w:type="pct"/>
            <w:noWrap/>
            <w:vAlign w:val="center"/>
          </w:tcPr>
          <w:p w14:paraId="4272FF15">
            <w:pPr>
              <w:pStyle w:val="44"/>
              <w:rPr>
                <w:color w:val="auto"/>
              </w:rPr>
            </w:pPr>
            <w:r>
              <w:rPr>
                <w:color w:val="auto"/>
              </w:rPr>
              <w:t>2002年</w:t>
            </w:r>
          </w:p>
        </w:tc>
      </w:tr>
      <w:tr w14:paraId="7F5DE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E0241D7">
            <w:pPr>
              <w:pStyle w:val="44"/>
              <w:rPr>
                <w:color w:val="auto"/>
              </w:rPr>
            </w:pPr>
            <w:r>
              <w:rPr>
                <w:color w:val="auto"/>
              </w:rPr>
              <w:t>18</w:t>
            </w:r>
          </w:p>
        </w:tc>
        <w:tc>
          <w:tcPr>
            <w:tcW w:w="530" w:type="pct"/>
            <w:vMerge w:val="continue"/>
            <w:vAlign w:val="center"/>
          </w:tcPr>
          <w:p w14:paraId="63E4A103">
            <w:pPr>
              <w:pStyle w:val="44"/>
              <w:rPr>
                <w:color w:val="auto"/>
              </w:rPr>
            </w:pPr>
          </w:p>
        </w:tc>
        <w:tc>
          <w:tcPr>
            <w:tcW w:w="751" w:type="pct"/>
            <w:noWrap/>
            <w:vAlign w:val="center"/>
          </w:tcPr>
          <w:p w14:paraId="78A2519B">
            <w:pPr>
              <w:pStyle w:val="44"/>
              <w:rPr>
                <w:color w:val="auto"/>
              </w:rPr>
            </w:pPr>
            <w:r>
              <w:rPr>
                <w:color w:val="auto"/>
              </w:rPr>
              <w:t>E9-3-1/04</w:t>
            </w:r>
          </w:p>
        </w:tc>
        <w:tc>
          <w:tcPr>
            <w:tcW w:w="1844" w:type="pct"/>
            <w:noWrap/>
            <w:vAlign w:val="center"/>
          </w:tcPr>
          <w:p w14:paraId="10576AD7">
            <w:pPr>
              <w:pStyle w:val="44"/>
              <w:rPr>
                <w:color w:val="auto"/>
              </w:rPr>
            </w:pPr>
            <w:r>
              <w:rPr>
                <w:color w:val="auto"/>
              </w:rPr>
              <w:t xml:space="preserve">西城尚景小区 </w:t>
            </w:r>
          </w:p>
        </w:tc>
        <w:tc>
          <w:tcPr>
            <w:tcW w:w="915" w:type="pct"/>
            <w:noWrap/>
            <w:vAlign w:val="center"/>
          </w:tcPr>
          <w:p w14:paraId="0883CD69">
            <w:pPr>
              <w:pStyle w:val="44"/>
              <w:rPr>
                <w:color w:val="auto"/>
              </w:rPr>
            </w:pPr>
            <w:r>
              <w:rPr>
                <w:color w:val="auto"/>
              </w:rPr>
              <w:t xml:space="preserve">0.95 </w:t>
            </w:r>
          </w:p>
        </w:tc>
        <w:tc>
          <w:tcPr>
            <w:tcW w:w="592" w:type="pct"/>
            <w:noWrap/>
            <w:vAlign w:val="center"/>
          </w:tcPr>
          <w:p w14:paraId="38AF7D8B">
            <w:pPr>
              <w:pStyle w:val="44"/>
              <w:rPr>
                <w:color w:val="auto"/>
              </w:rPr>
            </w:pPr>
            <w:r>
              <w:rPr>
                <w:color w:val="auto"/>
              </w:rPr>
              <w:t>2003年</w:t>
            </w:r>
          </w:p>
        </w:tc>
      </w:tr>
      <w:tr w14:paraId="3AFFE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0FC143A">
            <w:pPr>
              <w:pStyle w:val="44"/>
              <w:rPr>
                <w:color w:val="auto"/>
              </w:rPr>
            </w:pPr>
            <w:r>
              <w:rPr>
                <w:color w:val="auto"/>
              </w:rPr>
              <w:t>19</w:t>
            </w:r>
          </w:p>
        </w:tc>
        <w:tc>
          <w:tcPr>
            <w:tcW w:w="530" w:type="pct"/>
            <w:vMerge w:val="continue"/>
            <w:vAlign w:val="center"/>
          </w:tcPr>
          <w:p w14:paraId="1BD741FE">
            <w:pPr>
              <w:pStyle w:val="44"/>
              <w:rPr>
                <w:color w:val="auto"/>
              </w:rPr>
            </w:pPr>
          </w:p>
        </w:tc>
        <w:tc>
          <w:tcPr>
            <w:tcW w:w="751" w:type="pct"/>
            <w:noWrap/>
            <w:vAlign w:val="center"/>
          </w:tcPr>
          <w:p w14:paraId="5390CAEC">
            <w:pPr>
              <w:pStyle w:val="44"/>
              <w:rPr>
                <w:color w:val="auto"/>
              </w:rPr>
            </w:pPr>
            <w:r>
              <w:rPr>
                <w:color w:val="auto"/>
              </w:rPr>
              <w:t>E9-5-1/03</w:t>
            </w:r>
          </w:p>
        </w:tc>
        <w:tc>
          <w:tcPr>
            <w:tcW w:w="1844" w:type="pct"/>
            <w:noWrap/>
            <w:vAlign w:val="center"/>
          </w:tcPr>
          <w:p w14:paraId="71516893">
            <w:pPr>
              <w:pStyle w:val="44"/>
              <w:rPr>
                <w:color w:val="auto"/>
              </w:rPr>
            </w:pPr>
            <w:r>
              <w:rPr>
                <w:color w:val="auto"/>
              </w:rPr>
              <w:t>协能.枫馨丽园小区</w:t>
            </w:r>
          </w:p>
        </w:tc>
        <w:tc>
          <w:tcPr>
            <w:tcW w:w="915" w:type="pct"/>
            <w:noWrap/>
            <w:vAlign w:val="center"/>
          </w:tcPr>
          <w:p w14:paraId="6B47B77F">
            <w:pPr>
              <w:pStyle w:val="44"/>
              <w:rPr>
                <w:color w:val="auto"/>
              </w:rPr>
            </w:pPr>
            <w:r>
              <w:rPr>
                <w:color w:val="auto"/>
              </w:rPr>
              <w:t xml:space="preserve">0.33 </w:t>
            </w:r>
          </w:p>
        </w:tc>
        <w:tc>
          <w:tcPr>
            <w:tcW w:w="592" w:type="pct"/>
            <w:noWrap/>
            <w:vAlign w:val="center"/>
          </w:tcPr>
          <w:p w14:paraId="4FE07A6C">
            <w:pPr>
              <w:pStyle w:val="44"/>
              <w:rPr>
                <w:color w:val="auto"/>
              </w:rPr>
            </w:pPr>
            <w:r>
              <w:rPr>
                <w:color w:val="auto"/>
              </w:rPr>
              <w:t>2006年</w:t>
            </w:r>
          </w:p>
        </w:tc>
      </w:tr>
      <w:tr w14:paraId="5966B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251D098">
            <w:pPr>
              <w:pStyle w:val="44"/>
              <w:rPr>
                <w:color w:val="auto"/>
              </w:rPr>
            </w:pPr>
            <w:r>
              <w:rPr>
                <w:color w:val="auto"/>
              </w:rPr>
              <w:t>20</w:t>
            </w:r>
          </w:p>
        </w:tc>
        <w:tc>
          <w:tcPr>
            <w:tcW w:w="530" w:type="pct"/>
            <w:vMerge w:val="continue"/>
            <w:vAlign w:val="center"/>
          </w:tcPr>
          <w:p w14:paraId="220DEB8C">
            <w:pPr>
              <w:pStyle w:val="44"/>
              <w:rPr>
                <w:color w:val="auto"/>
              </w:rPr>
            </w:pPr>
          </w:p>
        </w:tc>
        <w:tc>
          <w:tcPr>
            <w:tcW w:w="751" w:type="pct"/>
            <w:noWrap/>
            <w:vAlign w:val="center"/>
          </w:tcPr>
          <w:p w14:paraId="087DB246">
            <w:pPr>
              <w:pStyle w:val="44"/>
              <w:rPr>
                <w:color w:val="auto"/>
              </w:rPr>
            </w:pPr>
            <w:r>
              <w:rPr>
                <w:color w:val="auto"/>
              </w:rPr>
              <w:t>E10-1-2/06</w:t>
            </w:r>
          </w:p>
        </w:tc>
        <w:tc>
          <w:tcPr>
            <w:tcW w:w="1844" w:type="pct"/>
            <w:noWrap/>
            <w:vAlign w:val="center"/>
          </w:tcPr>
          <w:p w14:paraId="743E9855">
            <w:pPr>
              <w:pStyle w:val="44"/>
              <w:rPr>
                <w:color w:val="auto"/>
              </w:rPr>
            </w:pPr>
            <w:r>
              <w:rPr>
                <w:color w:val="auto"/>
              </w:rPr>
              <w:t>欣茂苑</w:t>
            </w:r>
          </w:p>
        </w:tc>
        <w:tc>
          <w:tcPr>
            <w:tcW w:w="915" w:type="pct"/>
            <w:noWrap/>
            <w:vAlign w:val="center"/>
          </w:tcPr>
          <w:p w14:paraId="6434CB0D">
            <w:pPr>
              <w:pStyle w:val="44"/>
              <w:rPr>
                <w:color w:val="auto"/>
              </w:rPr>
            </w:pPr>
            <w:r>
              <w:rPr>
                <w:color w:val="auto"/>
              </w:rPr>
              <w:t xml:space="preserve">0.57 </w:t>
            </w:r>
          </w:p>
        </w:tc>
        <w:tc>
          <w:tcPr>
            <w:tcW w:w="592" w:type="pct"/>
            <w:noWrap/>
            <w:vAlign w:val="center"/>
          </w:tcPr>
          <w:p w14:paraId="7F14873A">
            <w:pPr>
              <w:pStyle w:val="44"/>
              <w:rPr>
                <w:color w:val="auto"/>
              </w:rPr>
            </w:pPr>
            <w:r>
              <w:rPr>
                <w:color w:val="auto"/>
              </w:rPr>
              <w:t>2005年</w:t>
            </w:r>
          </w:p>
        </w:tc>
      </w:tr>
      <w:tr w14:paraId="4D8DD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0BE8204">
            <w:pPr>
              <w:pStyle w:val="44"/>
              <w:rPr>
                <w:color w:val="auto"/>
              </w:rPr>
            </w:pPr>
            <w:r>
              <w:rPr>
                <w:color w:val="auto"/>
              </w:rPr>
              <w:t>21</w:t>
            </w:r>
          </w:p>
        </w:tc>
        <w:tc>
          <w:tcPr>
            <w:tcW w:w="530" w:type="pct"/>
            <w:vMerge w:val="continue"/>
            <w:vAlign w:val="center"/>
          </w:tcPr>
          <w:p w14:paraId="03F95201">
            <w:pPr>
              <w:pStyle w:val="44"/>
              <w:rPr>
                <w:color w:val="auto"/>
              </w:rPr>
            </w:pPr>
          </w:p>
        </w:tc>
        <w:tc>
          <w:tcPr>
            <w:tcW w:w="751" w:type="pct"/>
            <w:noWrap/>
            <w:vAlign w:val="center"/>
          </w:tcPr>
          <w:p w14:paraId="1F6D9188">
            <w:pPr>
              <w:pStyle w:val="44"/>
              <w:rPr>
                <w:color w:val="auto"/>
              </w:rPr>
            </w:pPr>
            <w:r>
              <w:rPr>
                <w:color w:val="auto"/>
              </w:rPr>
              <w:t>E8-1-2/03</w:t>
            </w:r>
          </w:p>
        </w:tc>
        <w:tc>
          <w:tcPr>
            <w:tcW w:w="1844" w:type="pct"/>
            <w:noWrap/>
            <w:vAlign w:val="center"/>
          </w:tcPr>
          <w:p w14:paraId="6ACC555D">
            <w:pPr>
              <w:pStyle w:val="44"/>
              <w:rPr>
                <w:color w:val="auto"/>
              </w:rPr>
            </w:pPr>
            <w:r>
              <w:rPr>
                <w:color w:val="auto"/>
              </w:rPr>
              <w:t>重庆广播电视大学</w:t>
            </w:r>
          </w:p>
        </w:tc>
        <w:tc>
          <w:tcPr>
            <w:tcW w:w="915" w:type="pct"/>
            <w:noWrap/>
            <w:vAlign w:val="center"/>
          </w:tcPr>
          <w:p w14:paraId="5FD97514">
            <w:pPr>
              <w:pStyle w:val="44"/>
              <w:rPr>
                <w:color w:val="auto"/>
              </w:rPr>
            </w:pPr>
            <w:r>
              <w:rPr>
                <w:color w:val="auto"/>
              </w:rPr>
              <w:t xml:space="preserve">0.33 </w:t>
            </w:r>
          </w:p>
        </w:tc>
        <w:tc>
          <w:tcPr>
            <w:tcW w:w="592" w:type="pct"/>
            <w:noWrap/>
            <w:vAlign w:val="center"/>
          </w:tcPr>
          <w:p w14:paraId="5EF4CE61">
            <w:pPr>
              <w:pStyle w:val="44"/>
              <w:rPr>
                <w:color w:val="auto"/>
              </w:rPr>
            </w:pPr>
            <w:r>
              <w:rPr>
                <w:color w:val="auto"/>
              </w:rPr>
              <w:t>2003年</w:t>
            </w:r>
          </w:p>
        </w:tc>
      </w:tr>
      <w:tr w14:paraId="5DBBA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090BD32">
            <w:pPr>
              <w:pStyle w:val="44"/>
              <w:rPr>
                <w:color w:val="auto"/>
              </w:rPr>
            </w:pPr>
            <w:r>
              <w:rPr>
                <w:color w:val="auto"/>
              </w:rPr>
              <w:t>22</w:t>
            </w:r>
          </w:p>
        </w:tc>
        <w:tc>
          <w:tcPr>
            <w:tcW w:w="530" w:type="pct"/>
            <w:vMerge w:val="continue"/>
            <w:vAlign w:val="center"/>
          </w:tcPr>
          <w:p w14:paraId="43C107F1">
            <w:pPr>
              <w:pStyle w:val="44"/>
              <w:rPr>
                <w:color w:val="auto"/>
              </w:rPr>
            </w:pPr>
          </w:p>
        </w:tc>
        <w:tc>
          <w:tcPr>
            <w:tcW w:w="751" w:type="pct"/>
            <w:noWrap/>
            <w:vAlign w:val="center"/>
          </w:tcPr>
          <w:p w14:paraId="1152446C">
            <w:pPr>
              <w:pStyle w:val="44"/>
              <w:rPr>
                <w:color w:val="auto"/>
              </w:rPr>
            </w:pPr>
            <w:r>
              <w:rPr>
                <w:color w:val="auto"/>
              </w:rPr>
              <w:t>E9-1-1/03</w:t>
            </w:r>
          </w:p>
        </w:tc>
        <w:tc>
          <w:tcPr>
            <w:tcW w:w="1844" w:type="pct"/>
            <w:noWrap/>
            <w:vAlign w:val="center"/>
          </w:tcPr>
          <w:p w14:paraId="4111E95D">
            <w:pPr>
              <w:pStyle w:val="44"/>
              <w:rPr>
                <w:color w:val="auto"/>
              </w:rPr>
            </w:pPr>
            <w:r>
              <w:rPr>
                <w:color w:val="auto"/>
              </w:rPr>
              <w:t>重庆广播电视大学</w:t>
            </w:r>
          </w:p>
        </w:tc>
        <w:tc>
          <w:tcPr>
            <w:tcW w:w="915" w:type="pct"/>
            <w:noWrap/>
            <w:vAlign w:val="center"/>
          </w:tcPr>
          <w:p w14:paraId="04FB5639">
            <w:pPr>
              <w:pStyle w:val="44"/>
              <w:rPr>
                <w:color w:val="auto"/>
              </w:rPr>
            </w:pPr>
            <w:r>
              <w:rPr>
                <w:color w:val="auto"/>
              </w:rPr>
              <w:t xml:space="preserve">7.74 </w:t>
            </w:r>
          </w:p>
        </w:tc>
        <w:tc>
          <w:tcPr>
            <w:tcW w:w="592" w:type="pct"/>
            <w:noWrap/>
            <w:vAlign w:val="center"/>
          </w:tcPr>
          <w:p w14:paraId="34F2DBDC">
            <w:pPr>
              <w:pStyle w:val="44"/>
              <w:rPr>
                <w:color w:val="auto"/>
              </w:rPr>
            </w:pPr>
            <w:r>
              <w:rPr>
                <w:color w:val="auto"/>
              </w:rPr>
              <w:t>2003年</w:t>
            </w:r>
          </w:p>
        </w:tc>
      </w:tr>
      <w:tr w14:paraId="3DAE9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822E687">
            <w:pPr>
              <w:pStyle w:val="44"/>
              <w:rPr>
                <w:color w:val="auto"/>
              </w:rPr>
            </w:pPr>
            <w:r>
              <w:rPr>
                <w:color w:val="auto"/>
              </w:rPr>
              <w:t>23</w:t>
            </w:r>
          </w:p>
        </w:tc>
        <w:tc>
          <w:tcPr>
            <w:tcW w:w="530" w:type="pct"/>
            <w:vMerge w:val="continue"/>
            <w:vAlign w:val="center"/>
          </w:tcPr>
          <w:p w14:paraId="78965E75">
            <w:pPr>
              <w:pStyle w:val="44"/>
              <w:rPr>
                <w:color w:val="auto"/>
              </w:rPr>
            </w:pPr>
          </w:p>
        </w:tc>
        <w:tc>
          <w:tcPr>
            <w:tcW w:w="751" w:type="pct"/>
            <w:noWrap/>
            <w:vAlign w:val="center"/>
          </w:tcPr>
          <w:p w14:paraId="4CF753D6">
            <w:pPr>
              <w:pStyle w:val="44"/>
              <w:rPr>
                <w:color w:val="auto"/>
              </w:rPr>
            </w:pPr>
            <w:r>
              <w:rPr>
                <w:color w:val="auto"/>
              </w:rPr>
              <w:t>E9-4-2/03</w:t>
            </w:r>
          </w:p>
        </w:tc>
        <w:tc>
          <w:tcPr>
            <w:tcW w:w="1844" w:type="pct"/>
            <w:noWrap/>
            <w:vAlign w:val="center"/>
          </w:tcPr>
          <w:p w14:paraId="1E33E42B">
            <w:pPr>
              <w:pStyle w:val="44"/>
              <w:rPr>
                <w:color w:val="auto"/>
              </w:rPr>
            </w:pPr>
            <w:r>
              <w:rPr>
                <w:color w:val="auto"/>
              </w:rPr>
              <w:t>重庆广播电视大学学校配套设施</w:t>
            </w:r>
          </w:p>
        </w:tc>
        <w:tc>
          <w:tcPr>
            <w:tcW w:w="915" w:type="pct"/>
            <w:noWrap/>
            <w:vAlign w:val="center"/>
          </w:tcPr>
          <w:p w14:paraId="31810E25">
            <w:pPr>
              <w:pStyle w:val="44"/>
              <w:rPr>
                <w:color w:val="auto"/>
              </w:rPr>
            </w:pPr>
            <w:r>
              <w:rPr>
                <w:color w:val="auto"/>
              </w:rPr>
              <w:t xml:space="preserve">0.25 </w:t>
            </w:r>
          </w:p>
        </w:tc>
        <w:tc>
          <w:tcPr>
            <w:tcW w:w="592" w:type="pct"/>
            <w:noWrap/>
            <w:vAlign w:val="center"/>
          </w:tcPr>
          <w:p w14:paraId="067A3876">
            <w:pPr>
              <w:pStyle w:val="44"/>
              <w:rPr>
                <w:color w:val="auto"/>
              </w:rPr>
            </w:pPr>
            <w:r>
              <w:rPr>
                <w:color w:val="auto"/>
              </w:rPr>
              <w:t>2003年</w:t>
            </w:r>
          </w:p>
        </w:tc>
      </w:tr>
      <w:tr w14:paraId="0D7E8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333666D">
            <w:pPr>
              <w:pStyle w:val="44"/>
              <w:rPr>
                <w:color w:val="auto"/>
              </w:rPr>
            </w:pPr>
            <w:r>
              <w:rPr>
                <w:color w:val="auto"/>
              </w:rPr>
              <w:t>24</w:t>
            </w:r>
          </w:p>
        </w:tc>
        <w:tc>
          <w:tcPr>
            <w:tcW w:w="530" w:type="pct"/>
            <w:vMerge w:val="continue"/>
            <w:vAlign w:val="center"/>
          </w:tcPr>
          <w:p w14:paraId="14F0B679">
            <w:pPr>
              <w:pStyle w:val="44"/>
              <w:rPr>
                <w:color w:val="auto"/>
              </w:rPr>
            </w:pPr>
          </w:p>
        </w:tc>
        <w:tc>
          <w:tcPr>
            <w:tcW w:w="751" w:type="pct"/>
            <w:noWrap/>
            <w:vAlign w:val="center"/>
          </w:tcPr>
          <w:p w14:paraId="09B00378">
            <w:pPr>
              <w:pStyle w:val="44"/>
              <w:rPr>
                <w:color w:val="auto"/>
              </w:rPr>
            </w:pPr>
            <w:r>
              <w:rPr>
                <w:color w:val="auto"/>
              </w:rPr>
              <w:t>E10-1-1/06</w:t>
            </w:r>
          </w:p>
        </w:tc>
        <w:tc>
          <w:tcPr>
            <w:tcW w:w="1844" w:type="pct"/>
            <w:noWrap/>
            <w:vAlign w:val="center"/>
          </w:tcPr>
          <w:p w14:paraId="25849F2B">
            <w:pPr>
              <w:pStyle w:val="44"/>
              <w:rPr>
                <w:color w:val="auto"/>
              </w:rPr>
            </w:pPr>
            <w:r>
              <w:rPr>
                <w:color w:val="auto"/>
              </w:rPr>
              <w:t>欣茂苑</w:t>
            </w:r>
          </w:p>
        </w:tc>
        <w:tc>
          <w:tcPr>
            <w:tcW w:w="915" w:type="pct"/>
            <w:noWrap/>
            <w:vAlign w:val="center"/>
          </w:tcPr>
          <w:p w14:paraId="7F2FC46D">
            <w:pPr>
              <w:pStyle w:val="44"/>
              <w:rPr>
                <w:color w:val="auto"/>
              </w:rPr>
            </w:pPr>
            <w:r>
              <w:rPr>
                <w:color w:val="auto"/>
              </w:rPr>
              <w:t xml:space="preserve">0.98 </w:t>
            </w:r>
          </w:p>
        </w:tc>
        <w:tc>
          <w:tcPr>
            <w:tcW w:w="592" w:type="pct"/>
            <w:noWrap/>
            <w:vAlign w:val="center"/>
          </w:tcPr>
          <w:p w14:paraId="0C00798A">
            <w:pPr>
              <w:pStyle w:val="44"/>
              <w:rPr>
                <w:color w:val="auto"/>
              </w:rPr>
            </w:pPr>
            <w:r>
              <w:rPr>
                <w:color w:val="auto"/>
              </w:rPr>
              <w:t>2005年</w:t>
            </w:r>
          </w:p>
        </w:tc>
      </w:tr>
      <w:tr w14:paraId="4C284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EF5D1EC">
            <w:pPr>
              <w:pStyle w:val="44"/>
              <w:rPr>
                <w:color w:val="auto"/>
              </w:rPr>
            </w:pPr>
            <w:r>
              <w:rPr>
                <w:color w:val="auto"/>
              </w:rPr>
              <w:t>合计</w:t>
            </w:r>
          </w:p>
        </w:tc>
        <w:tc>
          <w:tcPr>
            <w:tcW w:w="530" w:type="pct"/>
            <w:vMerge w:val="continue"/>
            <w:vAlign w:val="center"/>
          </w:tcPr>
          <w:p w14:paraId="554D6C95">
            <w:pPr>
              <w:pStyle w:val="44"/>
              <w:rPr>
                <w:color w:val="auto"/>
              </w:rPr>
            </w:pPr>
          </w:p>
        </w:tc>
        <w:tc>
          <w:tcPr>
            <w:tcW w:w="751" w:type="pct"/>
            <w:noWrap/>
            <w:vAlign w:val="center"/>
          </w:tcPr>
          <w:p w14:paraId="01E2A58F">
            <w:pPr>
              <w:pStyle w:val="44"/>
              <w:rPr>
                <w:color w:val="auto"/>
              </w:rPr>
            </w:pPr>
            <w:r>
              <w:rPr>
                <w:color w:val="auto"/>
              </w:rPr>
              <w:t>　</w:t>
            </w:r>
          </w:p>
        </w:tc>
        <w:tc>
          <w:tcPr>
            <w:tcW w:w="1844" w:type="pct"/>
            <w:noWrap/>
            <w:vAlign w:val="center"/>
          </w:tcPr>
          <w:p w14:paraId="69693287">
            <w:pPr>
              <w:pStyle w:val="44"/>
              <w:rPr>
                <w:color w:val="auto"/>
              </w:rPr>
            </w:pPr>
            <w:r>
              <w:rPr>
                <w:color w:val="auto"/>
              </w:rPr>
              <w:t>　</w:t>
            </w:r>
          </w:p>
        </w:tc>
        <w:tc>
          <w:tcPr>
            <w:tcW w:w="915" w:type="pct"/>
            <w:noWrap/>
            <w:vAlign w:val="center"/>
          </w:tcPr>
          <w:p w14:paraId="20EDDD72">
            <w:pPr>
              <w:pStyle w:val="44"/>
              <w:rPr>
                <w:color w:val="auto"/>
              </w:rPr>
            </w:pPr>
            <w:r>
              <w:rPr>
                <w:color w:val="auto"/>
              </w:rPr>
              <w:t xml:space="preserve">48.79 </w:t>
            </w:r>
          </w:p>
        </w:tc>
        <w:tc>
          <w:tcPr>
            <w:tcW w:w="592" w:type="pct"/>
            <w:noWrap/>
            <w:vAlign w:val="center"/>
          </w:tcPr>
          <w:p w14:paraId="1120B1EE">
            <w:pPr>
              <w:pStyle w:val="44"/>
              <w:rPr>
                <w:color w:val="auto"/>
              </w:rPr>
            </w:pPr>
            <w:r>
              <w:rPr>
                <w:color w:val="auto"/>
              </w:rPr>
              <w:t>　</w:t>
            </w:r>
          </w:p>
        </w:tc>
      </w:tr>
      <w:tr w14:paraId="6626D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FC8FD98">
            <w:pPr>
              <w:pStyle w:val="44"/>
              <w:rPr>
                <w:color w:val="auto"/>
              </w:rPr>
            </w:pPr>
            <w:r>
              <w:rPr>
                <w:color w:val="auto"/>
              </w:rPr>
              <w:t>1</w:t>
            </w:r>
          </w:p>
        </w:tc>
        <w:tc>
          <w:tcPr>
            <w:tcW w:w="530" w:type="pct"/>
            <w:vMerge w:val="restart"/>
            <w:vAlign w:val="center"/>
          </w:tcPr>
          <w:p w14:paraId="2019BD1B">
            <w:pPr>
              <w:pStyle w:val="44"/>
              <w:rPr>
                <w:color w:val="auto"/>
              </w:rPr>
            </w:pPr>
            <w:r>
              <w:rPr>
                <w:color w:val="auto"/>
              </w:rPr>
              <w:t>中梁山组团F标准分区</w:t>
            </w:r>
          </w:p>
        </w:tc>
        <w:tc>
          <w:tcPr>
            <w:tcW w:w="751" w:type="pct"/>
            <w:noWrap/>
            <w:vAlign w:val="center"/>
          </w:tcPr>
          <w:p w14:paraId="736246BA">
            <w:pPr>
              <w:pStyle w:val="44"/>
              <w:rPr>
                <w:color w:val="auto"/>
              </w:rPr>
            </w:pPr>
            <w:r>
              <w:rPr>
                <w:color w:val="auto"/>
              </w:rPr>
              <w:t>F1-2/02</w:t>
            </w:r>
          </w:p>
        </w:tc>
        <w:tc>
          <w:tcPr>
            <w:tcW w:w="1844" w:type="pct"/>
            <w:noWrap/>
            <w:vAlign w:val="center"/>
          </w:tcPr>
          <w:p w14:paraId="28527358">
            <w:pPr>
              <w:pStyle w:val="44"/>
              <w:rPr>
                <w:color w:val="auto"/>
              </w:rPr>
            </w:pPr>
            <w:r>
              <w:rPr>
                <w:color w:val="auto"/>
              </w:rPr>
              <w:t>乐发奇趣幼儿园</w:t>
            </w:r>
          </w:p>
        </w:tc>
        <w:tc>
          <w:tcPr>
            <w:tcW w:w="915" w:type="pct"/>
            <w:noWrap/>
            <w:vAlign w:val="center"/>
          </w:tcPr>
          <w:p w14:paraId="3AAD4A1D">
            <w:pPr>
              <w:pStyle w:val="44"/>
              <w:rPr>
                <w:color w:val="auto"/>
              </w:rPr>
            </w:pPr>
            <w:r>
              <w:rPr>
                <w:color w:val="auto"/>
              </w:rPr>
              <w:t xml:space="preserve">0.91 </w:t>
            </w:r>
          </w:p>
        </w:tc>
        <w:tc>
          <w:tcPr>
            <w:tcW w:w="592" w:type="pct"/>
            <w:noWrap/>
            <w:vAlign w:val="center"/>
          </w:tcPr>
          <w:p w14:paraId="5864ECA3">
            <w:pPr>
              <w:pStyle w:val="44"/>
              <w:rPr>
                <w:color w:val="auto"/>
              </w:rPr>
            </w:pPr>
            <w:r>
              <w:rPr>
                <w:color w:val="auto"/>
              </w:rPr>
              <w:t>2004年</w:t>
            </w:r>
          </w:p>
        </w:tc>
      </w:tr>
      <w:tr w14:paraId="3B5F4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0BB0B31">
            <w:pPr>
              <w:pStyle w:val="44"/>
              <w:rPr>
                <w:color w:val="auto"/>
              </w:rPr>
            </w:pPr>
            <w:r>
              <w:rPr>
                <w:color w:val="auto"/>
              </w:rPr>
              <w:t>2</w:t>
            </w:r>
          </w:p>
        </w:tc>
        <w:tc>
          <w:tcPr>
            <w:tcW w:w="530" w:type="pct"/>
            <w:vMerge w:val="continue"/>
            <w:vAlign w:val="center"/>
          </w:tcPr>
          <w:p w14:paraId="5F970489">
            <w:pPr>
              <w:pStyle w:val="44"/>
              <w:rPr>
                <w:color w:val="auto"/>
              </w:rPr>
            </w:pPr>
          </w:p>
        </w:tc>
        <w:tc>
          <w:tcPr>
            <w:tcW w:w="751" w:type="pct"/>
            <w:noWrap/>
            <w:vAlign w:val="center"/>
          </w:tcPr>
          <w:p w14:paraId="33C62CE0">
            <w:pPr>
              <w:pStyle w:val="44"/>
              <w:rPr>
                <w:color w:val="auto"/>
              </w:rPr>
            </w:pPr>
            <w:r>
              <w:rPr>
                <w:color w:val="auto"/>
              </w:rPr>
              <w:t>F2-2/04</w:t>
            </w:r>
          </w:p>
        </w:tc>
        <w:tc>
          <w:tcPr>
            <w:tcW w:w="1844" w:type="pct"/>
            <w:noWrap/>
            <w:vAlign w:val="center"/>
          </w:tcPr>
          <w:p w14:paraId="4E03A815">
            <w:pPr>
              <w:pStyle w:val="44"/>
              <w:rPr>
                <w:color w:val="auto"/>
              </w:rPr>
            </w:pPr>
            <w:r>
              <w:rPr>
                <w:color w:val="auto"/>
              </w:rPr>
              <w:t>泰亨.至尚鸿景</w:t>
            </w:r>
          </w:p>
        </w:tc>
        <w:tc>
          <w:tcPr>
            <w:tcW w:w="915" w:type="pct"/>
            <w:noWrap/>
            <w:vAlign w:val="center"/>
          </w:tcPr>
          <w:p w14:paraId="16B0FF15">
            <w:pPr>
              <w:pStyle w:val="44"/>
              <w:rPr>
                <w:color w:val="auto"/>
              </w:rPr>
            </w:pPr>
            <w:r>
              <w:rPr>
                <w:color w:val="auto"/>
              </w:rPr>
              <w:t xml:space="preserve">2.01 </w:t>
            </w:r>
          </w:p>
        </w:tc>
        <w:tc>
          <w:tcPr>
            <w:tcW w:w="592" w:type="pct"/>
            <w:noWrap/>
            <w:vAlign w:val="center"/>
          </w:tcPr>
          <w:p w14:paraId="6E7C54AD">
            <w:pPr>
              <w:pStyle w:val="44"/>
              <w:rPr>
                <w:color w:val="auto"/>
              </w:rPr>
            </w:pPr>
            <w:r>
              <w:rPr>
                <w:color w:val="auto"/>
              </w:rPr>
              <w:t>2006年</w:t>
            </w:r>
          </w:p>
        </w:tc>
      </w:tr>
      <w:tr w14:paraId="63BFE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58B667B">
            <w:pPr>
              <w:pStyle w:val="44"/>
              <w:rPr>
                <w:color w:val="auto"/>
              </w:rPr>
            </w:pPr>
            <w:r>
              <w:rPr>
                <w:color w:val="auto"/>
              </w:rPr>
              <w:t>3</w:t>
            </w:r>
          </w:p>
        </w:tc>
        <w:tc>
          <w:tcPr>
            <w:tcW w:w="530" w:type="pct"/>
            <w:vMerge w:val="continue"/>
            <w:vAlign w:val="center"/>
          </w:tcPr>
          <w:p w14:paraId="59546B68">
            <w:pPr>
              <w:pStyle w:val="44"/>
              <w:rPr>
                <w:color w:val="auto"/>
              </w:rPr>
            </w:pPr>
          </w:p>
        </w:tc>
        <w:tc>
          <w:tcPr>
            <w:tcW w:w="751" w:type="pct"/>
            <w:noWrap/>
            <w:vAlign w:val="center"/>
          </w:tcPr>
          <w:p w14:paraId="3AA797BF">
            <w:pPr>
              <w:pStyle w:val="44"/>
              <w:rPr>
                <w:color w:val="auto"/>
              </w:rPr>
            </w:pPr>
            <w:r>
              <w:rPr>
                <w:color w:val="auto"/>
              </w:rPr>
              <w:t>F3-3-1/05</w:t>
            </w:r>
          </w:p>
        </w:tc>
        <w:tc>
          <w:tcPr>
            <w:tcW w:w="1844" w:type="pct"/>
            <w:noWrap/>
            <w:vAlign w:val="center"/>
          </w:tcPr>
          <w:p w14:paraId="287F3AFC">
            <w:pPr>
              <w:pStyle w:val="44"/>
              <w:rPr>
                <w:color w:val="auto"/>
              </w:rPr>
            </w:pPr>
            <w:r>
              <w:rPr>
                <w:color w:val="auto"/>
              </w:rPr>
              <w:t>重庆周君记火锅食品有限公司</w:t>
            </w:r>
          </w:p>
        </w:tc>
        <w:tc>
          <w:tcPr>
            <w:tcW w:w="915" w:type="pct"/>
            <w:noWrap/>
            <w:vAlign w:val="center"/>
          </w:tcPr>
          <w:p w14:paraId="7BA30434">
            <w:pPr>
              <w:pStyle w:val="44"/>
              <w:rPr>
                <w:color w:val="auto"/>
              </w:rPr>
            </w:pPr>
            <w:r>
              <w:rPr>
                <w:color w:val="auto"/>
              </w:rPr>
              <w:t xml:space="preserve">2.18 </w:t>
            </w:r>
          </w:p>
        </w:tc>
        <w:tc>
          <w:tcPr>
            <w:tcW w:w="592" w:type="pct"/>
            <w:noWrap/>
            <w:vAlign w:val="center"/>
          </w:tcPr>
          <w:p w14:paraId="4AE9052B">
            <w:pPr>
              <w:pStyle w:val="44"/>
              <w:rPr>
                <w:color w:val="auto"/>
              </w:rPr>
            </w:pPr>
            <w:r>
              <w:rPr>
                <w:color w:val="auto"/>
              </w:rPr>
              <w:t>2002年</w:t>
            </w:r>
          </w:p>
        </w:tc>
      </w:tr>
      <w:tr w14:paraId="370DE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9C86AA0">
            <w:pPr>
              <w:pStyle w:val="44"/>
              <w:rPr>
                <w:color w:val="auto"/>
              </w:rPr>
            </w:pPr>
            <w:r>
              <w:rPr>
                <w:color w:val="auto"/>
              </w:rPr>
              <w:t>4</w:t>
            </w:r>
          </w:p>
        </w:tc>
        <w:tc>
          <w:tcPr>
            <w:tcW w:w="530" w:type="pct"/>
            <w:vMerge w:val="continue"/>
            <w:vAlign w:val="center"/>
          </w:tcPr>
          <w:p w14:paraId="3FBBA7A8">
            <w:pPr>
              <w:pStyle w:val="44"/>
              <w:rPr>
                <w:color w:val="auto"/>
              </w:rPr>
            </w:pPr>
          </w:p>
        </w:tc>
        <w:tc>
          <w:tcPr>
            <w:tcW w:w="751" w:type="pct"/>
            <w:noWrap/>
            <w:vAlign w:val="center"/>
          </w:tcPr>
          <w:p w14:paraId="0A92471F">
            <w:pPr>
              <w:pStyle w:val="44"/>
              <w:rPr>
                <w:color w:val="auto"/>
              </w:rPr>
            </w:pPr>
            <w:r>
              <w:rPr>
                <w:color w:val="auto"/>
              </w:rPr>
              <w:t>F3-3-2/05</w:t>
            </w:r>
          </w:p>
        </w:tc>
        <w:tc>
          <w:tcPr>
            <w:tcW w:w="1844" w:type="pct"/>
            <w:noWrap/>
            <w:vAlign w:val="center"/>
          </w:tcPr>
          <w:p w14:paraId="36918ACA">
            <w:pPr>
              <w:pStyle w:val="44"/>
              <w:rPr>
                <w:color w:val="auto"/>
              </w:rPr>
            </w:pPr>
            <w:r>
              <w:rPr>
                <w:color w:val="auto"/>
              </w:rPr>
              <w:t>重庆千禧汽车地毯制造有限公司</w:t>
            </w:r>
          </w:p>
        </w:tc>
        <w:tc>
          <w:tcPr>
            <w:tcW w:w="915" w:type="pct"/>
            <w:noWrap/>
            <w:vAlign w:val="center"/>
          </w:tcPr>
          <w:p w14:paraId="43B6ED93">
            <w:pPr>
              <w:pStyle w:val="44"/>
              <w:rPr>
                <w:color w:val="auto"/>
              </w:rPr>
            </w:pPr>
            <w:r>
              <w:rPr>
                <w:color w:val="auto"/>
              </w:rPr>
              <w:t xml:space="preserve">1.84 </w:t>
            </w:r>
          </w:p>
        </w:tc>
        <w:tc>
          <w:tcPr>
            <w:tcW w:w="592" w:type="pct"/>
            <w:noWrap/>
            <w:vAlign w:val="center"/>
          </w:tcPr>
          <w:p w14:paraId="1CF03036">
            <w:pPr>
              <w:pStyle w:val="44"/>
              <w:rPr>
                <w:color w:val="auto"/>
              </w:rPr>
            </w:pPr>
            <w:r>
              <w:rPr>
                <w:color w:val="auto"/>
              </w:rPr>
              <w:t>2004年</w:t>
            </w:r>
          </w:p>
        </w:tc>
      </w:tr>
      <w:tr w14:paraId="6F1C7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6A87362">
            <w:pPr>
              <w:pStyle w:val="44"/>
              <w:rPr>
                <w:color w:val="auto"/>
              </w:rPr>
            </w:pPr>
            <w:r>
              <w:rPr>
                <w:color w:val="auto"/>
              </w:rPr>
              <w:t>5</w:t>
            </w:r>
          </w:p>
        </w:tc>
        <w:tc>
          <w:tcPr>
            <w:tcW w:w="530" w:type="pct"/>
            <w:vMerge w:val="continue"/>
            <w:vAlign w:val="center"/>
          </w:tcPr>
          <w:p w14:paraId="42A45FCF">
            <w:pPr>
              <w:pStyle w:val="44"/>
              <w:rPr>
                <w:color w:val="auto"/>
              </w:rPr>
            </w:pPr>
          </w:p>
        </w:tc>
        <w:tc>
          <w:tcPr>
            <w:tcW w:w="751" w:type="pct"/>
            <w:vMerge w:val="restart"/>
            <w:noWrap/>
            <w:vAlign w:val="center"/>
          </w:tcPr>
          <w:p w14:paraId="65464D2C">
            <w:pPr>
              <w:pStyle w:val="44"/>
              <w:rPr>
                <w:color w:val="auto"/>
              </w:rPr>
            </w:pPr>
            <w:r>
              <w:rPr>
                <w:color w:val="auto"/>
              </w:rPr>
              <w:t>F2-5/03</w:t>
            </w:r>
          </w:p>
        </w:tc>
        <w:tc>
          <w:tcPr>
            <w:tcW w:w="1844" w:type="pct"/>
            <w:noWrap/>
            <w:vAlign w:val="center"/>
          </w:tcPr>
          <w:p w14:paraId="28BA70E3">
            <w:pPr>
              <w:pStyle w:val="44"/>
              <w:rPr>
                <w:color w:val="auto"/>
              </w:rPr>
            </w:pPr>
            <w:r>
              <w:rPr>
                <w:color w:val="auto"/>
              </w:rPr>
              <w:t>重庆御捷产业园</w:t>
            </w:r>
          </w:p>
        </w:tc>
        <w:tc>
          <w:tcPr>
            <w:tcW w:w="915" w:type="pct"/>
            <w:vMerge w:val="restart"/>
            <w:noWrap/>
            <w:vAlign w:val="center"/>
          </w:tcPr>
          <w:p w14:paraId="3F475C12">
            <w:pPr>
              <w:pStyle w:val="44"/>
              <w:rPr>
                <w:color w:val="auto"/>
              </w:rPr>
            </w:pPr>
            <w:r>
              <w:rPr>
                <w:color w:val="auto"/>
              </w:rPr>
              <w:t xml:space="preserve">6.38 </w:t>
            </w:r>
          </w:p>
        </w:tc>
        <w:tc>
          <w:tcPr>
            <w:tcW w:w="592" w:type="pct"/>
            <w:noWrap/>
            <w:vAlign w:val="center"/>
          </w:tcPr>
          <w:p w14:paraId="39837D03">
            <w:pPr>
              <w:pStyle w:val="44"/>
              <w:rPr>
                <w:color w:val="auto"/>
              </w:rPr>
            </w:pPr>
            <w:r>
              <w:rPr>
                <w:color w:val="auto"/>
              </w:rPr>
              <w:t>2003年</w:t>
            </w:r>
          </w:p>
        </w:tc>
      </w:tr>
      <w:tr w14:paraId="657E8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73C5237">
            <w:pPr>
              <w:pStyle w:val="44"/>
              <w:rPr>
                <w:color w:val="auto"/>
              </w:rPr>
            </w:pPr>
            <w:r>
              <w:rPr>
                <w:color w:val="auto"/>
              </w:rPr>
              <w:t>6</w:t>
            </w:r>
          </w:p>
        </w:tc>
        <w:tc>
          <w:tcPr>
            <w:tcW w:w="530" w:type="pct"/>
            <w:vMerge w:val="continue"/>
            <w:vAlign w:val="center"/>
          </w:tcPr>
          <w:p w14:paraId="15247CEE">
            <w:pPr>
              <w:pStyle w:val="44"/>
              <w:rPr>
                <w:color w:val="auto"/>
              </w:rPr>
            </w:pPr>
          </w:p>
        </w:tc>
        <w:tc>
          <w:tcPr>
            <w:tcW w:w="751" w:type="pct"/>
            <w:vMerge w:val="continue"/>
            <w:vAlign w:val="center"/>
          </w:tcPr>
          <w:p w14:paraId="2F46C5F2">
            <w:pPr>
              <w:pStyle w:val="44"/>
              <w:rPr>
                <w:color w:val="auto"/>
              </w:rPr>
            </w:pPr>
          </w:p>
        </w:tc>
        <w:tc>
          <w:tcPr>
            <w:tcW w:w="1844" w:type="pct"/>
            <w:noWrap/>
            <w:vAlign w:val="center"/>
          </w:tcPr>
          <w:p w14:paraId="18D85DF9">
            <w:pPr>
              <w:pStyle w:val="44"/>
              <w:rPr>
                <w:color w:val="auto"/>
              </w:rPr>
            </w:pPr>
            <w:r>
              <w:rPr>
                <w:color w:val="auto"/>
              </w:rPr>
              <w:t>重庆共田机械制造有限公司</w:t>
            </w:r>
          </w:p>
        </w:tc>
        <w:tc>
          <w:tcPr>
            <w:tcW w:w="915" w:type="pct"/>
            <w:vMerge w:val="continue"/>
            <w:vAlign w:val="center"/>
          </w:tcPr>
          <w:p w14:paraId="276E735A">
            <w:pPr>
              <w:pStyle w:val="44"/>
              <w:rPr>
                <w:color w:val="auto"/>
              </w:rPr>
            </w:pPr>
          </w:p>
        </w:tc>
        <w:tc>
          <w:tcPr>
            <w:tcW w:w="592" w:type="pct"/>
            <w:noWrap/>
            <w:vAlign w:val="center"/>
          </w:tcPr>
          <w:p w14:paraId="0639AE90">
            <w:pPr>
              <w:pStyle w:val="44"/>
              <w:rPr>
                <w:color w:val="auto"/>
              </w:rPr>
            </w:pPr>
            <w:r>
              <w:rPr>
                <w:color w:val="auto"/>
              </w:rPr>
              <w:t>2004年</w:t>
            </w:r>
          </w:p>
        </w:tc>
      </w:tr>
      <w:tr w14:paraId="03D4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6E272F1">
            <w:pPr>
              <w:pStyle w:val="44"/>
              <w:rPr>
                <w:color w:val="auto"/>
              </w:rPr>
            </w:pPr>
            <w:r>
              <w:rPr>
                <w:color w:val="auto"/>
              </w:rPr>
              <w:t>7</w:t>
            </w:r>
          </w:p>
        </w:tc>
        <w:tc>
          <w:tcPr>
            <w:tcW w:w="530" w:type="pct"/>
            <w:vMerge w:val="continue"/>
            <w:vAlign w:val="center"/>
          </w:tcPr>
          <w:p w14:paraId="504029E2">
            <w:pPr>
              <w:pStyle w:val="44"/>
              <w:rPr>
                <w:color w:val="auto"/>
              </w:rPr>
            </w:pPr>
          </w:p>
        </w:tc>
        <w:tc>
          <w:tcPr>
            <w:tcW w:w="751" w:type="pct"/>
            <w:vMerge w:val="continue"/>
            <w:vAlign w:val="center"/>
          </w:tcPr>
          <w:p w14:paraId="33C31C69">
            <w:pPr>
              <w:pStyle w:val="44"/>
              <w:rPr>
                <w:color w:val="auto"/>
              </w:rPr>
            </w:pPr>
          </w:p>
        </w:tc>
        <w:tc>
          <w:tcPr>
            <w:tcW w:w="1844" w:type="pct"/>
            <w:noWrap/>
            <w:vAlign w:val="center"/>
          </w:tcPr>
          <w:p w14:paraId="3EEA5E28">
            <w:pPr>
              <w:pStyle w:val="44"/>
              <w:rPr>
                <w:color w:val="auto"/>
              </w:rPr>
            </w:pPr>
            <w:r>
              <w:rPr>
                <w:color w:val="auto"/>
              </w:rPr>
              <w:t>重庆双性自动化技术有限公司</w:t>
            </w:r>
          </w:p>
        </w:tc>
        <w:tc>
          <w:tcPr>
            <w:tcW w:w="915" w:type="pct"/>
            <w:vMerge w:val="continue"/>
            <w:vAlign w:val="center"/>
          </w:tcPr>
          <w:p w14:paraId="70F8E465">
            <w:pPr>
              <w:pStyle w:val="44"/>
              <w:rPr>
                <w:color w:val="auto"/>
              </w:rPr>
            </w:pPr>
          </w:p>
        </w:tc>
        <w:tc>
          <w:tcPr>
            <w:tcW w:w="592" w:type="pct"/>
            <w:noWrap/>
            <w:vAlign w:val="center"/>
          </w:tcPr>
          <w:p w14:paraId="2D38E0E7">
            <w:pPr>
              <w:pStyle w:val="44"/>
              <w:rPr>
                <w:color w:val="auto"/>
              </w:rPr>
            </w:pPr>
            <w:r>
              <w:rPr>
                <w:color w:val="auto"/>
              </w:rPr>
              <w:t>2005年</w:t>
            </w:r>
          </w:p>
        </w:tc>
      </w:tr>
      <w:tr w14:paraId="5CB42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EB02154">
            <w:pPr>
              <w:pStyle w:val="44"/>
              <w:rPr>
                <w:color w:val="auto"/>
              </w:rPr>
            </w:pPr>
            <w:r>
              <w:rPr>
                <w:color w:val="auto"/>
              </w:rPr>
              <w:t>8</w:t>
            </w:r>
          </w:p>
        </w:tc>
        <w:tc>
          <w:tcPr>
            <w:tcW w:w="530" w:type="pct"/>
            <w:vMerge w:val="continue"/>
            <w:vAlign w:val="center"/>
          </w:tcPr>
          <w:p w14:paraId="588FB035">
            <w:pPr>
              <w:pStyle w:val="44"/>
              <w:rPr>
                <w:color w:val="auto"/>
              </w:rPr>
            </w:pPr>
          </w:p>
        </w:tc>
        <w:tc>
          <w:tcPr>
            <w:tcW w:w="751" w:type="pct"/>
            <w:noWrap/>
            <w:vAlign w:val="center"/>
          </w:tcPr>
          <w:p w14:paraId="0441751C">
            <w:pPr>
              <w:pStyle w:val="44"/>
              <w:rPr>
                <w:color w:val="auto"/>
              </w:rPr>
            </w:pPr>
            <w:r>
              <w:rPr>
                <w:color w:val="auto"/>
              </w:rPr>
              <w:t>F4-4-1/03</w:t>
            </w:r>
          </w:p>
        </w:tc>
        <w:tc>
          <w:tcPr>
            <w:tcW w:w="1844" w:type="pct"/>
            <w:noWrap/>
            <w:vAlign w:val="center"/>
          </w:tcPr>
          <w:p w14:paraId="519993B8">
            <w:pPr>
              <w:pStyle w:val="44"/>
              <w:rPr>
                <w:color w:val="auto"/>
              </w:rPr>
            </w:pPr>
            <w:r>
              <w:rPr>
                <w:color w:val="auto"/>
              </w:rPr>
              <w:t>重庆凯荣机械有限责任公司</w:t>
            </w:r>
          </w:p>
        </w:tc>
        <w:tc>
          <w:tcPr>
            <w:tcW w:w="915" w:type="pct"/>
            <w:noWrap/>
            <w:vAlign w:val="center"/>
          </w:tcPr>
          <w:p w14:paraId="582D01A7">
            <w:pPr>
              <w:pStyle w:val="44"/>
              <w:rPr>
                <w:color w:val="auto"/>
              </w:rPr>
            </w:pPr>
            <w:r>
              <w:rPr>
                <w:color w:val="auto"/>
              </w:rPr>
              <w:t xml:space="preserve">1.69 </w:t>
            </w:r>
          </w:p>
        </w:tc>
        <w:tc>
          <w:tcPr>
            <w:tcW w:w="592" w:type="pct"/>
            <w:noWrap/>
            <w:vAlign w:val="center"/>
          </w:tcPr>
          <w:p w14:paraId="6AC20558">
            <w:pPr>
              <w:pStyle w:val="44"/>
              <w:rPr>
                <w:color w:val="auto"/>
              </w:rPr>
            </w:pPr>
            <w:r>
              <w:rPr>
                <w:color w:val="auto"/>
              </w:rPr>
              <w:t>2006年</w:t>
            </w:r>
          </w:p>
        </w:tc>
      </w:tr>
      <w:tr w14:paraId="631B8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AFFE781">
            <w:pPr>
              <w:pStyle w:val="44"/>
              <w:rPr>
                <w:color w:val="auto"/>
              </w:rPr>
            </w:pPr>
            <w:r>
              <w:rPr>
                <w:color w:val="auto"/>
              </w:rPr>
              <w:t>9</w:t>
            </w:r>
          </w:p>
        </w:tc>
        <w:tc>
          <w:tcPr>
            <w:tcW w:w="530" w:type="pct"/>
            <w:vMerge w:val="continue"/>
            <w:vAlign w:val="center"/>
          </w:tcPr>
          <w:p w14:paraId="21B3BF85">
            <w:pPr>
              <w:pStyle w:val="44"/>
              <w:rPr>
                <w:color w:val="auto"/>
              </w:rPr>
            </w:pPr>
          </w:p>
        </w:tc>
        <w:tc>
          <w:tcPr>
            <w:tcW w:w="751" w:type="pct"/>
            <w:noWrap/>
            <w:vAlign w:val="center"/>
          </w:tcPr>
          <w:p w14:paraId="7972726D">
            <w:pPr>
              <w:pStyle w:val="44"/>
              <w:rPr>
                <w:color w:val="auto"/>
              </w:rPr>
            </w:pPr>
            <w:r>
              <w:rPr>
                <w:color w:val="auto"/>
              </w:rPr>
              <w:t>F6-1/02</w:t>
            </w:r>
          </w:p>
        </w:tc>
        <w:tc>
          <w:tcPr>
            <w:tcW w:w="1844" w:type="pct"/>
            <w:vAlign w:val="center"/>
          </w:tcPr>
          <w:p w14:paraId="792D533F">
            <w:pPr>
              <w:pStyle w:val="44"/>
              <w:rPr>
                <w:color w:val="auto"/>
              </w:rPr>
            </w:pPr>
            <w:r>
              <w:rPr>
                <w:color w:val="auto"/>
              </w:rPr>
              <w:t>振兴建材厂</w:t>
            </w:r>
          </w:p>
        </w:tc>
        <w:tc>
          <w:tcPr>
            <w:tcW w:w="915" w:type="pct"/>
            <w:noWrap/>
            <w:vAlign w:val="center"/>
          </w:tcPr>
          <w:p w14:paraId="6832D671">
            <w:pPr>
              <w:pStyle w:val="44"/>
              <w:rPr>
                <w:color w:val="auto"/>
              </w:rPr>
            </w:pPr>
            <w:r>
              <w:rPr>
                <w:color w:val="auto"/>
              </w:rPr>
              <w:t xml:space="preserve">1.23 </w:t>
            </w:r>
          </w:p>
        </w:tc>
        <w:tc>
          <w:tcPr>
            <w:tcW w:w="592" w:type="pct"/>
            <w:noWrap/>
            <w:vAlign w:val="center"/>
          </w:tcPr>
          <w:p w14:paraId="0022D3F8">
            <w:pPr>
              <w:pStyle w:val="44"/>
              <w:rPr>
                <w:color w:val="auto"/>
              </w:rPr>
            </w:pPr>
            <w:r>
              <w:rPr>
                <w:color w:val="auto"/>
              </w:rPr>
              <w:t>2005年</w:t>
            </w:r>
          </w:p>
        </w:tc>
      </w:tr>
      <w:tr w14:paraId="50A28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FCDBD2B">
            <w:pPr>
              <w:pStyle w:val="44"/>
              <w:rPr>
                <w:color w:val="auto"/>
              </w:rPr>
            </w:pPr>
            <w:r>
              <w:rPr>
                <w:color w:val="auto"/>
              </w:rPr>
              <w:t>10</w:t>
            </w:r>
          </w:p>
        </w:tc>
        <w:tc>
          <w:tcPr>
            <w:tcW w:w="530" w:type="pct"/>
            <w:vMerge w:val="continue"/>
            <w:vAlign w:val="center"/>
          </w:tcPr>
          <w:p w14:paraId="6E4E2AC2">
            <w:pPr>
              <w:pStyle w:val="44"/>
              <w:rPr>
                <w:color w:val="auto"/>
              </w:rPr>
            </w:pPr>
          </w:p>
        </w:tc>
        <w:tc>
          <w:tcPr>
            <w:tcW w:w="751" w:type="pct"/>
            <w:noWrap/>
            <w:vAlign w:val="center"/>
          </w:tcPr>
          <w:p w14:paraId="141968B0">
            <w:pPr>
              <w:pStyle w:val="44"/>
              <w:rPr>
                <w:color w:val="auto"/>
              </w:rPr>
            </w:pPr>
            <w:r>
              <w:rPr>
                <w:color w:val="auto"/>
              </w:rPr>
              <w:t>F8-1/02</w:t>
            </w:r>
          </w:p>
        </w:tc>
        <w:tc>
          <w:tcPr>
            <w:tcW w:w="1844" w:type="pct"/>
            <w:noWrap/>
            <w:vAlign w:val="center"/>
          </w:tcPr>
          <w:p w14:paraId="2B6CB575">
            <w:pPr>
              <w:pStyle w:val="44"/>
              <w:rPr>
                <w:color w:val="auto"/>
              </w:rPr>
            </w:pPr>
            <w:r>
              <w:rPr>
                <w:color w:val="auto"/>
              </w:rPr>
              <w:t>重庆普什</w:t>
            </w:r>
          </w:p>
        </w:tc>
        <w:tc>
          <w:tcPr>
            <w:tcW w:w="915" w:type="pct"/>
            <w:noWrap/>
            <w:vAlign w:val="center"/>
          </w:tcPr>
          <w:p w14:paraId="7859BDD8">
            <w:pPr>
              <w:pStyle w:val="44"/>
              <w:rPr>
                <w:color w:val="auto"/>
              </w:rPr>
            </w:pPr>
            <w:r>
              <w:rPr>
                <w:color w:val="auto"/>
              </w:rPr>
              <w:t xml:space="preserve">5.81 </w:t>
            </w:r>
          </w:p>
        </w:tc>
        <w:tc>
          <w:tcPr>
            <w:tcW w:w="592" w:type="pct"/>
            <w:noWrap/>
            <w:vAlign w:val="center"/>
          </w:tcPr>
          <w:p w14:paraId="5FA11091">
            <w:pPr>
              <w:pStyle w:val="44"/>
              <w:rPr>
                <w:color w:val="auto"/>
              </w:rPr>
            </w:pPr>
            <w:r>
              <w:rPr>
                <w:color w:val="auto"/>
              </w:rPr>
              <w:t>2002年</w:t>
            </w:r>
          </w:p>
        </w:tc>
      </w:tr>
      <w:tr w14:paraId="08C059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AFCE243">
            <w:pPr>
              <w:pStyle w:val="44"/>
              <w:rPr>
                <w:color w:val="auto"/>
              </w:rPr>
            </w:pPr>
            <w:r>
              <w:rPr>
                <w:color w:val="auto"/>
              </w:rPr>
              <w:t>11</w:t>
            </w:r>
          </w:p>
        </w:tc>
        <w:tc>
          <w:tcPr>
            <w:tcW w:w="530" w:type="pct"/>
            <w:vMerge w:val="continue"/>
            <w:vAlign w:val="center"/>
          </w:tcPr>
          <w:p w14:paraId="6E388288">
            <w:pPr>
              <w:pStyle w:val="44"/>
              <w:rPr>
                <w:color w:val="auto"/>
              </w:rPr>
            </w:pPr>
          </w:p>
        </w:tc>
        <w:tc>
          <w:tcPr>
            <w:tcW w:w="751" w:type="pct"/>
            <w:noWrap/>
            <w:vAlign w:val="center"/>
          </w:tcPr>
          <w:p w14:paraId="0E260183">
            <w:pPr>
              <w:pStyle w:val="44"/>
              <w:rPr>
                <w:color w:val="auto"/>
              </w:rPr>
            </w:pPr>
            <w:r>
              <w:rPr>
                <w:color w:val="auto"/>
              </w:rPr>
              <w:t>F20-2-1/05</w:t>
            </w:r>
          </w:p>
        </w:tc>
        <w:tc>
          <w:tcPr>
            <w:tcW w:w="1844" w:type="pct"/>
            <w:noWrap/>
            <w:vAlign w:val="center"/>
          </w:tcPr>
          <w:p w14:paraId="2A00FFA6">
            <w:pPr>
              <w:pStyle w:val="44"/>
              <w:rPr>
                <w:color w:val="auto"/>
              </w:rPr>
            </w:pPr>
            <w:r>
              <w:rPr>
                <w:color w:val="auto"/>
              </w:rPr>
              <w:t>重庆建设.雅马哈摩托车有限公司</w:t>
            </w:r>
          </w:p>
        </w:tc>
        <w:tc>
          <w:tcPr>
            <w:tcW w:w="915" w:type="pct"/>
            <w:noWrap/>
            <w:vAlign w:val="center"/>
          </w:tcPr>
          <w:p w14:paraId="1CBFE86B">
            <w:pPr>
              <w:pStyle w:val="44"/>
              <w:rPr>
                <w:color w:val="auto"/>
              </w:rPr>
            </w:pPr>
            <w:r>
              <w:rPr>
                <w:color w:val="auto"/>
              </w:rPr>
              <w:t xml:space="preserve">5.23 </w:t>
            </w:r>
          </w:p>
        </w:tc>
        <w:tc>
          <w:tcPr>
            <w:tcW w:w="592" w:type="pct"/>
            <w:noWrap/>
            <w:vAlign w:val="center"/>
          </w:tcPr>
          <w:p w14:paraId="77190FD2">
            <w:pPr>
              <w:pStyle w:val="44"/>
              <w:rPr>
                <w:color w:val="auto"/>
              </w:rPr>
            </w:pPr>
            <w:r>
              <w:rPr>
                <w:color w:val="auto"/>
              </w:rPr>
              <w:t>2005年</w:t>
            </w:r>
          </w:p>
        </w:tc>
      </w:tr>
      <w:tr w14:paraId="09A32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77A5103">
            <w:pPr>
              <w:pStyle w:val="44"/>
              <w:rPr>
                <w:color w:val="auto"/>
              </w:rPr>
            </w:pPr>
            <w:r>
              <w:rPr>
                <w:color w:val="auto"/>
              </w:rPr>
              <w:t>12</w:t>
            </w:r>
          </w:p>
        </w:tc>
        <w:tc>
          <w:tcPr>
            <w:tcW w:w="530" w:type="pct"/>
            <w:vMerge w:val="continue"/>
            <w:vAlign w:val="center"/>
          </w:tcPr>
          <w:p w14:paraId="45B231BA">
            <w:pPr>
              <w:pStyle w:val="44"/>
              <w:rPr>
                <w:color w:val="auto"/>
              </w:rPr>
            </w:pPr>
          </w:p>
        </w:tc>
        <w:tc>
          <w:tcPr>
            <w:tcW w:w="751" w:type="pct"/>
            <w:noWrap/>
            <w:vAlign w:val="center"/>
          </w:tcPr>
          <w:p w14:paraId="614C7448">
            <w:pPr>
              <w:pStyle w:val="44"/>
              <w:rPr>
                <w:color w:val="auto"/>
              </w:rPr>
            </w:pPr>
            <w:r>
              <w:rPr>
                <w:color w:val="auto"/>
              </w:rPr>
              <w:t>F20-2-2/05</w:t>
            </w:r>
          </w:p>
        </w:tc>
        <w:tc>
          <w:tcPr>
            <w:tcW w:w="1844" w:type="pct"/>
            <w:noWrap/>
            <w:vAlign w:val="center"/>
          </w:tcPr>
          <w:p w14:paraId="77672E4D">
            <w:pPr>
              <w:pStyle w:val="44"/>
              <w:rPr>
                <w:color w:val="auto"/>
              </w:rPr>
            </w:pPr>
            <w:r>
              <w:rPr>
                <w:color w:val="auto"/>
              </w:rPr>
              <w:t>重庆建设.雅马哈摩托车有限公司</w:t>
            </w:r>
          </w:p>
        </w:tc>
        <w:tc>
          <w:tcPr>
            <w:tcW w:w="915" w:type="pct"/>
            <w:noWrap/>
            <w:vAlign w:val="center"/>
          </w:tcPr>
          <w:p w14:paraId="41DF5ED0">
            <w:pPr>
              <w:pStyle w:val="44"/>
              <w:rPr>
                <w:color w:val="auto"/>
              </w:rPr>
            </w:pPr>
            <w:r>
              <w:rPr>
                <w:color w:val="auto"/>
              </w:rPr>
              <w:t xml:space="preserve">5.60 </w:t>
            </w:r>
          </w:p>
        </w:tc>
        <w:tc>
          <w:tcPr>
            <w:tcW w:w="592" w:type="pct"/>
            <w:noWrap/>
            <w:vAlign w:val="center"/>
          </w:tcPr>
          <w:p w14:paraId="5BBC42B8">
            <w:pPr>
              <w:pStyle w:val="44"/>
              <w:rPr>
                <w:color w:val="auto"/>
              </w:rPr>
            </w:pPr>
            <w:r>
              <w:rPr>
                <w:color w:val="auto"/>
              </w:rPr>
              <w:t xml:space="preserve">2005年 </w:t>
            </w:r>
          </w:p>
        </w:tc>
      </w:tr>
      <w:tr w14:paraId="24592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DD15D2F">
            <w:pPr>
              <w:pStyle w:val="44"/>
              <w:rPr>
                <w:color w:val="auto"/>
              </w:rPr>
            </w:pPr>
            <w:r>
              <w:rPr>
                <w:color w:val="auto"/>
              </w:rPr>
              <w:t>13</w:t>
            </w:r>
          </w:p>
        </w:tc>
        <w:tc>
          <w:tcPr>
            <w:tcW w:w="530" w:type="pct"/>
            <w:vMerge w:val="continue"/>
            <w:vAlign w:val="center"/>
          </w:tcPr>
          <w:p w14:paraId="4E9F69FB">
            <w:pPr>
              <w:pStyle w:val="44"/>
              <w:rPr>
                <w:color w:val="auto"/>
              </w:rPr>
            </w:pPr>
          </w:p>
        </w:tc>
        <w:tc>
          <w:tcPr>
            <w:tcW w:w="751" w:type="pct"/>
            <w:noWrap/>
            <w:vAlign w:val="center"/>
          </w:tcPr>
          <w:p w14:paraId="5E14CEAD">
            <w:pPr>
              <w:pStyle w:val="44"/>
              <w:rPr>
                <w:color w:val="auto"/>
              </w:rPr>
            </w:pPr>
            <w:r>
              <w:rPr>
                <w:color w:val="auto"/>
              </w:rPr>
              <w:t>F16-3/03</w:t>
            </w:r>
          </w:p>
        </w:tc>
        <w:tc>
          <w:tcPr>
            <w:tcW w:w="1844" w:type="pct"/>
            <w:noWrap/>
            <w:vAlign w:val="center"/>
          </w:tcPr>
          <w:p w14:paraId="16AD3332">
            <w:pPr>
              <w:pStyle w:val="44"/>
              <w:rPr>
                <w:color w:val="auto"/>
              </w:rPr>
            </w:pPr>
            <w:r>
              <w:rPr>
                <w:color w:val="auto"/>
              </w:rPr>
              <w:t>重庆建设.雅马哈摩托车有限公司</w:t>
            </w:r>
          </w:p>
        </w:tc>
        <w:tc>
          <w:tcPr>
            <w:tcW w:w="915" w:type="pct"/>
            <w:noWrap/>
            <w:vAlign w:val="center"/>
          </w:tcPr>
          <w:p w14:paraId="5471E1BA">
            <w:pPr>
              <w:pStyle w:val="44"/>
              <w:rPr>
                <w:color w:val="auto"/>
              </w:rPr>
            </w:pPr>
            <w:r>
              <w:rPr>
                <w:color w:val="auto"/>
              </w:rPr>
              <w:t xml:space="preserve">0.78 </w:t>
            </w:r>
          </w:p>
        </w:tc>
        <w:tc>
          <w:tcPr>
            <w:tcW w:w="592" w:type="pct"/>
            <w:noWrap/>
            <w:vAlign w:val="center"/>
          </w:tcPr>
          <w:p w14:paraId="4CAA281C">
            <w:pPr>
              <w:pStyle w:val="44"/>
              <w:rPr>
                <w:color w:val="auto"/>
              </w:rPr>
            </w:pPr>
            <w:r>
              <w:rPr>
                <w:color w:val="auto"/>
              </w:rPr>
              <w:t>2005年</w:t>
            </w:r>
          </w:p>
        </w:tc>
      </w:tr>
      <w:tr w14:paraId="3B1C2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4136A5B">
            <w:pPr>
              <w:pStyle w:val="44"/>
              <w:rPr>
                <w:color w:val="auto"/>
              </w:rPr>
            </w:pPr>
            <w:r>
              <w:rPr>
                <w:color w:val="auto"/>
              </w:rPr>
              <w:t>14</w:t>
            </w:r>
          </w:p>
        </w:tc>
        <w:tc>
          <w:tcPr>
            <w:tcW w:w="530" w:type="pct"/>
            <w:vMerge w:val="continue"/>
            <w:vAlign w:val="center"/>
          </w:tcPr>
          <w:p w14:paraId="70E1A94F">
            <w:pPr>
              <w:pStyle w:val="44"/>
              <w:rPr>
                <w:color w:val="auto"/>
              </w:rPr>
            </w:pPr>
          </w:p>
        </w:tc>
        <w:tc>
          <w:tcPr>
            <w:tcW w:w="751" w:type="pct"/>
            <w:noWrap/>
            <w:vAlign w:val="center"/>
          </w:tcPr>
          <w:p w14:paraId="1D65AA56">
            <w:pPr>
              <w:pStyle w:val="44"/>
              <w:rPr>
                <w:color w:val="auto"/>
              </w:rPr>
            </w:pPr>
            <w:r>
              <w:rPr>
                <w:color w:val="auto"/>
              </w:rPr>
              <w:t>F20-2-3/05</w:t>
            </w:r>
          </w:p>
        </w:tc>
        <w:tc>
          <w:tcPr>
            <w:tcW w:w="1844" w:type="pct"/>
            <w:noWrap/>
            <w:vAlign w:val="center"/>
          </w:tcPr>
          <w:p w14:paraId="367F59D5">
            <w:pPr>
              <w:pStyle w:val="44"/>
              <w:rPr>
                <w:color w:val="auto"/>
              </w:rPr>
            </w:pPr>
            <w:r>
              <w:rPr>
                <w:color w:val="auto"/>
              </w:rPr>
              <w:t>重庆建设.雅马哈摩托车有限公司</w:t>
            </w:r>
          </w:p>
        </w:tc>
        <w:tc>
          <w:tcPr>
            <w:tcW w:w="915" w:type="pct"/>
            <w:noWrap/>
            <w:vAlign w:val="center"/>
          </w:tcPr>
          <w:p w14:paraId="2F8058F8">
            <w:pPr>
              <w:pStyle w:val="44"/>
              <w:rPr>
                <w:color w:val="auto"/>
              </w:rPr>
            </w:pPr>
            <w:r>
              <w:rPr>
                <w:color w:val="auto"/>
              </w:rPr>
              <w:t xml:space="preserve">7.16 </w:t>
            </w:r>
          </w:p>
        </w:tc>
        <w:tc>
          <w:tcPr>
            <w:tcW w:w="592" w:type="pct"/>
            <w:noWrap/>
            <w:vAlign w:val="center"/>
          </w:tcPr>
          <w:p w14:paraId="130AA3E9">
            <w:pPr>
              <w:pStyle w:val="44"/>
              <w:rPr>
                <w:color w:val="auto"/>
              </w:rPr>
            </w:pPr>
            <w:r>
              <w:rPr>
                <w:color w:val="auto"/>
              </w:rPr>
              <w:t>2005年</w:t>
            </w:r>
          </w:p>
        </w:tc>
      </w:tr>
      <w:tr w14:paraId="1B591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371FD85">
            <w:pPr>
              <w:pStyle w:val="44"/>
              <w:rPr>
                <w:color w:val="auto"/>
              </w:rPr>
            </w:pPr>
            <w:r>
              <w:rPr>
                <w:color w:val="auto"/>
              </w:rPr>
              <w:t>15</w:t>
            </w:r>
          </w:p>
        </w:tc>
        <w:tc>
          <w:tcPr>
            <w:tcW w:w="530" w:type="pct"/>
            <w:vMerge w:val="continue"/>
            <w:vAlign w:val="center"/>
          </w:tcPr>
          <w:p w14:paraId="35E1DD5C">
            <w:pPr>
              <w:pStyle w:val="44"/>
              <w:rPr>
                <w:color w:val="auto"/>
              </w:rPr>
            </w:pPr>
          </w:p>
        </w:tc>
        <w:tc>
          <w:tcPr>
            <w:tcW w:w="751" w:type="pct"/>
            <w:noWrap/>
            <w:vAlign w:val="center"/>
          </w:tcPr>
          <w:p w14:paraId="7B38D1A4">
            <w:pPr>
              <w:pStyle w:val="44"/>
              <w:rPr>
                <w:color w:val="auto"/>
              </w:rPr>
            </w:pPr>
            <w:r>
              <w:rPr>
                <w:color w:val="auto"/>
              </w:rPr>
              <w:t>F20-2-4/05</w:t>
            </w:r>
          </w:p>
        </w:tc>
        <w:tc>
          <w:tcPr>
            <w:tcW w:w="1844" w:type="pct"/>
            <w:noWrap/>
            <w:vAlign w:val="center"/>
          </w:tcPr>
          <w:p w14:paraId="234ED3BE">
            <w:pPr>
              <w:pStyle w:val="44"/>
              <w:rPr>
                <w:color w:val="auto"/>
              </w:rPr>
            </w:pPr>
            <w:r>
              <w:rPr>
                <w:color w:val="auto"/>
              </w:rPr>
              <w:t>博城物流、重庆群驰汽修厂</w:t>
            </w:r>
          </w:p>
        </w:tc>
        <w:tc>
          <w:tcPr>
            <w:tcW w:w="915" w:type="pct"/>
            <w:noWrap/>
            <w:vAlign w:val="center"/>
          </w:tcPr>
          <w:p w14:paraId="07C4EDFE">
            <w:pPr>
              <w:pStyle w:val="44"/>
              <w:rPr>
                <w:color w:val="auto"/>
              </w:rPr>
            </w:pPr>
            <w:r>
              <w:rPr>
                <w:color w:val="auto"/>
              </w:rPr>
              <w:t xml:space="preserve">4.34 </w:t>
            </w:r>
          </w:p>
        </w:tc>
        <w:tc>
          <w:tcPr>
            <w:tcW w:w="592" w:type="pct"/>
            <w:noWrap/>
            <w:vAlign w:val="center"/>
          </w:tcPr>
          <w:p w14:paraId="4CD41DE8">
            <w:pPr>
              <w:pStyle w:val="44"/>
              <w:rPr>
                <w:color w:val="auto"/>
              </w:rPr>
            </w:pPr>
            <w:r>
              <w:rPr>
                <w:color w:val="auto"/>
              </w:rPr>
              <w:t>2003年</w:t>
            </w:r>
          </w:p>
        </w:tc>
      </w:tr>
      <w:tr w14:paraId="4260F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22947D7">
            <w:pPr>
              <w:pStyle w:val="44"/>
              <w:rPr>
                <w:color w:val="auto"/>
              </w:rPr>
            </w:pPr>
            <w:r>
              <w:rPr>
                <w:color w:val="auto"/>
              </w:rPr>
              <w:t>16</w:t>
            </w:r>
          </w:p>
        </w:tc>
        <w:tc>
          <w:tcPr>
            <w:tcW w:w="530" w:type="pct"/>
            <w:vMerge w:val="continue"/>
            <w:vAlign w:val="center"/>
          </w:tcPr>
          <w:p w14:paraId="40AB0450">
            <w:pPr>
              <w:pStyle w:val="44"/>
              <w:rPr>
                <w:color w:val="auto"/>
              </w:rPr>
            </w:pPr>
          </w:p>
        </w:tc>
        <w:tc>
          <w:tcPr>
            <w:tcW w:w="751" w:type="pct"/>
            <w:noWrap/>
            <w:vAlign w:val="center"/>
          </w:tcPr>
          <w:p w14:paraId="37F2579E">
            <w:pPr>
              <w:pStyle w:val="44"/>
              <w:rPr>
                <w:color w:val="auto"/>
              </w:rPr>
            </w:pPr>
            <w:r>
              <w:rPr>
                <w:color w:val="auto"/>
              </w:rPr>
              <w:t>F21-3/05</w:t>
            </w:r>
          </w:p>
        </w:tc>
        <w:tc>
          <w:tcPr>
            <w:tcW w:w="1844" w:type="pct"/>
            <w:noWrap/>
            <w:vAlign w:val="center"/>
          </w:tcPr>
          <w:p w14:paraId="0E8F6AE5">
            <w:pPr>
              <w:pStyle w:val="44"/>
              <w:rPr>
                <w:color w:val="auto"/>
              </w:rPr>
            </w:pPr>
            <w:r>
              <w:rPr>
                <w:color w:val="auto"/>
              </w:rPr>
              <w:t>重庆建设车用空调器有限公司</w:t>
            </w:r>
          </w:p>
        </w:tc>
        <w:tc>
          <w:tcPr>
            <w:tcW w:w="915" w:type="pct"/>
            <w:noWrap/>
            <w:vAlign w:val="center"/>
          </w:tcPr>
          <w:p w14:paraId="7E9E467C">
            <w:pPr>
              <w:pStyle w:val="44"/>
              <w:rPr>
                <w:color w:val="auto"/>
              </w:rPr>
            </w:pPr>
            <w:r>
              <w:rPr>
                <w:color w:val="auto"/>
              </w:rPr>
              <w:t xml:space="preserve">0.10 </w:t>
            </w:r>
          </w:p>
        </w:tc>
        <w:tc>
          <w:tcPr>
            <w:tcW w:w="592" w:type="pct"/>
            <w:noWrap/>
            <w:vAlign w:val="center"/>
          </w:tcPr>
          <w:p w14:paraId="28EB1A78">
            <w:pPr>
              <w:pStyle w:val="44"/>
              <w:rPr>
                <w:color w:val="auto"/>
              </w:rPr>
            </w:pPr>
            <w:r>
              <w:rPr>
                <w:color w:val="auto"/>
              </w:rPr>
              <w:t>2005年</w:t>
            </w:r>
          </w:p>
        </w:tc>
      </w:tr>
      <w:tr w14:paraId="416B8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4E998B8">
            <w:pPr>
              <w:pStyle w:val="44"/>
              <w:rPr>
                <w:color w:val="auto"/>
              </w:rPr>
            </w:pPr>
            <w:r>
              <w:rPr>
                <w:color w:val="auto"/>
              </w:rPr>
              <w:t>17</w:t>
            </w:r>
          </w:p>
        </w:tc>
        <w:tc>
          <w:tcPr>
            <w:tcW w:w="530" w:type="pct"/>
            <w:vMerge w:val="continue"/>
            <w:vAlign w:val="center"/>
          </w:tcPr>
          <w:p w14:paraId="0F49CCA5">
            <w:pPr>
              <w:pStyle w:val="44"/>
              <w:rPr>
                <w:color w:val="auto"/>
              </w:rPr>
            </w:pPr>
          </w:p>
        </w:tc>
        <w:tc>
          <w:tcPr>
            <w:tcW w:w="751" w:type="pct"/>
            <w:noWrap/>
            <w:vAlign w:val="center"/>
          </w:tcPr>
          <w:p w14:paraId="42AF5FF5">
            <w:pPr>
              <w:pStyle w:val="44"/>
              <w:rPr>
                <w:color w:val="auto"/>
              </w:rPr>
            </w:pPr>
            <w:r>
              <w:rPr>
                <w:color w:val="auto"/>
              </w:rPr>
              <w:t>F20-2-5/05</w:t>
            </w:r>
          </w:p>
        </w:tc>
        <w:tc>
          <w:tcPr>
            <w:tcW w:w="1844" w:type="pct"/>
            <w:noWrap/>
            <w:vAlign w:val="center"/>
          </w:tcPr>
          <w:p w14:paraId="6777EDEB">
            <w:pPr>
              <w:pStyle w:val="44"/>
              <w:rPr>
                <w:color w:val="auto"/>
              </w:rPr>
            </w:pPr>
            <w:r>
              <w:rPr>
                <w:color w:val="auto"/>
              </w:rPr>
              <w:t>重庆建设车用空调器有限公司</w:t>
            </w:r>
          </w:p>
        </w:tc>
        <w:tc>
          <w:tcPr>
            <w:tcW w:w="915" w:type="pct"/>
            <w:noWrap/>
            <w:vAlign w:val="center"/>
          </w:tcPr>
          <w:p w14:paraId="78CDCA2E">
            <w:pPr>
              <w:pStyle w:val="44"/>
              <w:rPr>
                <w:color w:val="auto"/>
              </w:rPr>
            </w:pPr>
            <w:r>
              <w:rPr>
                <w:color w:val="auto"/>
              </w:rPr>
              <w:t xml:space="preserve">6.85 </w:t>
            </w:r>
          </w:p>
        </w:tc>
        <w:tc>
          <w:tcPr>
            <w:tcW w:w="592" w:type="pct"/>
            <w:noWrap/>
            <w:vAlign w:val="center"/>
          </w:tcPr>
          <w:p w14:paraId="3916E895">
            <w:pPr>
              <w:pStyle w:val="44"/>
              <w:rPr>
                <w:color w:val="auto"/>
              </w:rPr>
            </w:pPr>
            <w:r>
              <w:rPr>
                <w:color w:val="auto"/>
              </w:rPr>
              <w:t>2005年</w:t>
            </w:r>
          </w:p>
        </w:tc>
      </w:tr>
      <w:tr w14:paraId="19F36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728DB73">
            <w:pPr>
              <w:pStyle w:val="44"/>
              <w:rPr>
                <w:color w:val="auto"/>
              </w:rPr>
            </w:pPr>
            <w:r>
              <w:rPr>
                <w:color w:val="auto"/>
              </w:rPr>
              <w:t>18</w:t>
            </w:r>
          </w:p>
        </w:tc>
        <w:tc>
          <w:tcPr>
            <w:tcW w:w="530" w:type="pct"/>
            <w:vMerge w:val="continue"/>
            <w:vAlign w:val="center"/>
          </w:tcPr>
          <w:p w14:paraId="42ABA9EB">
            <w:pPr>
              <w:pStyle w:val="44"/>
              <w:rPr>
                <w:color w:val="auto"/>
              </w:rPr>
            </w:pPr>
          </w:p>
        </w:tc>
        <w:tc>
          <w:tcPr>
            <w:tcW w:w="751" w:type="pct"/>
            <w:noWrap/>
            <w:vAlign w:val="center"/>
          </w:tcPr>
          <w:p w14:paraId="7B035FD2">
            <w:pPr>
              <w:pStyle w:val="44"/>
              <w:rPr>
                <w:color w:val="auto"/>
              </w:rPr>
            </w:pPr>
            <w:r>
              <w:rPr>
                <w:color w:val="auto"/>
              </w:rPr>
              <w:t>F22-2/04</w:t>
            </w:r>
          </w:p>
        </w:tc>
        <w:tc>
          <w:tcPr>
            <w:tcW w:w="1844" w:type="pct"/>
            <w:noWrap/>
            <w:vAlign w:val="center"/>
          </w:tcPr>
          <w:p w14:paraId="28F9E996">
            <w:pPr>
              <w:pStyle w:val="44"/>
              <w:rPr>
                <w:color w:val="auto"/>
              </w:rPr>
            </w:pPr>
            <w:r>
              <w:rPr>
                <w:color w:val="auto"/>
              </w:rPr>
              <w:t>书林贸易公司、新华电商仓储配送中心</w:t>
            </w:r>
          </w:p>
        </w:tc>
        <w:tc>
          <w:tcPr>
            <w:tcW w:w="915" w:type="pct"/>
            <w:noWrap/>
            <w:vAlign w:val="center"/>
          </w:tcPr>
          <w:p w14:paraId="612E7F57">
            <w:pPr>
              <w:pStyle w:val="44"/>
              <w:rPr>
                <w:color w:val="auto"/>
              </w:rPr>
            </w:pPr>
            <w:r>
              <w:rPr>
                <w:color w:val="auto"/>
              </w:rPr>
              <w:t xml:space="preserve">0.11 </w:t>
            </w:r>
          </w:p>
        </w:tc>
        <w:tc>
          <w:tcPr>
            <w:tcW w:w="592" w:type="pct"/>
            <w:noWrap/>
            <w:vAlign w:val="center"/>
          </w:tcPr>
          <w:p w14:paraId="16C851A1">
            <w:pPr>
              <w:pStyle w:val="44"/>
              <w:rPr>
                <w:color w:val="auto"/>
              </w:rPr>
            </w:pPr>
            <w:r>
              <w:rPr>
                <w:color w:val="auto"/>
              </w:rPr>
              <w:t>2006年</w:t>
            </w:r>
          </w:p>
        </w:tc>
      </w:tr>
      <w:tr w14:paraId="54490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DCD45F2">
            <w:pPr>
              <w:pStyle w:val="44"/>
              <w:rPr>
                <w:color w:val="auto"/>
              </w:rPr>
            </w:pPr>
            <w:r>
              <w:rPr>
                <w:color w:val="auto"/>
              </w:rPr>
              <w:t>19</w:t>
            </w:r>
          </w:p>
        </w:tc>
        <w:tc>
          <w:tcPr>
            <w:tcW w:w="530" w:type="pct"/>
            <w:vMerge w:val="continue"/>
            <w:vAlign w:val="center"/>
          </w:tcPr>
          <w:p w14:paraId="6DDA7703">
            <w:pPr>
              <w:pStyle w:val="44"/>
              <w:rPr>
                <w:color w:val="auto"/>
              </w:rPr>
            </w:pPr>
          </w:p>
        </w:tc>
        <w:tc>
          <w:tcPr>
            <w:tcW w:w="751" w:type="pct"/>
            <w:noWrap/>
            <w:vAlign w:val="center"/>
          </w:tcPr>
          <w:p w14:paraId="6C694962">
            <w:pPr>
              <w:pStyle w:val="44"/>
              <w:rPr>
                <w:color w:val="auto"/>
              </w:rPr>
            </w:pPr>
            <w:r>
              <w:rPr>
                <w:color w:val="auto"/>
              </w:rPr>
              <w:t>F22-1-3/04</w:t>
            </w:r>
          </w:p>
        </w:tc>
        <w:tc>
          <w:tcPr>
            <w:tcW w:w="1844" w:type="pct"/>
            <w:noWrap/>
            <w:vAlign w:val="center"/>
          </w:tcPr>
          <w:p w14:paraId="45598150">
            <w:pPr>
              <w:pStyle w:val="44"/>
              <w:rPr>
                <w:color w:val="auto"/>
              </w:rPr>
            </w:pPr>
            <w:r>
              <w:rPr>
                <w:color w:val="auto"/>
              </w:rPr>
              <w:t>书林贸易公司、新华电商仓储配送中心</w:t>
            </w:r>
          </w:p>
        </w:tc>
        <w:tc>
          <w:tcPr>
            <w:tcW w:w="915" w:type="pct"/>
            <w:noWrap/>
            <w:vAlign w:val="center"/>
          </w:tcPr>
          <w:p w14:paraId="3F274D65">
            <w:pPr>
              <w:pStyle w:val="44"/>
              <w:rPr>
                <w:color w:val="auto"/>
              </w:rPr>
            </w:pPr>
            <w:r>
              <w:rPr>
                <w:color w:val="auto"/>
              </w:rPr>
              <w:t xml:space="preserve">0.16 </w:t>
            </w:r>
          </w:p>
        </w:tc>
        <w:tc>
          <w:tcPr>
            <w:tcW w:w="592" w:type="pct"/>
            <w:noWrap/>
            <w:vAlign w:val="center"/>
          </w:tcPr>
          <w:p w14:paraId="0A8DF6A6">
            <w:pPr>
              <w:pStyle w:val="44"/>
              <w:rPr>
                <w:color w:val="auto"/>
              </w:rPr>
            </w:pPr>
            <w:r>
              <w:rPr>
                <w:color w:val="auto"/>
              </w:rPr>
              <w:t>2006年</w:t>
            </w:r>
          </w:p>
        </w:tc>
      </w:tr>
      <w:tr w14:paraId="480C4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3F25A4E">
            <w:pPr>
              <w:pStyle w:val="44"/>
              <w:rPr>
                <w:color w:val="auto"/>
              </w:rPr>
            </w:pPr>
            <w:r>
              <w:rPr>
                <w:color w:val="auto"/>
              </w:rPr>
              <w:t>20</w:t>
            </w:r>
          </w:p>
        </w:tc>
        <w:tc>
          <w:tcPr>
            <w:tcW w:w="530" w:type="pct"/>
            <w:vMerge w:val="continue"/>
            <w:vAlign w:val="center"/>
          </w:tcPr>
          <w:p w14:paraId="1C98CDFB">
            <w:pPr>
              <w:pStyle w:val="44"/>
              <w:rPr>
                <w:color w:val="auto"/>
              </w:rPr>
            </w:pPr>
          </w:p>
        </w:tc>
        <w:tc>
          <w:tcPr>
            <w:tcW w:w="751" w:type="pct"/>
            <w:noWrap/>
            <w:vAlign w:val="center"/>
          </w:tcPr>
          <w:p w14:paraId="36570D78">
            <w:pPr>
              <w:pStyle w:val="44"/>
              <w:rPr>
                <w:color w:val="auto"/>
              </w:rPr>
            </w:pPr>
            <w:r>
              <w:rPr>
                <w:color w:val="auto"/>
              </w:rPr>
              <w:t>F22-1-4/04</w:t>
            </w:r>
          </w:p>
        </w:tc>
        <w:tc>
          <w:tcPr>
            <w:tcW w:w="1844" w:type="pct"/>
            <w:noWrap/>
            <w:vAlign w:val="center"/>
          </w:tcPr>
          <w:p w14:paraId="5526FE7C">
            <w:pPr>
              <w:pStyle w:val="44"/>
              <w:rPr>
                <w:color w:val="auto"/>
              </w:rPr>
            </w:pPr>
            <w:r>
              <w:rPr>
                <w:color w:val="auto"/>
              </w:rPr>
              <w:t>书林贸易公司、新华电商仓储配送中心</w:t>
            </w:r>
          </w:p>
        </w:tc>
        <w:tc>
          <w:tcPr>
            <w:tcW w:w="915" w:type="pct"/>
            <w:noWrap/>
            <w:vAlign w:val="center"/>
          </w:tcPr>
          <w:p w14:paraId="3982C20A">
            <w:pPr>
              <w:pStyle w:val="44"/>
              <w:rPr>
                <w:color w:val="auto"/>
              </w:rPr>
            </w:pPr>
            <w:r>
              <w:rPr>
                <w:color w:val="auto"/>
              </w:rPr>
              <w:t xml:space="preserve">0.73 </w:t>
            </w:r>
          </w:p>
        </w:tc>
        <w:tc>
          <w:tcPr>
            <w:tcW w:w="592" w:type="pct"/>
            <w:noWrap/>
            <w:vAlign w:val="center"/>
          </w:tcPr>
          <w:p w14:paraId="17BAAD1C">
            <w:pPr>
              <w:pStyle w:val="44"/>
              <w:rPr>
                <w:color w:val="auto"/>
              </w:rPr>
            </w:pPr>
            <w:r>
              <w:rPr>
                <w:color w:val="auto"/>
              </w:rPr>
              <w:t>2006年</w:t>
            </w:r>
          </w:p>
        </w:tc>
      </w:tr>
      <w:tr w14:paraId="0F171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945A713">
            <w:pPr>
              <w:pStyle w:val="44"/>
              <w:rPr>
                <w:color w:val="auto"/>
              </w:rPr>
            </w:pPr>
            <w:r>
              <w:rPr>
                <w:color w:val="auto"/>
              </w:rPr>
              <w:t>21</w:t>
            </w:r>
          </w:p>
        </w:tc>
        <w:tc>
          <w:tcPr>
            <w:tcW w:w="530" w:type="pct"/>
            <w:vMerge w:val="continue"/>
            <w:vAlign w:val="center"/>
          </w:tcPr>
          <w:p w14:paraId="5578CD5F">
            <w:pPr>
              <w:pStyle w:val="44"/>
              <w:rPr>
                <w:color w:val="auto"/>
              </w:rPr>
            </w:pPr>
          </w:p>
        </w:tc>
        <w:tc>
          <w:tcPr>
            <w:tcW w:w="751" w:type="pct"/>
            <w:noWrap/>
            <w:vAlign w:val="center"/>
          </w:tcPr>
          <w:p w14:paraId="2D7107AA">
            <w:pPr>
              <w:pStyle w:val="44"/>
              <w:rPr>
                <w:color w:val="auto"/>
              </w:rPr>
            </w:pPr>
            <w:r>
              <w:rPr>
                <w:color w:val="auto"/>
              </w:rPr>
              <w:t>F1-1/02</w:t>
            </w:r>
          </w:p>
        </w:tc>
        <w:tc>
          <w:tcPr>
            <w:tcW w:w="1844" w:type="pct"/>
            <w:noWrap/>
            <w:vAlign w:val="center"/>
          </w:tcPr>
          <w:p w14:paraId="768BC91D">
            <w:pPr>
              <w:pStyle w:val="44"/>
              <w:rPr>
                <w:color w:val="auto"/>
              </w:rPr>
            </w:pPr>
            <w:r>
              <w:rPr>
                <w:color w:val="auto"/>
              </w:rPr>
              <w:t>华龙苑小区商业</w:t>
            </w:r>
          </w:p>
        </w:tc>
        <w:tc>
          <w:tcPr>
            <w:tcW w:w="915" w:type="pct"/>
            <w:noWrap/>
            <w:vAlign w:val="center"/>
          </w:tcPr>
          <w:p w14:paraId="5C59B6E8">
            <w:pPr>
              <w:pStyle w:val="44"/>
              <w:rPr>
                <w:color w:val="auto"/>
              </w:rPr>
            </w:pPr>
            <w:r>
              <w:rPr>
                <w:color w:val="auto"/>
              </w:rPr>
              <w:t xml:space="preserve">0.39 </w:t>
            </w:r>
          </w:p>
        </w:tc>
        <w:tc>
          <w:tcPr>
            <w:tcW w:w="592" w:type="pct"/>
            <w:noWrap/>
            <w:vAlign w:val="center"/>
          </w:tcPr>
          <w:p w14:paraId="4ED4752B">
            <w:pPr>
              <w:pStyle w:val="44"/>
              <w:rPr>
                <w:color w:val="auto"/>
              </w:rPr>
            </w:pPr>
            <w:r>
              <w:rPr>
                <w:color w:val="auto"/>
              </w:rPr>
              <w:t>2002年</w:t>
            </w:r>
          </w:p>
        </w:tc>
      </w:tr>
      <w:tr w14:paraId="4B5DD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379263F">
            <w:pPr>
              <w:pStyle w:val="44"/>
              <w:rPr>
                <w:color w:val="auto"/>
              </w:rPr>
            </w:pPr>
            <w:r>
              <w:rPr>
                <w:color w:val="auto"/>
              </w:rPr>
              <w:t>22</w:t>
            </w:r>
          </w:p>
        </w:tc>
        <w:tc>
          <w:tcPr>
            <w:tcW w:w="530" w:type="pct"/>
            <w:vMerge w:val="continue"/>
            <w:vAlign w:val="center"/>
          </w:tcPr>
          <w:p w14:paraId="7B0E1484">
            <w:pPr>
              <w:pStyle w:val="44"/>
              <w:rPr>
                <w:color w:val="auto"/>
              </w:rPr>
            </w:pPr>
          </w:p>
        </w:tc>
        <w:tc>
          <w:tcPr>
            <w:tcW w:w="751" w:type="pct"/>
            <w:noWrap/>
            <w:vAlign w:val="center"/>
          </w:tcPr>
          <w:p w14:paraId="5F6FE37C">
            <w:pPr>
              <w:pStyle w:val="44"/>
              <w:rPr>
                <w:color w:val="auto"/>
              </w:rPr>
            </w:pPr>
            <w:r>
              <w:rPr>
                <w:color w:val="auto"/>
              </w:rPr>
              <w:t>F1-5/03</w:t>
            </w:r>
          </w:p>
        </w:tc>
        <w:tc>
          <w:tcPr>
            <w:tcW w:w="1844" w:type="pct"/>
            <w:noWrap/>
            <w:vAlign w:val="center"/>
          </w:tcPr>
          <w:p w14:paraId="79378A0F">
            <w:pPr>
              <w:pStyle w:val="44"/>
              <w:rPr>
                <w:color w:val="auto"/>
              </w:rPr>
            </w:pPr>
            <w:r>
              <w:rPr>
                <w:color w:val="auto"/>
              </w:rPr>
              <w:t>随缘居小区</w:t>
            </w:r>
          </w:p>
        </w:tc>
        <w:tc>
          <w:tcPr>
            <w:tcW w:w="915" w:type="pct"/>
            <w:noWrap/>
            <w:vAlign w:val="center"/>
          </w:tcPr>
          <w:p w14:paraId="56D4AB6F">
            <w:pPr>
              <w:pStyle w:val="44"/>
              <w:rPr>
                <w:color w:val="auto"/>
              </w:rPr>
            </w:pPr>
            <w:r>
              <w:rPr>
                <w:color w:val="auto"/>
              </w:rPr>
              <w:t xml:space="preserve">1.04 </w:t>
            </w:r>
          </w:p>
        </w:tc>
        <w:tc>
          <w:tcPr>
            <w:tcW w:w="592" w:type="pct"/>
            <w:noWrap/>
            <w:vAlign w:val="center"/>
          </w:tcPr>
          <w:p w14:paraId="6AA4732C">
            <w:pPr>
              <w:pStyle w:val="44"/>
              <w:rPr>
                <w:color w:val="auto"/>
              </w:rPr>
            </w:pPr>
            <w:r>
              <w:rPr>
                <w:color w:val="auto"/>
              </w:rPr>
              <w:t>2008年</w:t>
            </w:r>
          </w:p>
        </w:tc>
      </w:tr>
      <w:tr w14:paraId="37DB0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7E9E4F1">
            <w:pPr>
              <w:pStyle w:val="44"/>
              <w:rPr>
                <w:color w:val="auto"/>
              </w:rPr>
            </w:pPr>
            <w:r>
              <w:rPr>
                <w:color w:val="auto"/>
              </w:rPr>
              <w:t>23</w:t>
            </w:r>
          </w:p>
        </w:tc>
        <w:tc>
          <w:tcPr>
            <w:tcW w:w="530" w:type="pct"/>
            <w:vMerge w:val="continue"/>
            <w:vAlign w:val="center"/>
          </w:tcPr>
          <w:p w14:paraId="229D019B">
            <w:pPr>
              <w:pStyle w:val="44"/>
              <w:rPr>
                <w:color w:val="auto"/>
              </w:rPr>
            </w:pPr>
          </w:p>
        </w:tc>
        <w:tc>
          <w:tcPr>
            <w:tcW w:w="751" w:type="pct"/>
            <w:noWrap/>
            <w:vAlign w:val="center"/>
          </w:tcPr>
          <w:p w14:paraId="5A3AEAD0">
            <w:pPr>
              <w:pStyle w:val="44"/>
              <w:rPr>
                <w:color w:val="auto"/>
              </w:rPr>
            </w:pPr>
            <w:r>
              <w:rPr>
                <w:color w:val="auto"/>
              </w:rPr>
              <w:t>F3-5/05</w:t>
            </w:r>
          </w:p>
        </w:tc>
        <w:tc>
          <w:tcPr>
            <w:tcW w:w="1844" w:type="pct"/>
            <w:noWrap/>
            <w:vAlign w:val="center"/>
          </w:tcPr>
          <w:p w14:paraId="0D76E996">
            <w:pPr>
              <w:pStyle w:val="44"/>
              <w:rPr>
                <w:color w:val="auto"/>
              </w:rPr>
            </w:pPr>
            <w:r>
              <w:rPr>
                <w:color w:val="auto"/>
              </w:rPr>
              <w:t>建工.半山郡小区</w:t>
            </w:r>
          </w:p>
        </w:tc>
        <w:tc>
          <w:tcPr>
            <w:tcW w:w="915" w:type="pct"/>
            <w:noWrap/>
            <w:vAlign w:val="center"/>
          </w:tcPr>
          <w:p w14:paraId="4921997E">
            <w:pPr>
              <w:pStyle w:val="44"/>
              <w:rPr>
                <w:color w:val="auto"/>
              </w:rPr>
            </w:pPr>
            <w:r>
              <w:rPr>
                <w:color w:val="auto"/>
              </w:rPr>
              <w:t xml:space="preserve">2.79 </w:t>
            </w:r>
          </w:p>
        </w:tc>
        <w:tc>
          <w:tcPr>
            <w:tcW w:w="592" w:type="pct"/>
            <w:noWrap/>
            <w:vAlign w:val="center"/>
          </w:tcPr>
          <w:p w14:paraId="422D5A50">
            <w:pPr>
              <w:pStyle w:val="44"/>
              <w:rPr>
                <w:color w:val="auto"/>
              </w:rPr>
            </w:pPr>
            <w:r>
              <w:rPr>
                <w:color w:val="auto"/>
              </w:rPr>
              <w:t>2019年</w:t>
            </w:r>
          </w:p>
        </w:tc>
      </w:tr>
      <w:tr w14:paraId="13704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8F353C4">
            <w:pPr>
              <w:pStyle w:val="44"/>
              <w:rPr>
                <w:color w:val="auto"/>
              </w:rPr>
            </w:pPr>
            <w:r>
              <w:rPr>
                <w:color w:val="auto"/>
              </w:rPr>
              <w:t>24</w:t>
            </w:r>
          </w:p>
        </w:tc>
        <w:tc>
          <w:tcPr>
            <w:tcW w:w="530" w:type="pct"/>
            <w:vMerge w:val="continue"/>
            <w:vAlign w:val="center"/>
          </w:tcPr>
          <w:p w14:paraId="2BC5E727">
            <w:pPr>
              <w:pStyle w:val="44"/>
              <w:rPr>
                <w:color w:val="auto"/>
              </w:rPr>
            </w:pPr>
          </w:p>
        </w:tc>
        <w:tc>
          <w:tcPr>
            <w:tcW w:w="751" w:type="pct"/>
            <w:noWrap/>
            <w:vAlign w:val="center"/>
          </w:tcPr>
          <w:p w14:paraId="2706848E">
            <w:pPr>
              <w:pStyle w:val="44"/>
              <w:rPr>
                <w:color w:val="auto"/>
              </w:rPr>
            </w:pPr>
            <w:r>
              <w:rPr>
                <w:color w:val="auto"/>
              </w:rPr>
              <w:t>F2-1-1/02</w:t>
            </w:r>
          </w:p>
        </w:tc>
        <w:tc>
          <w:tcPr>
            <w:tcW w:w="1844" w:type="pct"/>
            <w:noWrap/>
            <w:vAlign w:val="center"/>
          </w:tcPr>
          <w:p w14:paraId="0EAB4FDF">
            <w:pPr>
              <w:pStyle w:val="44"/>
              <w:rPr>
                <w:color w:val="auto"/>
              </w:rPr>
            </w:pPr>
            <w:r>
              <w:rPr>
                <w:color w:val="auto"/>
              </w:rPr>
              <w:t>重庆实验外国语学校</w:t>
            </w:r>
          </w:p>
        </w:tc>
        <w:tc>
          <w:tcPr>
            <w:tcW w:w="915" w:type="pct"/>
            <w:noWrap/>
            <w:vAlign w:val="center"/>
          </w:tcPr>
          <w:p w14:paraId="0D40AA2A">
            <w:pPr>
              <w:pStyle w:val="44"/>
              <w:rPr>
                <w:color w:val="auto"/>
              </w:rPr>
            </w:pPr>
            <w:r>
              <w:rPr>
                <w:color w:val="auto"/>
              </w:rPr>
              <w:t xml:space="preserve">10.30 </w:t>
            </w:r>
          </w:p>
        </w:tc>
        <w:tc>
          <w:tcPr>
            <w:tcW w:w="592" w:type="pct"/>
            <w:noWrap/>
            <w:vAlign w:val="center"/>
          </w:tcPr>
          <w:p w14:paraId="25D2D7B6">
            <w:pPr>
              <w:pStyle w:val="44"/>
              <w:rPr>
                <w:color w:val="auto"/>
              </w:rPr>
            </w:pPr>
            <w:r>
              <w:rPr>
                <w:color w:val="auto"/>
              </w:rPr>
              <w:t>2001年</w:t>
            </w:r>
          </w:p>
        </w:tc>
      </w:tr>
      <w:tr w14:paraId="41288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0829824">
            <w:pPr>
              <w:pStyle w:val="44"/>
              <w:rPr>
                <w:color w:val="auto"/>
              </w:rPr>
            </w:pPr>
            <w:r>
              <w:rPr>
                <w:color w:val="auto"/>
              </w:rPr>
              <w:t>25</w:t>
            </w:r>
          </w:p>
        </w:tc>
        <w:tc>
          <w:tcPr>
            <w:tcW w:w="530" w:type="pct"/>
            <w:vMerge w:val="continue"/>
            <w:vAlign w:val="center"/>
          </w:tcPr>
          <w:p w14:paraId="1EDC1E0D">
            <w:pPr>
              <w:pStyle w:val="44"/>
              <w:rPr>
                <w:color w:val="auto"/>
              </w:rPr>
            </w:pPr>
          </w:p>
        </w:tc>
        <w:tc>
          <w:tcPr>
            <w:tcW w:w="751" w:type="pct"/>
            <w:noWrap/>
            <w:vAlign w:val="center"/>
          </w:tcPr>
          <w:p w14:paraId="464152B2">
            <w:pPr>
              <w:pStyle w:val="44"/>
              <w:rPr>
                <w:color w:val="auto"/>
              </w:rPr>
            </w:pPr>
            <w:r>
              <w:rPr>
                <w:color w:val="auto"/>
              </w:rPr>
              <w:t>F2-8/04</w:t>
            </w:r>
          </w:p>
        </w:tc>
        <w:tc>
          <w:tcPr>
            <w:tcW w:w="1844" w:type="pct"/>
            <w:noWrap/>
            <w:vAlign w:val="center"/>
          </w:tcPr>
          <w:p w14:paraId="3CAD22D7">
            <w:pPr>
              <w:pStyle w:val="44"/>
              <w:rPr>
                <w:color w:val="auto"/>
              </w:rPr>
            </w:pPr>
            <w:r>
              <w:rPr>
                <w:color w:val="auto"/>
              </w:rPr>
              <w:t>重庆市九龙坡区华岩小学校</w:t>
            </w:r>
          </w:p>
        </w:tc>
        <w:tc>
          <w:tcPr>
            <w:tcW w:w="915" w:type="pct"/>
            <w:noWrap/>
            <w:vAlign w:val="center"/>
          </w:tcPr>
          <w:p w14:paraId="4EE67EB3">
            <w:pPr>
              <w:pStyle w:val="44"/>
              <w:rPr>
                <w:color w:val="auto"/>
              </w:rPr>
            </w:pPr>
            <w:r>
              <w:rPr>
                <w:color w:val="auto"/>
              </w:rPr>
              <w:t xml:space="preserve">1.94 </w:t>
            </w:r>
          </w:p>
        </w:tc>
        <w:tc>
          <w:tcPr>
            <w:tcW w:w="592" w:type="pct"/>
            <w:noWrap/>
            <w:vAlign w:val="center"/>
          </w:tcPr>
          <w:p w14:paraId="6539166D">
            <w:pPr>
              <w:pStyle w:val="44"/>
              <w:rPr>
                <w:color w:val="auto"/>
              </w:rPr>
            </w:pPr>
            <w:r>
              <w:rPr>
                <w:color w:val="auto"/>
              </w:rPr>
              <w:t>2003年</w:t>
            </w:r>
          </w:p>
        </w:tc>
      </w:tr>
      <w:tr w14:paraId="2C5D8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16DDEE6">
            <w:pPr>
              <w:pStyle w:val="44"/>
              <w:rPr>
                <w:color w:val="auto"/>
              </w:rPr>
            </w:pPr>
            <w:r>
              <w:rPr>
                <w:color w:val="auto"/>
              </w:rPr>
              <w:t>26</w:t>
            </w:r>
          </w:p>
        </w:tc>
        <w:tc>
          <w:tcPr>
            <w:tcW w:w="530" w:type="pct"/>
            <w:vMerge w:val="continue"/>
            <w:vAlign w:val="center"/>
          </w:tcPr>
          <w:p w14:paraId="5403B513">
            <w:pPr>
              <w:pStyle w:val="44"/>
              <w:rPr>
                <w:color w:val="auto"/>
              </w:rPr>
            </w:pPr>
          </w:p>
        </w:tc>
        <w:tc>
          <w:tcPr>
            <w:tcW w:w="751" w:type="pct"/>
            <w:noWrap/>
            <w:vAlign w:val="center"/>
          </w:tcPr>
          <w:p w14:paraId="5DB7D237">
            <w:pPr>
              <w:pStyle w:val="44"/>
              <w:rPr>
                <w:color w:val="auto"/>
              </w:rPr>
            </w:pPr>
            <w:r>
              <w:rPr>
                <w:color w:val="auto"/>
              </w:rPr>
              <w:t>F3-7/04</w:t>
            </w:r>
          </w:p>
        </w:tc>
        <w:tc>
          <w:tcPr>
            <w:tcW w:w="1844" w:type="pct"/>
            <w:noWrap/>
            <w:vAlign w:val="center"/>
          </w:tcPr>
          <w:p w14:paraId="608154BD">
            <w:pPr>
              <w:pStyle w:val="44"/>
              <w:rPr>
                <w:color w:val="auto"/>
              </w:rPr>
            </w:pPr>
            <w:r>
              <w:rPr>
                <w:color w:val="auto"/>
              </w:rPr>
              <w:t>　供应设施用地</w:t>
            </w:r>
          </w:p>
        </w:tc>
        <w:tc>
          <w:tcPr>
            <w:tcW w:w="915" w:type="pct"/>
            <w:noWrap/>
            <w:vAlign w:val="center"/>
          </w:tcPr>
          <w:p w14:paraId="5F5F8BF5">
            <w:pPr>
              <w:pStyle w:val="44"/>
              <w:rPr>
                <w:color w:val="auto"/>
              </w:rPr>
            </w:pPr>
            <w:r>
              <w:rPr>
                <w:color w:val="auto"/>
              </w:rPr>
              <w:t xml:space="preserve">0.61 </w:t>
            </w:r>
          </w:p>
        </w:tc>
        <w:tc>
          <w:tcPr>
            <w:tcW w:w="592" w:type="pct"/>
            <w:noWrap/>
            <w:vAlign w:val="center"/>
          </w:tcPr>
          <w:p w14:paraId="791445E8">
            <w:pPr>
              <w:pStyle w:val="44"/>
              <w:rPr>
                <w:color w:val="auto"/>
              </w:rPr>
            </w:pPr>
            <w:r>
              <w:rPr>
                <w:color w:val="auto"/>
              </w:rPr>
              <w:t>2004年　</w:t>
            </w:r>
          </w:p>
        </w:tc>
      </w:tr>
      <w:tr w14:paraId="58A73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637A963">
            <w:pPr>
              <w:pStyle w:val="44"/>
              <w:rPr>
                <w:color w:val="auto"/>
              </w:rPr>
            </w:pPr>
            <w:r>
              <w:rPr>
                <w:color w:val="auto"/>
              </w:rPr>
              <w:t>27</w:t>
            </w:r>
          </w:p>
        </w:tc>
        <w:tc>
          <w:tcPr>
            <w:tcW w:w="530" w:type="pct"/>
            <w:vMerge w:val="continue"/>
            <w:vAlign w:val="center"/>
          </w:tcPr>
          <w:p w14:paraId="1422301C">
            <w:pPr>
              <w:pStyle w:val="44"/>
              <w:rPr>
                <w:color w:val="auto"/>
              </w:rPr>
            </w:pPr>
          </w:p>
        </w:tc>
        <w:tc>
          <w:tcPr>
            <w:tcW w:w="751" w:type="pct"/>
            <w:noWrap/>
            <w:vAlign w:val="center"/>
          </w:tcPr>
          <w:p w14:paraId="251716AE">
            <w:pPr>
              <w:pStyle w:val="44"/>
              <w:rPr>
                <w:color w:val="auto"/>
              </w:rPr>
            </w:pPr>
            <w:r>
              <w:rPr>
                <w:color w:val="auto"/>
              </w:rPr>
              <w:t>F3-8/04</w:t>
            </w:r>
          </w:p>
        </w:tc>
        <w:tc>
          <w:tcPr>
            <w:tcW w:w="1844" w:type="pct"/>
            <w:noWrap/>
            <w:vAlign w:val="center"/>
          </w:tcPr>
          <w:p w14:paraId="669EA32A">
            <w:pPr>
              <w:pStyle w:val="44"/>
              <w:rPr>
                <w:color w:val="auto"/>
              </w:rPr>
            </w:pPr>
            <w:r>
              <w:rPr>
                <w:color w:val="auto"/>
              </w:rPr>
              <w:t>中国石油</w:t>
            </w:r>
          </w:p>
        </w:tc>
        <w:tc>
          <w:tcPr>
            <w:tcW w:w="915" w:type="pct"/>
            <w:noWrap/>
            <w:vAlign w:val="center"/>
          </w:tcPr>
          <w:p w14:paraId="00649C78">
            <w:pPr>
              <w:pStyle w:val="44"/>
              <w:rPr>
                <w:color w:val="auto"/>
              </w:rPr>
            </w:pPr>
            <w:r>
              <w:rPr>
                <w:color w:val="auto"/>
              </w:rPr>
              <w:t xml:space="preserve">0.54 </w:t>
            </w:r>
          </w:p>
        </w:tc>
        <w:tc>
          <w:tcPr>
            <w:tcW w:w="592" w:type="pct"/>
            <w:noWrap/>
            <w:vAlign w:val="center"/>
          </w:tcPr>
          <w:p w14:paraId="5B021A5F">
            <w:pPr>
              <w:pStyle w:val="44"/>
              <w:rPr>
                <w:color w:val="auto"/>
              </w:rPr>
            </w:pPr>
            <w:r>
              <w:rPr>
                <w:color w:val="auto"/>
              </w:rPr>
              <w:t>2005年</w:t>
            </w:r>
          </w:p>
        </w:tc>
      </w:tr>
      <w:tr w14:paraId="06FEA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6F70555">
            <w:pPr>
              <w:pStyle w:val="44"/>
              <w:rPr>
                <w:color w:val="auto"/>
              </w:rPr>
            </w:pPr>
            <w:r>
              <w:rPr>
                <w:color w:val="auto"/>
              </w:rPr>
              <w:t>合计</w:t>
            </w:r>
          </w:p>
        </w:tc>
        <w:tc>
          <w:tcPr>
            <w:tcW w:w="530" w:type="pct"/>
            <w:vMerge w:val="continue"/>
            <w:vAlign w:val="center"/>
          </w:tcPr>
          <w:p w14:paraId="6650A853">
            <w:pPr>
              <w:pStyle w:val="44"/>
              <w:rPr>
                <w:color w:val="auto"/>
              </w:rPr>
            </w:pPr>
          </w:p>
        </w:tc>
        <w:tc>
          <w:tcPr>
            <w:tcW w:w="751" w:type="pct"/>
            <w:noWrap/>
            <w:vAlign w:val="center"/>
          </w:tcPr>
          <w:p w14:paraId="0A373077">
            <w:pPr>
              <w:pStyle w:val="44"/>
              <w:rPr>
                <w:color w:val="auto"/>
              </w:rPr>
            </w:pPr>
            <w:r>
              <w:rPr>
                <w:color w:val="auto"/>
              </w:rPr>
              <w:t>　</w:t>
            </w:r>
          </w:p>
        </w:tc>
        <w:tc>
          <w:tcPr>
            <w:tcW w:w="1844" w:type="pct"/>
            <w:noWrap/>
            <w:vAlign w:val="center"/>
          </w:tcPr>
          <w:p w14:paraId="1723BB14">
            <w:pPr>
              <w:pStyle w:val="44"/>
              <w:rPr>
                <w:color w:val="auto"/>
              </w:rPr>
            </w:pPr>
            <w:r>
              <w:rPr>
                <w:color w:val="auto"/>
              </w:rPr>
              <w:t>　</w:t>
            </w:r>
          </w:p>
        </w:tc>
        <w:tc>
          <w:tcPr>
            <w:tcW w:w="915" w:type="pct"/>
            <w:noWrap/>
            <w:vAlign w:val="center"/>
          </w:tcPr>
          <w:p w14:paraId="19D87BC1">
            <w:pPr>
              <w:pStyle w:val="44"/>
              <w:rPr>
                <w:color w:val="auto"/>
              </w:rPr>
            </w:pPr>
            <w:r>
              <w:rPr>
                <w:color w:val="auto"/>
              </w:rPr>
              <w:t xml:space="preserve">70.72 </w:t>
            </w:r>
          </w:p>
        </w:tc>
        <w:tc>
          <w:tcPr>
            <w:tcW w:w="592" w:type="pct"/>
            <w:noWrap/>
            <w:vAlign w:val="center"/>
          </w:tcPr>
          <w:p w14:paraId="5458EF2F">
            <w:pPr>
              <w:pStyle w:val="44"/>
              <w:rPr>
                <w:color w:val="auto"/>
              </w:rPr>
            </w:pPr>
            <w:r>
              <w:rPr>
                <w:color w:val="auto"/>
              </w:rPr>
              <w:t>　</w:t>
            </w:r>
          </w:p>
        </w:tc>
      </w:tr>
      <w:tr w14:paraId="3C9756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8EB8F90">
            <w:pPr>
              <w:pStyle w:val="44"/>
              <w:rPr>
                <w:color w:val="auto"/>
              </w:rPr>
            </w:pPr>
            <w:r>
              <w:rPr>
                <w:color w:val="auto"/>
              </w:rPr>
              <w:t>1</w:t>
            </w:r>
          </w:p>
        </w:tc>
        <w:tc>
          <w:tcPr>
            <w:tcW w:w="530" w:type="pct"/>
            <w:vMerge w:val="restart"/>
            <w:vAlign w:val="center"/>
          </w:tcPr>
          <w:p w14:paraId="41CF2BBF">
            <w:pPr>
              <w:pStyle w:val="44"/>
              <w:rPr>
                <w:color w:val="auto"/>
              </w:rPr>
            </w:pPr>
            <w:r>
              <w:rPr>
                <w:color w:val="auto"/>
              </w:rPr>
              <w:t>中梁山组团G标准分区</w:t>
            </w:r>
          </w:p>
        </w:tc>
        <w:tc>
          <w:tcPr>
            <w:tcW w:w="751" w:type="pct"/>
            <w:noWrap/>
            <w:vAlign w:val="center"/>
          </w:tcPr>
          <w:p w14:paraId="5DC72FBC">
            <w:pPr>
              <w:pStyle w:val="44"/>
              <w:rPr>
                <w:color w:val="auto"/>
              </w:rPr>
            </w:pPr>
            <w:r>
              <w:rPr>
                <w:color w:val="auto"/>
              </w:rPr>
              <w:t>G39-1-1/06</w:t>
            </w:r>
          </w:p>
        </w:tc>
        <w:tc>
          <w:tcPr>
            <w:tcW w:w="1844" w:type="pct"/>
            <w:noWrap/>
            <w:vAlign w:val="center"/>
          </w:tcPr>
          <w:p w14:paraId="7F210AE2">
            <w:pPr>
              <w:pStyle w:val="44"/>
              <w:rPr>
                <w:color w:val="auto"/>
              </w:rPr>
            </w:pPr>
            <w:r>
              <w:rPr>
                <w:color w:val="auto"/>
              </w:rPr>
              <w:t>海兰云天.畔山林语小区</w:t>
            </w:r>
          </w:p>
        </w:tc>
        <w:tc>
          <w:tcPr>
            <w:tcW w:w="915" w:type="pct"/>
            <w:noWrap/>
            <w:vAlign w:val="center"/>
          </w:tcPr>
          <w:p w14:paraId="1B207183">
            <w:pPr>
              <w:pStyle w:val="44"/>
              <w:rPr>
                <w:color w:val="auto"/>
              </w:rPr>
            </w:pPr>
            <w:r>
              <w:rPr>
                <w:color w:val="auto"/>
              </w:rPr>
              <w:t xml:space="preserve">5.23 </w:t>
            </w:r>
          </w:p>
        </w:tc>
        <w:tc>
          <w:tcPr>
            <w:tcW w:w="592" w:type="pct"/>
            <w:noWrap/>
            <w:vAlign w:val="center"/>
          </w:tcPr>
          <w:p w14:paraId="59D305FA">
            <w:pPr>
              <w:pStyle w:val="44"/>
              <w:rPr>
                <w:color w:val="auto"/>
              </w:rPr>
            </w:pPr>
            <w:r>
              <w:rPr>
                <w:color w:val="auto"/>
              </w:rPr>
              <w:t>2004年</w:t>
            </w:r>
          </w:p>
        </w:tc>
      </w:tr>
      <w:tr w14:paraId="2200F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6D72053">
            <w:pPr>
              <w:pStyle w:val="44"/>
              <w:rPr>
                <w:color w:val="auto"/>
              </w:rPr>
            </w:pPr>
            <w:r>
              <w:rPr>
                <w:color w:val="auto"/>
              </w:rPr>
              <w:t>2</w:t>
            </w:r>
          </w:p>
        </w:tc>
        <w:tc>
          <w:tcPr>
            <w:tcW w:w="530" w:type="pct"/>
            <w:vMerge w:val="continue"/>
            <w:vAlign w:val="center"/>
          </w:tcPr>
          <w:p w14:paraId="20BE9D76">
            <w:pPr>
              <w:pStyle w:val="44"/>
              <w:rPr>
                <w:color w:val="auto"/>
              </w:rPr>
            </w:pPr>
          </w:p>
        </w:tc>
        <w:tc>
          <w:tcPr>
            <w:tcW w:w="751" w:type="pct"/>
            <w:vMerge w:val="restart"/>
            <w:noWrap/>
            <w:vAlign w:val="center"/>
          </w:tcPr>
          <w:p w14:paraId="40ED8DAF">
            <w:pPr>
              <w:pStyle w:val="44"/>
              <w:rPr>
                <w:color w:val="auto"/>
              </w:rPr>
            </w:pPr>
            <w:r>
              <w:rPr>
                <w:color w:val="auto"/>
              </w:rPr>
              <w:t>G39-1-2/06</w:t>
            </w:r>
          </w:p>
        </w:tc>
        <w:tc>
          <w:tcPr>
            <w:tcW w:w="1844" w:type="pct"/>
            <w:noWrap/>
            <w:vAlign w:val="center"/>
          </w:tcPr>
          <w:p w14:paraId="25A9736D">
            <w:pPr>
              <w:pStyle w:val="44"/>
              <w:rPr>
                <w:color w:val="auto"/>
              </w:rPr>
            </w:pPr>
            <w:r>
              <w:rPr>
                <w:color w:val="auto"/>
              </w:rPr>
              <w:t>鑫泰华府小区</w:t>
            </w:r>
          </w:p>
        </w:tc>
        <w:tc>
          <w:tcPr>
            <w:tcW w:w="915" w:type="pct"/>
            <w:vMerge w:val="restart"/>
            <w:noWrap/>
            <w:vAlign w:val="center"/>
          </w:tcPr>
          <w:p w14:paraId="288FD75D">
            <w:pPr>
              <w:pStyle w:val="44"/>
              <w:rPr>
                <w:color w:val="auto"/>
              </w:rPr>
            </w:pPr>
            <w:r>
              <w:rPr>
                <w:color w:val="auto"/>
              </w:rPr>
              <w:t xml:space="preserve">1.55 </w:t>
            </w:r>
          </w:p>
        </w:tc>
        <w:tc>
          <w:tcPr>
            <w:tcW w:w="592" w:type="pct"/>
            <w:noWrap/>
            <w:vAlign w:val="center"/>
          </w:tcPr>
          <w:p w14:paraId="380F22FC">
            <w:pPr>
              <w:pStyle w:val="44"/>
              <w:rPr>
                <w:color w:val="auto"/>
              </w:rPr>
            </w:pPr>
            <w:r>
              <w:rPr>
                <w:color w:val="auto"/>
              </w:rPr>
              <w:t>2003年</w:t>
            </w:r>
          </w:p>
        </w:tc>
      </w:tr>
      <w:tr w14:paraId="6AC0C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BC1E117">
            <w:pPr>
              <w:pStyle w:val="44"/>
              <w:rPr>
                <w:color w:val="auto"/>
              </w:rPr>
            </w:pPr>
            <w:r>
              <w:rPr>
                <w:color w:val="auto"/>
              </w:rPr>
              <w:t>3</w:t>
            </w:r>
          </w:p>
        </w:tc>
        <w:tc>
          <w:tcPr>
            <w:tcW w:w="530" w:type="pct"/>
            <w:vMerge w:val="continue"/>
            <w:vAlign w:val="center"/>
          </w:tcPr>
          <w:p w14:paraId="6B9A3DC8">
            <w:pPr>
              <w:pStyle w:val="44"/>
              <w:rPr>
                <w:color w:val="auto"/>
              </w:rPr>
            </w:pPr>
          </w:p>
        </w:tc>
        <w:tc>
          <w:tcPr>
            <w:tcW w:w="751" w:type="pct"/>
            <w:vMerge w:val="continue"/>
            <w:vAlign w:val="center"/>
          </w:tcPr>
          <w:p w14:paraId="42447E74">
            <w:pPr>
              <w:pStyle w:val="44"/>
              <w:rPr>
                <w:color w:val="auto"/>
              </w:rPr>
            </w:pPr>
          </w:p>
        </w:tc>
        <w:tc>
          <w:tcPr>
            <w:tcW w:w="1844" w:type="pct"/>
            <w:noWrap/>
            <w:vAlign w:val="center"/>
          </w:tcPr>
          <w:p w14:paraId="3477C0F2">
            <w:pPr>
              <w:pStyle w:val="44"/>
              <w:rPr>
                <w:color w:val="auto"/>
              </w:rPr>
            </w:pPr>
            <w:r>
              <w:rPr>
                <w:color w:val="auto"/>
              </w:rPr>
              <w:t>陶艺园小广场</w:t>
            </w:r>
          </w:p>
        </w:tc>
        <w:tc>
          <w:tcPr>
            <w:tcW w:w="915" w:type="pct"/>
            <w:vMerge w:val="continue"/>
            <w:vAlign w:val="center"/>
          </w:tcPr>
          <w:p w14:paraId="7923AA09">
            <w:pPr>
              <w:pStyle w:val="44"/>
              <w:rPr>
                <w:color w:val="auto"/>
              </w:rPr>
            </w:pPr>
          </w:p>
        </w:tc>
        <w:tc>
          <w:tcPr>
            <w:tcW w:w="592" w:type="pct"/>
            <w:noWrap/>
            <w:vAlign w:val="center"/>
          </w:tcPr>
          <w:p w14:paraId="661EFEF9">
            <w:pPr>
              <w:pStyle w:val="44"/>
              <w:rPr>
                <w:color w:val="auto"/>
              </w:rPr>
            </w:pPr>
            <w:r>
              <w:rPr>
                <w:color w:val="auto"/>
              </w:rPr>
              <w:t>2003年</w:t>
            </w:r>
          </w:p>
        </w:tc>
      </w:tr>
      <w:tr w14:paraId="44A9F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CACE8D7">
            <w:pPr>
              <w:pStyle w:val="44"/>
              <w:rPr>
                <w:color w:val="auto"/>
              </w:rPr>
            </w:pPr>
            <w:r>
              <w:rPr>
                <w:color w:val="auto"/>
              </w:rPr>
              <w:t>4</w:t>
            </w:r>
          </w:p>
        </w:tc>
        <w:tc>
          <w:tcPr>
            <w:tcW w:w="530" w:type="pct"/>
            <w:vMerge w:val="continue"/>
            <w:vAlign w:val="center"/>
          </w:tcPr>
          <w:p w14:paraId="7B48635F">
            <w:pPr>
              <w:pStyle w:val="44"/>
              <w:rPr>
                <w:color w:val="auto"/>
              </w:rPr>
            </w:pPr>
          </w:p>
        </w:tc>
        <w:tc>
          <w:tcPr>
            <w:tcW w:w="751" w:type="pct"/>
            <w:noWrap/>
            <w:vAlign w:val="center"/>
          </w:tcPr>
          <w:p w14:paraId="4061C0AB">
            <w:pPr>
              <w:pStyle w:val="44"/>
              <w:rPr>
                <w:color w:val="auto"/>
              </w:rPr>
            </w:pPr>
            <w:r>
              <w:rPr>
                <w:color w:val="auto"/>
              </w:rPr>
              <w:t>G42-2-2/05</w:t>
            </w:r>
          </w:p>
        </w:tc>
        <w:tc>
          <w:tcPr>
            <w:tcW w:w="1844" w:type="pct"/>
            <w:noWrap/>
            <w:vAlign w:val="center"/>
          </w:tcPr>
          <w:p w14:paraId="796584A1">
            <w:pPr>
              <w:pStyle w:val="44"/>
              <w:rPr>
                <w:color w:val="auto"/>
              </w:rPr>
            </w:pPr>
            <w:r>
              <w:rPr>
                <w:color w:val="auto"/>
              </w:rPr>
              <w:t>联发，公园里</w:t>
            </w:r>
          </w:p>
        </w:tc>
        <w:tc>
          <w:tcPr>
            <w:tcW w:w="915" w:type="pct"/>
            <w:noWrap/>
            <w:vAlign w:val="center"/>
          </w:tcPr>
          <w:p w14:paraId="57A18045">
            <w:pPr>
              <w:pStyle w:val="44"/>
              <w:rPr>
                <w:color w:val="auto"/>
              </w:rPr>
            </w:pPr>
            <w:r>
              <w:rPr>
                <w:color w:val="auto"/>
              </w:rPr>
              <w:t xml:space="preserve">1.85 </w:t>
            </w:r>
          </w:p>
        </w:tc>
        <w:tc>
          <w:tcPr>
            <w:tcW w:w="592" w:type="pct"/>
            <w:noWrap/>
            <w:vAlign w:val="center"/>
          </w:tcPr>
          <w:p w14:paraId="72FF462B">
            <w:pPr>
              <w:pStyle w:val="44"/>
              <w:rPr>
                <w:color w:val="auto"/>
              </w:rPr>
            </w:pPr>
            <w:r>
              <w:rPr>
                <w:color w:val="auto"/>
              </w:rPr>
              <w:t>2004年</w:t>
            </w:r>
          </w:p>
        </w:tc>
      </w:tr>
      <w:tr w14:paraId="010F7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541DA31">
            <w:pPr>
              <w:pStyle w:val="44"/>
              <w:rPr>
                <w:color w:val="auto"/>
              </w:rPr>
            </w:pPr>
            <w:r>
              <w:rPr>
                <w:color w:val="auto"/>
              </w:rPr>
              <w:t>5</w:t>
            </w:r>
          </w:p>
        </w:tc>
        <w:tc>
          <w:tcPr>
            <w:tcW w:w="530" w:type="pct"/>
            <w:vMerge w:val="continue"/>
            <w:vAlign w:val="center"/>
          </w:tcPr>
          <w:p w14:paraId="54D74813">
            <w:pPr>
              <w:pStyle w:val="44"/>
              <w:rPr>
                <w:color w:val="auto"/>
              </w:rPr>
            </w:pPr>
          </w:p>
        </w:tc>
        <w:tc>
          <w:tcPr>
            <w:tcW w:w="751" w:type="pct"/>
            <w:noWrap/>
            <w:vAlign w:val="center"/>
          </w:tcPr>
          <w:p w14:paraId="6E19CC25">
            <w:pPr>
              <w:pStyle w:val="44"/>
              <w:rPr>
                <w:color w:val="auto"/>
              </w:rPr>
            </w:pPr>
            <w:r>
              <w:rPr>
                <w:color w:val="auto"/>
              </w:rPr>
              <w:t>G42-2-1/04</w:t>
            </w:r>
          </w:p>
        </w:tc>
        <w:tc>
          <w:tcPr>
            <w:tcW w:w="1844" w:type="pct"/>
            <w:noWrap/>
            <w:vAlign w:val="center"/>
          </w:tcPr>
          <w:p w14:paraId="6FC4CC1A">
            <w:pPr>
              <w:pStyle w:val="44"/>
              <w:rPr>
                <w:color w:val="auto"/>
              </w:rPr>
            </w:pPr>
            <w:r>
              <w:rPr>
                <w:color w:val="auto"/>
              </w:rPr>
              <w:t>龙城御府</w:t>
            </w:r>
          </w:p>
        </w:tc>
        <w:tc>
          <w:tcPr>
            <w:tcW w:w="915" w:type="pct"/>
            <w:noWrap/>
            <w:vAlign w:val="center"/>
          </w:tcPr>
          <w:p w14:paraId="36664499">
            <w:pPr>
              <w:pStyle w:val="44"/>
              <w:rPr>
                <w:color w:val="auto"/>
              </w:rPr>
            </w:pPr>
            <w:r>
              <w:rPr>
                <w:color w:val="auto"/>
              </w:rPr>
              <w:t xml:space="preserve">2.13 </w:t>
            </w:r>
          </w:p>
        </w:tc>
        <w:tc>
          <w:tcPr>
            <w:tcW w:w="592" w:type="pct"/>
            <w:noWrap/>
            <w:vAlign w:val="center"/>
          </w:tcPr>
          <w:p w14:paraId="551E5902">
            <w:pPr>
              <w:pStyle w:val="44"/>
              <w:rPr>
                <w:color w:val="auto"/>
              </w:rPr>
            </w:pPr>
            <w:r>
              <w:rPr>
                <w:color w:val="auto"/>
              </w:rPr>
              <w:t>2003年</w:t>
            </w:r>
          </w:p>
        </w:tc>
      </w:tr>
      <w:tr w14:paraId="4A220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5A0F93B">
            <w:pPr>
              <w:pStyle w:val="44"/>
              <w:rPr>
                <w:color w:val="auto"/>
              </w:rPr>
            </w:pPr>
            <w:r>
              <w:rPr>
                <w:color w:val="auto"/>
              </w:rPr>
              <w:t>6</w:t>
            </w:r>
          </w:p>
        </w:tc>
        <w:tc>
          <w:tcPr>
            <w:tcW w:w="530" w:type="pct"/>
            <w:vMerge w:val="continue"/>
            <w:vAlign w:val="center"/>
          </w:tcPr>
          <w:p w14:paraId="5DC4B890">
            <w:pPr>
              <w:pStyle w:val="44"/>
              <w:rPr>
                <w:color w:val="auto"/>
              </w:rPr>
            </w:pPr>
          </w:p>
        </w:tc>
        <w:tc>
          <w:tcPr>
            <w:tcW w:w="751" w:type="pct"/>
            <w:noWrap/>
            <w:vAlign w:val="center"/>
          </w:tcPr>
          <w:p w14:paraId="569F5E54">
            <w:pPr>
              <w:pStyle w:val="44"/>
              <w:rPr>
                <w:color w:val="auto"/>
              </w:rPr>
            </w:pPr>
            <w:r>
              <w:rPr>
                <w:color w:val="auto"/>
              </w:rPr>
              <w:t>G42-3-2/05</w:t>
            </w:r>
          </w:p>
        </w:tc>
        <w:tc>
          <w:tcPr>
            <w:tcW w:w="1844" w:type="pct"/>
            <w:noWrap/>
            <w:vAlign w:val="center"/>
          </w:tcPr>
          <w:p w14:paraId="7F554945">
            <w:pPr>
              <w:pStyle w:val="44"/>
              <w:rPr>
                <w:color w:val="auto"/>
              </w:rPr>
            </w:pPr>
            <w:r>
              <w:rPr>
                <w:color w:val="auto"/>
              </w:rPr>
              <w:t>朝阳小区</w:t>
            </w:r>
          </w:p>
        </w:tc>
        <w:tc>
          <w:tcPr>
            <w:tcW w:w="915" w:type="pct"/>
            <w:noWrap/>
            <w:vAlign w:val="center"/>
          </w:tcPr>
          <w:p w14:paraId="2D4B9020">
            <w:pPr>
              <w:pStyle w:val="44"/>
              <w:rPr>
                <w:color w:val="auto"/>
              </w:rPr>
            </w:pPr>
            <w:r>
              <w:rPr>
                <w:color w:val="auto"/>
              </w:rPr>
              <w:t xml:space="preserve">1.81 </w:t>
            </w:r>
          </w:p>
        </w:tc>
        <w:tc>
          <w:tcPr>
            <w:tcW w:w="592" w:type="pct"/>
            <w:noWrap/>
            <w:vAlign w:val="center"/>
          </w:tcPr>
          <w:p w14:paraId="122CA285">
            <w:pPr>
              <w:pStyle w:val="44"/>
              <w:rPr>
                <w:color w:val="auto"/>
              </w:rPr>
            </w:pPr>
            <w:r>
              <w:rPr>
                <w:color w:val="auto"/>
              </w:rPr>
              <w:t>2003年</w:t>
            </w:r>
          </w:p>
        </w:tc>
      </w:tr>
      <w:tr w14:paraId="77D862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23388D6">
            <w:pPr>
              <w:pStyle w:val="44"/>
              <w:rPr>
                <w:color w:val="auto"/>
              </w:rPr>
            </w:pPr>
            <w:r>
              <w:rPr>
                <w:color w:val="auto"/>
              </w:rPr>
              <w:t>7</w:t>
            </w:r>
          </w:p>
        </w:tc>
        <w:tc>
          <w:tcPr>
            <w:tcW w:w="530" w:type="pct"/>
            <w:vMerge w:val="continue"/>
            <w:vAlign w:val="center"/>
          </w:tcPr>
          <w:p w14:paraId="364FB358">
            <w:pPr>
              <w:pStyle w:val="44"/>
              <w:rPr>
                <w:color w:val="auto"/>
              </w:rPr>
            </w:pPr>
          </w:p>
        </w:tc>
        <w:tc>
          <w:tcPr>
            <w:tcW w:w="751" w:type="pct"/>
            <w:noWrap/>
            <w:vAlign w:val="center"/>
          </w:tcPr>
          <w:p w14:paraId="68EDD1A2">
            <w:pPr>
              <w:pStyle w:val="44"/>
              <w:rPr>
                <w:color w:val="auto"/>
              </w:rPr>
            </w:pPr>
            <w:r>
              <w:rPr>
                <w:color w:val="auto"/>
              </w:rPr>
              <w:t>G39-3/04</w:t>
            </w:r>
          </w:p>
        </w:tc>
        <w:tc>
          <w:tcPr>
            <w:tcW w:w="1844" w:type="pct"/>
            <w:noWrap/>
            <w:vAlign w:val="center"/>
          </w:tcPr>
          <w:p w14:paraId="2F7159EF">
            <w:pPr>
              <w:pStyle w:val="44"/>
              <w:rPr>
                <w:color w:val="auto"/>
              </w:rPr>
            </w:pPr>
            <w:r>
              <w:rPr>
                <w:color w:val="auto"/>
              </w:rPr>
              <w:t>重庆再生资源集团公司工业厂房</w:t>
            </w:r>
          </w:p>
        </w:tc>
        <w:tc>
          <w:tcPr>
            <w:tcW w:w="915" w:type="pct"/>
            <w:noWrap/>
            <w:vAlign w:val="center"/>
          </w:tcPr>
          <w:p w14:paraId="582EF041">
            <w:pPr>
              <w:pStyle w:val="44"/>
              <w:rPr>
                <w:color w:val="auto"/>
              </w:rPr>
            </w:pPr>
            <w:r>
              <w:rPr>
                <w:color w:val="auto"/>
              </w:rPr>
              <w:t xml:space="preserve">0.97 </w:t>
            </w:r>
          </w:p>
        </w:tc>
        <w:tc>
          <w:tcPr>
            <w:tcW w:w="592" w:type="pct"/>
            <w:noWrap/>
            <w:vAlign w:val="center"/>
          </w:tcPr>
          <w:p w14:paraId="4556A38A">
            <w:pPr>
              <w:pStyle w:val="44"/>
              <w:rPr>
                <w:color w:val="auto"/>
              </w:rPr>
            </w:pPr>
            <w:r>
              <w:rPr>
                <w:color w:val="auto"/>
              </w:rPr>
              <w:t>2002年</w:t>
            </w:r>
          </w:p>
        </w:tc>
      </w:tr>
      <w:tr w14:paraId="680E0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F365C30">
            <w:pPr>
              <w:pStyle w:val="44"/>
              <w:rPr>
                <w:color w:val="auto"/>
              </w:rPr>
            </w:pPr>
            <w:r>
              <w:rPr>
                <w:color w:val="auto"/>
              </w:rPr>
              <w:t>8</w:t>
            </w:r>
          </w:p>
        </w:tc>
        <w:tc>
          <w:tcPr>
            <w:tcW w:w="530" w:type="pct"/>
            <w:vMerge w:val="continue"/>
            <w:vAlign w:val="center"/>
          </w:tcPr>
          <w:p w14:paraId="49486F97">
            <w:pPr>
              <w:pStyle w:val="44"/>
              <w:rPr>
                <w:color w:val="auto"/>
              </w:rPr>
            </w:pPr>
          </w:p>
        </w:tc>
        <w:tc>
          <w:tcPr>
            <w:tcW w:w="751" w:type="pct"/>
            <w:noWrap/>
            <w:vAlign w:val="center"/>
          </w:tcPr>
          <w:p w14:paraId="083C604B">
            <w:pPr>
              <w:pStyle w:val="44"/>
              <w:rPr>
                <w:color w:val="auto"/>
              </w:rPr>
            </w:pPr>
            <w:r>
              <w:rPr>
                <w:color w:val="auto"/>
              </w:rPr>
              <w:t>G39-4-1/04</w:t>
            </w:r>
          </w:p>
        </w:tc>
        <w:tc>
          <w:tcPr>
            <w:tcW w:w="1844" w:type="pct"/>
            <w:noWrap/>
            <w:vAlign w:val="center"/>
          </w:tcPr>
          <w:p w14:paraId="5434007B">
            <w:pPr>
              <w:pStyle w:val="44"/>
              <w:rPr>
                <w:color w:val="auto"/>
              </w:rPr>
            </w:pPr>
            <w:r>
              <w:rPr>
                <w:color w:val="auto"/>
              </w:rPr>
              <w:t>中国石油</w:t>
            </w:r>
          </w:p>
        </w:tc>
        <w:tc>
          <w:tcPr>
            <w:tcW w:w="915" w:type="pct"/>
            <w:noWrap/>
            <w:vAlign w:val="center"/>
          </w:tcPr>
          <w:p w14:paraId="256ADF3C">
            <w:pPr>
              <w:pStyle w:val="44"/>
              <w:rPr>
                <w:color w:val="auto"/>
              </w:rPr>
            </w:pPr>
            <w:r>
              <w:rPr>
                <w:color w:val="auto"/>
              </w:rPr>
              <w:t xml:space="preserve">0.35 </w:t>
            </w:r>
          </w:p>
        </w:tc>
        <w:tc>
          <w:tcPr>
            <w:tcW w:w="592" w:type="pct"/>
            <w:noWrap/>
            <w:vAlign w:val="center"/>
          </w:tcPr>
          <w:p w14:paraId="3FC35576">
            <w:pPr>
              <w:pStyle w:val="44"/>
              <w:rPr>
                <w:color w:val="auto"/>
              </w:rPr>
            </w:pPr>
            <w:r>
              <w:rPr>
                <w:color w:val="auto"/>
              </w:rPr>
              <w:t>2003年</w:t>
            </w:r>
          </w:p>
        </w:tc>
      </w:tr>
      <w:tr w14:paraId="41ABA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6DDA16E">
            <w:pPr>
              <w:pStyle w:val="44"/>
              <w:rPr>
                <w:color w:val="auto"/>
              </w:rPr>
            </w:pPr>
            <w:r>
              <w:rPr>
                <w:color w:val="auto"/>
              </w:rPr>
              <w:t>9</w:t>
            </w:r>
          </w:p>
        </w:tc>
        <w:tc>
          <w:tcPr>
            <w:tcW w:w="530" w:type="pct"/>
            <w:vMerge w:val="continue"/>
            <w:vAlign w:val="center"/>
          </w:tcPr>
          <w:p w14:paraId="79028FC0">
            <w:pPr>
              <w:pStyle w:val="44"/>
              <w:rPr>
                <w:color w:val="auto"/>
              </w:rPr>
            </w:pPr>
          </w:p>
        </w:tc>
        <w:tc>
          <w:tcPr>
            <w:tcW w:w="751" w:type="pct"/>
            <w:noWrap/>
            <w:vAlign w:val="center"/>
          </w:tcPr>
          <w:p w14:paraId="38B43E66">
            <w:pPr>
              <w:pStyle w:val="44"/>
              <w:rPr>
                <w:color w:val="auto"/>
              </w:rPr>
            </w:pPr>
            <w:r>
              <w:rPr>
                <w:color w:val="auto"/>
              </w:rPr>
              <w:t>G42-5/04</w:t>
            </w:r>
          </w:p>
        </w:tc>
        <w:tc>
          <w:tcPr>
            <w:tcW w:w="1844" w:type="pct"/>
            <w:noWrap/>
            <w:vAlign w:val="center"/>
          </w:tcPr>
          <w:p w14:paraId="4CBB0330">
            <w:pPr>
              <w:pStyle w:val="44"/>
              <w:rPr>
                <w:color w:val="auto"/>
              </w:rPr>
            </w:pPr>
            <w:r>
              <w:rPr>
                <w:color w:val="auto"/>
              </w:rPr>
              <w:t>中国石化.龙禹</w:t>
            </w:r>
          </w:p>
        </w:tc>
        <w:tc>
          <w:tcPr>
            <w:tcW w:w="915" w:type="pct"/>
            <w:noWrap/>
            <w:vAlign w:val="center"/>
          </w:tcPr>
          <w:p w14:paraId="1F8BA76A">
            <w:pPr>
              <w:pStyle w:val="44"/>
              <w:rPr>
                <w:color w:val="auto"/>
              </w:rPr>
            </w:pPr>
            <w:r>
              <w:rPr>
                <w:color w:val="auto"/>
              </w:rPr>
              <w:t xml:space="preserve">0.28 </w:t>
            </w:r>
          </w:p>
        </w:tc>
        <w:tc>
          <w:tcPr>
            <w:tcW w:w="592" w:type="pct"/>
            <w:noWrap/>
            <w:vAlign w:val="center"/>
          </w:tcPr>
          <w:p w14:paraId="320B0675">
            <w:pPr>
              <w:pStyle w:val="44"/>
              <w:rPr>
                <w:color w:val="auto"/>
              </w:rPr>
            </w:pPr>
            <w:r>
              <w:rPr>
                <w:color w:val="auto"/>
              </w:rPr>
              <w:t>2003年</w:t>
            </w:r>
          </w:p>
        </w:tc>
      </w:tr>
      <w:tr w14:paraId="38AAC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DDC45DF">
            <w:pPr>
              <w:pStyle w:val="44"/>
              <w:rPr>
                <w:color w:val="auto"/>
              </w:rPr>
            </w:pPr>
            <w:r>
              <w:rPr>
                <w:color w:val="auto"/>
              </w:rPr>
              <w:t>合计</w:t>
            </w:r>
          </w:p>
        </w:tc>
        <w:tc>
          <w:tcPr>
            <w:tcW w:w="530" w:type="pct"/>
            <w:vMerge w:val="continue"/>
            <w:vAlign w:val="center"/>
          </w:tcPr>
          <w:p w14:paraId="54C309A5">
            <w:pPr>
              <w:pStyle w:val="44"/>
              <w:rPr>
                <w:color w:val="auto"/>
              </w:rPr>
            </w:pPr>
          </w:p>
        </w:tc>
        <w:tc>
          <w:tcPr>
            <w:tcW w:w="751" w:type="pct"/>
            <w:noWrap/>
            <w:vAlign w:val="center"/>
          </w:tcPr>
          <w:p w14:paraId="58BB7C50">
            <w:pPr>
              <w:pStyle w:val="44"/>
              <w:rPr>
                <w:color w:val="auto"/>
              </w:rPr>
            </w:pPr>
            <w:r>
              <w:rPr>
                <w:color w:val="auto"/>
              </w:rPr>
              <w:t>　</w:t>
            </w:r>
          </w:p>
        </w:tc>
        <w:tc>
          <w:tcPr>
            <w:tcW w:w="1844" w:type="pct"/>
            <w:noWrap/>
            <w:vAlign w:val="center"/>
          </w:tcPr>
          <w:p w14:paraId="20F3926C">
            <w:pPr>
              <w:pStyle w:val="44"/>
              <w:rPr>
                <w:color w:val="auto"/>
              </w:rPr>
            </w:pPr>
            <w:r>
              <w:rPr>
                <w:color w:val="auto"/>
              </w:rPr>
              <w:t>　</w:t>
            </w:r>
          </w:p>
        </w:tc>
        <w:tc>
          <w:tcPr>
            <w:tcW w:w="915" w:type="pct"/>
            <w:noWrap/>
            <w:vAlign w:val="center"/>
          </w:tcPr>
          <w:p w14:paraId="3CEC2BD1">
            <w:pPr>
              <w:pStyle w:val="44"/>
              <w:rPr>
                <w:color w:val="auto"/>
              </w:rPr>
            </w:pPr>
            <w:r>
              <w:rPr>
                <w:color w:val="auto"/>
              </w:rPr>
              <w:t xml:space="preserve">14.17 </w:t>
            </w:r>
          </w:p>
        </w:tc>
        <w:tc>
          <w:tcPr>
            <w:tcW w:w="592" w:type="pct"/>
            <w:noWrap/>
            <w:vAlign w:val="center"/>
          </w:tcPr>
          <w:p w14:paraId="1BF95DD0">
            <w:pPr>
              <w:pStyle w:val="44"/>
              <w:rPr>
                <w:color w:val="auto"/>
              </w:rPr>
            </w:pPr>
            <w:r>
              <w:rPr>
                <w:color w:val="auto"/>
              </w:rPr>
              <w:t>　</w:t>
            </w:r>
          </w:p>
        </w:tc>
      </w:tr>
      <w:tr w14:paraId="0AEBA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A2D60B9">
            <w:pPr>
              <w:pStyle w:val="44"/>
              <w:rPr>
                <w:color w:val="auto"/>
              </w:rPr>
            </w:pPr>
            <w:r>
              <w:rPr>
                <w:color w:val="auto"/>
              </w:rPr>
              <w:t>1</w:t>
            </w:r>
          </w:p>
        </w:tc>
        <w:tc>
          <w:tcPr>
            <w:tcW w:w="530" w:type="pct"/>
            <w:vMerge w:val="restart"/>
            <w:vAlign w:val="center"/>
          </w:tcPr>
          <w:p w14:paraId="2D6ED93D">
            <w:pPr>
              <w:pStyle w:val="44"/>
              <w:rPr>
                <w:color w:val="auto"/>
              </w:rPr>
            </w:pPr>
            <w:r>
              <w:rPr>
                <w:color w:val="auto"/>
              </w:rPr>
              <w:t>中梁山组团H标准分区</w:t>
            </w:r>
          </w:p>
        </w:tc>
        <w:tc>
          <w:tcPr>
            <w:tcW w:w="751" w:type="pct"/>
            <w:noWrap/>
            <w:vAlign w:val="center"/>
          </w:tcPr>
          <w:p w14:paraId="31F7B588">
            <w:pPr>
              <w:pStyle w:val="44"/>
              <w:rPr>
                <w:color w:val="auto"/>
              </w:rPr>
            </w:pPr>
            <w:r>
              <w:rPr>
                <w:color w:val="auto"/>
              </w:rPr>
              <w:t>H2-2-2/05</w:t>
            </w:r>
          </w:p>
        </w:tc>
        <w:tc>
          <w:tcPr>
            <w:tcW w:w="1844" w:type="pct"/>
            <w:noWrap/>
            <w:vAlign w:val="center"/>
          </w:tcPr>
          <w:p w14:paraId="2238D168">
            <w:pPr>
              <w:pStyle w:val="44"/>
              <w:rPr>
                <w:color w:val="auto"/>
              </w:rPr>
            </w:pPr>
            <w:r>
              <w:rPr>
                <w:color w:val="auto"/>
              </w:rPr>
              <w:t>半山齐团农转非</w:t>
            </w:r>
          </w:p>
        </w:tc>
        <w:tc>
          <w:tcPr>
            <w:tcW w:w="915" w:type="pct"/>
            <w:noWrap/>
            <w:vAlign w:val="center"/>
          </w:tcPr>
          <w:p w14:paraId="0504AF6B">
            <w:pPr>
              <w:pStyle w:val="44"/>
              <w:rPr>
                <w:color w:val="auto"/>
              </w:rPr>
            </w:pPr>
            <w:r>
              <w:rPr>
                <w:color w:val="auto"/>
              </w:rPr>
              <w:t xml:space="preserve">1.23 </w:t>
            </w:r>
          </w:p>
        </w:tc>
        <w:tc>
          <w:tcPr>
            <w:tcW w:w="592" w:type="pct"/>
            <w:noWrap/>
            <w:vAlign w:val="center"/>
          </w:tcPr>
          <w:p w14:paraId="5483A15A">
            <w:pPr>
              <w:pStyle w:val="44"/>
              <w:rPr>
                <w:color w:val="auto"/>
              </w:rPr>
            </w:pPr>
            <w:r>
              <w:rPr>
                <w:color w:val="auto"/>
              </w:rPr>
              <w:t>2005年</w:t>
            </w:r>
          </w:p>
        </w:tc>
      </w:tr>
      <w:tr w14:paraId="2AF2C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CFDE9F7">
            <w:pPr>
              <w:pStyle w:val="44"/>
              <w:rPr>
                <w:color w:val="auto"/>
              </w:rPr>
            </w:pPr>
            <w:r>
              <w:rPr>
                <w:color w:val="auto"/>
              </w:rPr>
              <w:t>2</w:t>
            </w:r>
          </w:p>
        </w:tc>
        <w:tc>
          <w:tcPr>
            <w:tcW w:w="530" w:type="pct"/>
            <w:vMerge w:val="continue"/>
            <w:vAlign w:val="center"/>
          </w:tcPr>
          <w:p w14:paraId="6EA40DAB">
            <w:pPr>
              <w:pStyle w:val="44"/>
              <w:rPr>
                <w:color w:val="auto"/>
              </w:rPr>
            </w:pPr>
          </w:p>
        </w:tc>
        <w:tc>
          <w:tcPr>
            <w:tcW w:w="751" w:type="pct"/>
            <w:noWrap/>
            <w:vAlign w:val="center"/>
          </w:tcPr>
          <w:p w14:paraId="677E7E5A">
            <w:pPr>
              <w:pStyle w:val="44"/>
              <w:rPr>
                <w:color w:val="auto"/>
              </w:rPr>
            </w:pPr>
            <w:r>
              <w:rPr>
                <w:color w:val="auto"/>
              </w:rPr>
              <w:t>H3-1-1/05</w:t>
            </w:r>
          </w:p>
        </w:tc>
        <w:tc>
          <w:tcPr>
            <w:tcW w:w="1844" w:type="pct"/>
            <w:noWrap/>
            <w:vAlign w:val="center"/>
          </w:tcPr>
          <w:p w14:paraId="11834D0E">
            <w:pPr>
              <w:pStyle w:val="44"/>
              <w:rPr>
                <w:color w:val="auto"/>
              </w:rPr>
            </w:pPr>
            <w:r>
              <w:rPr>
                <w:color w:val="auto"/>
              </w:rPr>
              <w:t xml:space="preserve">川威钢材  </w:t>
            </w:r>
          </w:p>
        </w:tc>
        <w:tc>
          <w:tcPr>
            <w:tcW w:w="915" w:type="pct"/>
            <w:noWrap/>
            <w:vAlign w:val="center"/>
          </w:tcPr>
          <w:p w14:paraId="543F869F">
            <w:pPr>
              <w:pStyle w:val="44"/>
              <w:rPr>
                <w:color w:val="auto"/>
              </w:rPr>
            </w:pPr>
            <w:r>
              <w:rPr>
                <w:color w:val="auto"/>
              </w:rPr>
              <w:t xml:space="preserve">0.23 </w:t>
            </w:r>
          </w:p>
        </w:tc>
        <w:tc>
          <w:tcPr>
            <w:tcW w:w="592" w:type="pct"/>
            <w:noWrap/>
            <w:vAlign w:val="center"/>
          </w:tcPr>
          <w:p w14:paraId="77170324">
            <w:pPr>
              <w:pStyle w:val="44"/>
              <w:rPr>
                <w:color w:val="auto"/>
              </w:rPr>
            </w:pPr>
            <w:r>
              <w:rPr>
                <w:color w:val="auto"/>
              </w:rPr>
              <w:t>2004年</w:t>
            </w:r>
          </w:p>
        </w:tc>
      </w:tr>
      <w:tr w14:paraId="2F28D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FE19D0B">
            <w:pPr>
              <w:pStyle w:val="44"/>
              <w:rPr>
                <w:color w:val="auto"/>
              </w:rPr>
            </w:pPr>
            <w:r>
              <w:rPr>
                <w:color w:val="auto"/>
              </w:rPr>
              <w:t>3</w:t>
            </w:r>
          </w:p>
        </w:tc>
        <w:tc>
          <w:tcPr>
            <w:tcW w:w="530" w:type="pct"/>
            <w:vMerge w:val="continue"/>
            <w:vAlign w:val="center"/>
          </w:tcPr>
          <w:p w14:paraId="6A182735">
            <w:pPr>
              <w:pStyle w:val="44"/>
              <w:rPr>
                <w:color w:val="auto"/>
              </w:rPr>
            </w:pPr>
          </w:p>
        </w:tc>
        <w:tc>
          <w:tcPr>
            <w:tcW w:w="751" w:type="pct"/>
            <w:noWrap/>
            <w:vAlign w:val="center"/>
          </w:tcPr>
          <w:p w14:paraId="7E43B060">
            <w:pPr>
              <w:pStyle w:val="44"/>
              <w:rPr>
                <w:color w:val="auto"/>
              </w:rPr>
            </w:pPr>
            <w:r>
              <w:rPr>
                <w:color w:val="auto"/>
              </w:rPr>
              <w:t>H3-1-2/05</w:t>
            </w:r>
          </w:p>
        </w:tc>
        <w:tc>
          <w:tcPr>
            <w:tcW w:w="1844" w:type="pct"/>
            <w:noWrap/>
            <w:vAlign w:val="center"/>
          </w:tcPr>
          <w:p w14:paraId="15E5B10E">
            <w:pPr>
              <w:pStyle w:val="44"/>
              <w:rPr>
                <w:color w:val="auto"/>
              </w:rPr>
            </w:pPr>
            <w:r>
              <w:rPr>
                <w:color w:val="auto"/>
              </w:rPr>
              <w:t>重庆市九龙建设工程质量检测中心有限公司</w:t>
            </w:r>
          </w:p>
        </w:tc>
        <w:tc>
          <w:tcPr>
            <w:tcW w:w="915" w:type="pct"/>
            <w:noWrap/>
            <w:vAlign w:val="center"/>
          </w:tcPr>
          <w:p w14:paraId="3F08112F">
            <w:pPr>
              <w:pStyle w:val="44"/>
              <w:rPr>
                <w:color w:val="auto"/>
              </w:rPr>
            </w:pPr>
            <w:r>
              <w:rPr>
                <w:color w:val="auto"/>
              </w:rPr>
              <w:t xml:space="preserve">3.23 </w:t>
            </w:r>
          </w:p>
        </w:tc>
        <w:tc>
          <w:tcPr>
            <w:tcW w:w="592" w:type="pct"/>
            <w:noWrap/>
            <w:vAlign w:val="center"/>
          </w:tcPr>
          <w:p w14:paraId="7B4D6340">
            <w:pPr>
              <w:pStyle w:val="44"/>
              <w:rPr>
                <w:color w:val="auto"/>
              </w:rPr>
            </w:pPr>
            <w:r>
              <w:rPr>
                <w:color w:val="auto"/>
              </w:rPr>
              <w:t>2003年</w:t>
            </w:r>
          </w:p>
        </w:tc>
      </w:tr>
      <w:tr w14:paraId="5DE29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FA62CA0">
            <w:pPr>
              <w:pStyle w:val="44"/>
              <w:rPr>
                <w:color w:val="auto"/>
              </w:rPr>
            </w:pPr>
            <w:r>
              <w:rPr>
                <w:color w:val="auto"/>
              </w:rPr>
              <w:t>4</w:t>
            </w:r>
          </w:p>
        </w:tc>
        <w:tc>
          <w:tcPr>
            <w:tcW w:w="530" w:type="pct"/>
            <w:vMerge w:val="continue"/>
            <w:vAlign w:val="center"/>
          </w:tcPr>
          <w:p w14:paraId="74879569">
            <w:pPr>
              <w:pStyle w:val="44"/>
              <w:rPr>
                <w:color w:val="auto"/>
              </w:rPr>
            </w:pPr>
          </w:p>
        </w:tc>
        <w:tc>
          <w:tcPr>
            <w:tcW w:w="751" w:type="pct"/>
            <w:noWrap/>
            <w:vAlign w:val="center"/>
          </w:tcPr>
          <w:p w14:paraId="5DF6A1C8">
            <w:pPr>
              <w:pStyle w:val="44"/>
              <w:rPr>
                <w:color w:val="auto"/>
              </w:rPr>
            </w:pPr>
            <w:r>
              <w:rPr>
                <w:color w:val="auto"/>
              </w:rPr>
              <w:t>H5-3/04</w:t>
            </w:r>
          </w:p>
        </w:tc>
        <w:tc>
          <w:tcPr>
            <w:tcW w:w="1844" w:type="pct"/>
            <w:noWrap/>
            <w:vAlign w:val="center"/>
          </w:tcPr>
          <w:p w14:paraId="0B9EB85A">
            <w:pPr>
              <w:pStyle w:val="44"/>
              <w:rPr>
                <w:color w:val="auto"/>
              </w:rPr>
            </w:pPr>
            <w:r>
              <w:rPr>
                <w:color w:val="auto"/>
              </w:rPr>
              <w:t>华福机电批发市场</w:t>
            </w:r>
          </w:p>
        </w:tc>
        <w:tc>
          <w:tcPr>
            <w:tcW w:w="915" w:type="pct"/>
            <w:noWrap/>
            <w:vAlign w:val="center"/>
          </w:tcPr>
          <w:p w14:paraId="7F6DEDD8">
            <w:pPr>
              <w:pStyle w:val="44"/>
              <w:rPr>
                <w:color w:val="auto"/>
              </w:rPr>
            </w:pPr>
            <w:r>
              <w:rPr>
                <w:color w:val="auto"/>
              </w:rPr>
              <w:t xml:space="preserve">0.55 </w:t>
            </w:r>
          </w:p>
        </w:tc>
        <w:tc>
          <w:tcPr>
            <w:tcW w:w="592" w:type="pct"/>
            <w:noWrap/>
            <w:vAlign w:val="center"/>
          </w:tcPr>
          <w:p w14:paraId="76FFC6AD">
            <w:pPr>
              <w:pStyle w:val="44"/>
              <w:rPr>
                <w:color w:val="auto"/>
              </w:rPr>
            </w:pPr>
            <w:r>
              <w:rPr>
                <w:color w:val="auto"/>
              </w:rPr>
              <w:t>2003年</w:t>
            </w:r>
          </w:p>
        </w:tc>
      </w:tr>
      <w:tr w14:paraId="129ED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CEF4477">
            <w:pPr>
              <w:pStyle w:val="44"/>
              <w:rPr>
                <w:color w:val="auto"/>
              </w:rPr>
            </w:pPr>
            <w:r>
              <w:rPr>
                <w:color w:val="auto"/>
              </w:rPr>
              <w:t>5</w:t>
            </w:r>
          </w:p>
        </w:tc>
        <w:tc>
          <w:tcPr>
            <w:tcW w:w="530" w:type="pct"/>
            <w:vMerge w:val="continue"/>
            <w:vAlign w:val="center"/>
          </w:tcPr>
          <w:p w14:paraId="1206166F">
            <w:pPr>
              <w:pStyle w:val="44"/>
              <w:rPr>
                <w:color w:val="auto"/>
              </w:rPr>
            </w:pPr>
          </w:p>
        </w:tc>
        <w:tc>
          <w:tcPr>
            <w:tcW w:w="751" w:type="pct"/>
            <w:noWrap/>
            <w:vAlign w:val="center"/>
          </w:tcPr>
          <w:p w14:paraId="31F2FEF4">
            <w:pPr>
              <w:pStyle w:val="44"/>
              <w:rPr>
                <w:color w:val="auto"/>
              </w:rPr>
            </w:pPr>
            <w:r>
              <w:rPr>
                <w:color w:val="auto"/>
              </w:rPr>
              <w:t>H5-4/04</w:t>
            </w:r>
          </w:p>
        </w:tc>
        <w:tc>
          <w:tcPr>
            <w:tcW w:w="1844" w:type="pct"/>
            <w:noWrap/>
            <w:vAlign w:val="center"/>
          </w:tcPr>
          <w:p w14:paraId="4DBCFBF3">
            <w:pPr>
              <w:pStyle w:val="44"/>
              <w:rPr>
                <w:color w:val="auto"/>
              </w:rPr>
            </w:pPr>
            <w:r>
              <w:rPr>
                <w:color w:val="auto"/>
              </w:rPr>
              <w:t>华福机电批发市场</w:t>
            </w:r>
          </w:p>
        </w:tc>
        <w:tc>
          <w:tcPr>
            <w:tcW w:w="915" w:type="pct"/>
            <w:noWrap/>
            <w:vAlign w:val="center"/>
          </w:tcPr>
          <w:p w14:paraId="5E223185">
            <w:pPr>
              <w:pStyle w:val="44"/>
              <w:rPr>
                <w:color w:val="auto"/>
              </w:rPr>
            </w:pPr>
            <w:r>
              <w:rPr>
                <w:color w:val="auto"/>
              </w:rPr>
              <w:t xml:space="preserve">0.34 </w:t>
            </w:r>
          </w:p>
        </w:tc>
        <w:tc>
          <w:tcPr>
            <w:tcW w:w="592" w:type="pct"/>
            <w:noWrap/>
            <w:vAlign w:val="center"/>
          </w:tcPr>
          <w:p w14:paraId="76F83249">
            <w:pPr>
              <w:pStyle w:val="44"/>
              <w:rPr>
                <w:color w:val="auto"/>
              </w:rPr>
            </w:pPr>
            <w:r>
              <w:rPr>
                <w:color w:val="auto"/>
              </w:rPr>
              <w:t>2003年</w:t>
            </w:r>
          </w:p>
        </w:tc>
      </w:tr>
      <w:tr w14:paraId="2AF08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A85C31F">
            <w:pPr>
              <w:pStyle w:val="44"/>
              <w:rPr>
                <w:color w:val="auto"/>
              </w:rPr>
            </w:pPr>
            <w:r>
              <w:rPr>
                <w:color w:val="auto"/>
              </w:rPr>
              <w:t>6</w:t>
            </w:r>
          </w:p>
        </w:tc>
        <w:tc>
          <w:tcPr>
            <w:tcW w:w="530" w:type="pct"/>
            <w:vMerge w:val="continue"/>
            <w:vAlign w:val="center"/>
          </w:tcPr>
          <w:p w14:paraId="46819597">
            <w:pPr>
              <w:pStyle w:val="44"/>
              <w:rPr>
                <w:color w:val="auto"/>
              </w:rPr>
            </w:pPr>
          </w:p>
        </w:tc>
        <w:tc>
          <w:tcPr>
            <w:tcW w:w="751" w:type="pct"/>
            <w:noWrap/>
            <w:vAlign w:val="center"/>
          </w:tcPr>
          <w:p w14:paraId="10615871">
            <w:pPr>
              <w:pStyle w:val="44"/>
              <w:rPr>
                <w:color w:val="auto"/>
              </w:rPr>
            </w:pPr>
            <w:r>
              <w:rPr>
                <w:color w:val="auto"/>
              </w:rPr>
              <w:t>H5-5/03</w:t>
            </w:r>
          </w:p>
        </w:tc>
        <w:tc>
          <w:tcPr>
            <w:tcW w:w="1844" w:type="pct"/>
            <w:noWrap/>
            <w:vAlign w:val="center"/>
          </w:tcPr>
          <w:p w14:paraId="3141B361">
            <w:pPr>
              <w:pStyle w:val="44"/>
              <w:rPr>
                <w:color w:val="auto"/>
              </w:rPr>
            </w:pPr>
            <w:r>
              <w:rPr>
                <w:color w:val="auto"/>
              </w:rPr>
              <w:t>华福机电批发市场</w:t>
            </w:r>
          </w:p>
        </w:tc>
        <w:tc>
          <w:tcPr>
            <w:tcW w:w="915" w:type="pct"/>
            <w:noWrap/>
            <w:vAlign w:val="center"/>
          </w:tcPr>
          <w:p w14:paraId="1BEE10FD">
            <w:pPr>
              <w:pStyle w:val="44"/>
              <w:rPr>
                <w:color w:val="auto"/>
              </w:rPr>
            </w:pPr>
            <w:r>
              <w:rPr>
                <w:color w:val="auto"/>
              </w:rPr>
              <w:t xml:space="preserve">0.44 </w:t>
            </w:r>
          </w:p>
        </w:tc>
        <w:tc>
          <w:tcPr>
            <w:tcW w:w="592" w:type="pct"/>
            <w:noWrap/>
            <w:vAlign w:val="center"/>
          </w:tcPr>
          <w:p w14:paraId="17506436">
            <w:pPr>
              <w:pStyle w:val="44"/>
              <w:rPr>
                <w:color w:val="auto"/>
              </w:rPr>
            </w:pPr>
            <w:r>
              <w:rPr>
                <w:color w:val="auto"/>
              </w:rPr>
              <w:t>2003年</w:t>
            </w:r>
          </w:p>
        </w:tc>
      </w:tr>
      <w:tr w14:paraId="69546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5AB69C7">
            <w:pPr>
              <w:pStyle w:val="44"/>
              <w:rPr>
                <w:color w:val="auto"/>
              </w:rPr>
            </w:pPr>
            <w:r>
              <w:rPr>
                <w:color w:val="auto"/>
              </w:rPr>
              <w:t>7</w:t>
            </w:r>
          </w:p>
        </w:tc>
        <w:tc>
          <w:tcPr>
            <w:tcW w:w="530" w:type="pct"/>
            <w:vMerge w:val="continue"/>
            <w:vAlign w:val="center"/>
          </w:tcPr>
          <w:p w14:paraId="459417C0">
            <w:pPr>
              <w:pStyle w:val="44"/>
              <w:rPr>
                <w:color w:val="auto"/>
              </w:rPr>
            </w:pPr>
          </w:p>
        </w:tc>
        <w:tc>
          <w:tcPr>
            <w:tcW w:w="751" w:type="pct"/>
            <w:noWrap/>
            <w:vAlign w:val="center"/>
          </w:tcPr>
          <w:p w14:paraId="7B92B05E">
            <w:pPr>
              <w:pStyle w:val="44"/>
              <w:rPr>
                <w:color w:val="auto"/>
              </w:rPr>
            </w:pPr>
            <w:r>
              <w:rPr>
                <w:color w:val="auto"/>
              </w:rPr>
              <w:t>H5-6/03</w:t>
            </w:r>
          </w:p>
        </w:tc>
        <w:tc>
          <w:tcPr>
            <w:tcW w:w="1844" w:type="pct"/>
            <w:noWrap/>
            <w:vAlign w:val="center"/>
          </w:tcPr>
          <w:p w14:paraId="0163E12E">
            <w:pPr>
              <w:pStyle w:val="44"/>
              <w:rPr>
                <w:color w:val="auto"/>
              </w:rPr>
            </w:pPr>
            <w:r>
              <w:rPr>
                <w:color w:val="auto"/>
              </w:rPr>
              <w:t>华福机电批发市场</w:t>
            </w:r>
          </w:p>
        </w:tc>
        <w:tc>
          <w:tcPr>
            <w:tcW w:w="915" w:type="pct"/>
            <w:noWrap/>
            <w:vAlign w:val="center"/>
          </w:tcPr>
          <w:p w14:paraId="292937E0">
            <w:pPr>
              <w:pStyle w:val="44"/>
              <w:rPr>
                <w:color w:val="auto"/>
              </w:rPr>
            </w:pPr>
            <w:r>
              <w:rPr>
                <w:color w:val="auto"/>
              </w:rPr>
              <w:t xml:space="preserve">0.06 </w:t>
            </w:r>
          </w:p>
        </w:tc>
        <w:tc>
          <w:tcPr>
            <w:tcW w:w="592" w:type="pct"/>
            <w:noWrap/>
            <w:vAlign w:val="center"/>
          </w:tcPr>
          <w:p w14:paraId="6B06633F">
            <w:pPr>
              <w:pStyle w:val="44"/>
              <w:rPr>
                <w:color w:val="auto"/>
              </w:rPr>
            </w:pPr>
            <w:r>
              <w:rPr>
                <w:color w:val="auto"/>
              </w:rPr>
              <w:t>2003年</w:t>
            </w:r>
          </w:p>
        </w:tc>
      </w:tr>
      <w:tr w14:paraId="4D4D0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9D5A7DB">
            <w:pPr>
              <w:pStyle w:val="44"/>
              <w:rPr>
                <w:color w:val="auto"/>
              </w:rPr>
            </w:pPr>
            <w:r>
              <w:rPr>
                <w:color w:val="auto"/>
              </w:rPr>
              <w:t>8</w:t>
            </w:r>
          </w:p>
        </w:tc>
        <w:tc>
          <w:tcPr>
            <w:tcW w:w="530" w:type="pct"/>
            <w:vMerge w:val="continue"/>
            <w:vAlign w:val="center"/>
          </w:tcPr>
          <w:p w14:paraId="74763389">
            <w:pPr>
              <w:pStyle w:val="44"/>
              <w:rPr>
                <w:color w:val="auto"/>
              </w:rPr>
            </w:pPr>
          </w:p>
        </w:tc>
        <w:tc>
          <w:tcPr>
            <w:tcW w:w="751" w:type="pct"/>
            <w:vMerge w:val="restart"/>
            <w:noWrap/>
            <w:vAlign w:val="center"/>
          </w:tcPr>
          <w:p w14:paraId="382B58A6">
            <w:pPr>
              <w:pStyle w:val="44"/>
              <w:rPr>
                <w:color w:val="auto"/>
              </w:rPr>
            </w:pPr>
            <w:r>
              <w:rPr>
                <w:color w:val="auto"/>
              </w:rPr>
              <w:t>H7-1/03</w:t>
            </w:r>
          </w:p>
        </w:tc>
        <w:tc>
          <w:tcPr>
            <w:tcW w:w="1844" w:type="pct"/>
            <w:noWrap/>
            <w:vAlign w:val="center"/>
          </w:tcPr>
          <w:p w14:paraId="638BD640">
            <w:pPr>
              <w:pStyle w:val="44"/>
              <w:rPr>
                <w:color w:val="auto"/>
              </w:rPr>
            </w:pPr>
            <w:r>
              <w:rPr>
                <w:color w:val="auto"/>
              </w:rPr>
              <w:t>重庆第二起重机厂有限责任公司</w:t>
            </w:r>
          </w:p>
        </w:tc>
        <w:tc>
          <w:tcPr>
            <w:tcW w:w="915" w:type="pct"/>
            <w:vMerge w:val="restart"/>
            <w:noWrap/>
            <w:vAlign w:val="center"/>
          </w:tcPr>
          <w:p w14:paraId="41C361A9">
            <w:pPr>
              <w:pStyle w:val="44"/>
              <w:rPr>
                <w:color w:val="auto"/>
              </w:rPr>
            </w:pPr>
            <w:r>
              <w:rPr>
                <w:color w:val="auto"/>
              </w:rPr>
              <w:t xml:space="preserve">3.60 </w:t>
            </w:r>
          </w:p>
        </w:tc>
        <w:tc>
          <w:tcPr>
            <w:tcW w:w="592" w:type="pct"/>
            <w:noWrap/>
            <w:vAlign w:val="center"/>
          </w:tcPr>
          <w:p w14:paraId="048699FA">
            <w:pPr>
              <w:pStyle w:val="44"/>
              <w:rPr>
                <w:color w:val="auto"/>
              </w:rPr>
            </w:pPr>
            <w:r>
              <w:rPr>
                <w:color w:val="auto"/>
              </w:rPr>
              <w:t>2004年</w:t>
            </w:r>
          </w:p>
        </w:tc>
      </w:tr>
      <w:tr w14:paraId="4337C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3BD7E53">
            <w:pPr>
              <w:pStyle w:val="44"/>
              <w:rPr>
                <w:color w:val="auto"/>
              </w:rPr>
            </w:pPr>
            <w:r>
              <w:rPr>
                <w:color w:val="auto"/>
              </w:rPr>
              <w:t>9</w:t>
            </w:r>
          </w:p>
        </w:tc>
        <w:tc>
          <w:tcPr>
            <w:tcW w:w="530" w:type="pct"/>
            <w:vMerge w:val="continue"/>
            <w:vAlign w:val="center"/>
          </w:tcPr>
          <w:p w14:paraId="2038E9FE">
            <w:pPr>
              <w:pStyle w:val="44"/>
              <w:rPr>
                <w:color w:val="auto"/>
              </w:rPr>
            </w:pPr>
          </w:p>
        </w:tc>
        <w:tc>
          <w:tcPr>
            <w:tcW w:w="751" w:type="pct"/>
            <w:vMerge w:val="continue"/>
            <w:vAlign w:val="center"/>
          </w:tcPr>
          <w:p w14:paraId="6B852DEF">
            <w:pPr>
              <w:pStyle w:val="44"/>
              <w:rPr>
                <w:color w:val="auto"/>
              </w:rPr>
            </w:pPr>
          </w:p>
        </w:tc>
        <w:tc>
          <w:tcPr>
            <w:tcW w:w="1844" w:type="pct"/>
            <w:noWrap/>
            <w:vAlign w:val="center"/>
          </w:tcPr>
          <w:p w14:paraId="52CAF10C">
            <w:pPr>
              <w:pStyle w:val="44"/>
              <w:rPr>
                <w:color w:val="auto"/>
              </w:rPr>
            </w:pPr>
            <w:r>
              <w:rPr>
                <w:color w:val="auto"/>
              </w:rPr>
              <w:t>重庆锦日斤汽车零部件有限公司</w:t>
            </w:r>
          </w:p>
        </w:tc>
        <w:tc>
          <w:tcPr>
            <w:tcW w:w="915" w:type="pct"/>
            <w:vMerge w:val="continue"/>
            <w:vAlign w:val="center"/>
          </w:tcPr>
          <w:p w14:paraId="36F0F271">
            <w:pPr>
              <w:pStyle w:val="44"/>
              <w:rPr>
                <w:color w:val="auto"/>
              </w:rPr>
            </w:pPr>
          </w:p>
        </w:tc>
        <w:tc>
          <w:tcPr>
            <w:tcW w:w="592" w:type="pct"/>
            <w:noWrap/>
            <w:vAlign w:val="center"/>
          </w:tcPr>
          <w:p w14:paraId="497B5075">
            <w:pPr>
              <w:pStyle w:val="44"/>
              <w:rPr>
                <w:color w:val="auto"/>
              </w:rPr>
            </w:pPr>
            <w:r>
              <w:rPr>
                <w:color w:val="auto"/>
              </w:rPr>
              <w:t>2004年</w:t>
            </w:r>
          </w:p>
        </w:tc>
      </w:tr>
      <w:tr w14:paraId="6C4F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79E37CE">
            <w:pPr>
              <w:pStyle w:val="44"/>
              <w:rPr>
                <w:color w:val="auto"/>
              </w:rPr>
            </w:pPr>
            <w:r>
              <w:rPr>
                <w:color w:val="auto"/>
              </w:rPr>
              <w:t>10</w:t>
            </w:r>
          </w:p>
        </w:tc>
        <w:tc>
          <w:tcPr>
            <w:tcW w:w="530" w:type="pct"/>
            <w:vMerge w:val="continue"/>
            <w:vAlign w:val="center"/>
          </w:tcPr>
          <w:p w14:paraId="71D3A4D9">
            <w:pPr>
              <w:pStyle w:val="44"/>
              <w:rPr>
                <w:color w:val="auto"/>
              </w:rPr>
            </w:pPr>
          </w:p>
        </w:tc>
        <w:tc>
          <w:tcPr>
            <w:tcW w:w="751" w:type="pct"/>
            <w:noWrap/>
            <w:vAlign w:val="center"/>
          </w:tcPr>
          <w:p w14:paraId="76BF9C8F">
            <w:pPr>
              <w:pStyle w:val="44"/>
              <w:rPr>
                <w:color w:val="auto"/>
              </w:rPr>
            </w:pPr>
            <w:r>
              <w:rPr>
                <w:color w:val="auto"/>
              </w:rPr>
              <w:t>H8-1/03</w:t>
            </w:r>
          </w:p>
        </w:tc>
        <w:tc>
          <w:tcPr>
            <w:tcW w:w="1844" w:type="pct"/>
            <w:noWrap/>
            <w:vAlign w:val="center"/>
          </w:tcPr>
          <w:p w14:paraId="36FE13AA">
            <w:pPr>
              <w:pStyle w:val="44"/>
              <w:rPr>
                <w:color w:val="auto"/>
              </w:rPr>
            </w:pPr>
            <w:r>
              <w:rPr>
                <w:color w:val="auto"/>
              </w:rPr>
              <w:t>重庆天旭印刷有限责任公司</w:t>
            </w:r>
          </w:p>
        </w:tc>
        <w:tc>
          <w:tcPr>
            <w:tcW w:w="915" w:type="pct"/>
            <w:noWrap/>
            <w:vAlign w:val="center"/>
          </w:tcPr>
          <w:p w14:paraId="6975F48A">
            <w:pPr>
              <w:pStyle w:val="44"/>
              <w:rPr>
                <w:color w:val="auto"/>
              </w:rPr>
            </w:pPr>
            <w:r>
              <w:rPr>
                <w:color w:val="auto"/>
              </w:rPr>
              <w:t xml:space="preserve">0.41 </w:t>
            </w:r>
          </w:p>
        </w:tc>
        <w:tc>
          <w:tcPr>
            <w:tcW w:w="592" w:type="pct"/>
            <w:noWrap/>
            <w:vAlign w:val="center"/>
          </w:tcPr>
          <w:p w14:paraId="39ADD570">
            <w:pPr>
              <w:pStyle w:val="44"/>
              <w:rPr>
                <w:color w:val="auto"/>
              </w:rPr>
            </w:pPr>
            <w:r>
              <w:rPr>
                <w:color w:val="auto"/>
              </w:rPr>
              <w:t>2005年</w:t>
            </w:r>
          </w:p>
        </w:tc>
      </w:tr>
      <w:tr w14:paraId="5F862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8E710A5">
            <w:pPr>
              <w:pStyle w:val="44"/>
              <w:rPr>
                <w:color w:val="auto"/>
              </w:rPr>
            </w:pPr>
            <w:r>
              <w:rPr>
                <w:color w:val="auto"/>
              </w:rPr>
              <w:t>11</w:t>
            </w:r>
          </w:p>
        </w:tc>
        <w:tc>
          <w:tcPr>
            <w:tcW w:w="530" w:type="pct"/>
            <w:vMerge w:val="continue"/>
            <w:vAlign w:val="center"/>
          </w:tcPr>
          <w:p w14:paraId="1FC57B11">
            <w:pPr>
              <w:pStyle w:val="44"/>
              <w:rPr>
                <w:color w:val="auto"/>
              </w:rPr>
            </w:pPr>
          </w:p>
        </w:tc>
        <w:tc>
          <w:tcPr>
            <w:tcW w:w="751" w:type="pct"/>
            <w:vMerge w:val="restart"/>
            <w:noWrap/>
            <w:vAlign w:val="center"/>
          </w:tcPr>
          <w:p w14:paraId="65E21BD2">
            <w:pPr>
              <w:pStyle w:val="44"/>
              <w:rPr>
                <w:color w:val="auto"/>
              </w:rPr>
            </w:pPr>
            <w:r>
              <w:rPr>
                <w:color w:val="auto"/>
              </w:rPr>
              <w:t>H8-3/03</w:t>
            </w:r>
          </w:p>
        </w:tc>
        <w:tc>
          <w:tcPr>
            <w:tcW w:w="1844" w:type="pct"/>
            <w:noWrap/>
            <w:vAlign w:val="center"/>
          </w:tcPr>
          <w:p w14:paraId="6A3BF8F7">
            <w:pPr>
              <w:pStyle w:val="44"/>
              <w:rPr>
                <w:color w:val="auto"/>
              </w:rPr>
            </w:pPr>
            <w:r>
              <w:rPr>
                <w:color w:val="auto"/>
              </w:rPr>
              <w:t>重庆拉瑞永固混凝土有限公司</w:t>
            </w:r>
          </w:p>
        </w:tc>
        <w:tc>
          <w:tcPr>
            <w:tcW w:w="915" w:type="pct"/>
            <w:vMerge w:val="restart"/>
            <w:noWrap/>
            <w:vAlign w:val="center"/>
          </w:tcPr>
          <w:p w14:paraId="61216B4E">
            <w:pPr>
              <w:pStyle w:val="44"/>
              <w:rPr>
                <w:color w:val="auto"/>
              </w:rPr>
            </w:pPr>
            <w:r>
              <w:rPr>
                <w:color w:val="auto"/>
              </w:rPr>
              <w:t xml:space="preserve">1.47 </w:t>
            </w:r>
          </w:p>
        </w:tc>
        <w:tc>
          <w:tcPr>
            <w:tcW w:w="592" w:type="pct"/>
            <w:noWrap/>
            <w:vAlign w:val="center"/>
          </w:tcPr>
          <w:p w14:paraId="674137C4">
            <w:pPr>
              <w:pStyle w:val="44"/>
              <w:rPr>
                <w:color w:val="auto"/>
              </w:rPr>
            </w:pPr>
            <w:r>
              <w:rPr>
                <w:color w:val="auto"/>
              </w:rPr>
              <w:t>2006年</w:t>
            </w:r>
          </w:p>
        </w:tc>
      </w:tr>
      <w:tr w14:paraId="73277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F248CEF">
            <w:pPr>
              <w:pStyle w:val="44"/>
              <w:rPr>
                <w:color w:val="auto"/>
              </w:rPr>
            </w:pPr>
            <w:r>
              <w:rPr>
                <w:color w:val="auto"/>
              </w:rPr>
              <w:t>12</w:t>
            </w:r>
          </w:p>
        </w:tc>
        <w:tc>
          <w:tcPr>
            <w:tcW w:w="530" w:type="pct"/>
            <w:vMerge w:val="continue"/>
            <w:vAlign w:val="center"/>
          </w:tcPr>
          <w:p w14:paraId="6AF097EB">
            <w:pPr>
              <w:pStyle w:val="44"/>
              <w:rPr>
                <w:color w:val="auto"/>
              </w:rPr>
            </w:pPr>
          </w:p>
        </w:tc>
        <w:tc>
          <w:tcPr>
            <w:tcW w:w="751" w:type="pct"/>
            <w:vMerge w:val="continue"/>
            <w:vAlign w:val="center"/>
          </w:tcPr>
          <w:p w14:paraId="179CB547">
            <w:pPr>
              <w:pStyle w:val="44"/>
              <w:rPr>
                <w:color w:val="auto"/>
              </w:rPr>
            </w:pPr>
          </w:p>
        </w:tc>
        <w:tc>
          <w:tcPr>
            <w:tcW w:w="1844" w:type="pct"/>
            <w:noWrap/>
            <w:vAlign w:val="center"/>
          </w:tcPr>
          <w:p w14:paraId="583EB53A">
            <w:pPr>
              <w:pStyle w:val="44"/>
              <w:rPr>
                <w:color w:val="auto"/>
              </w:rPr>
            </w:pPr>
            <w:r>
              <w:rPr>
                <w:color w:val="auto"/>
              </w:rPr>
              <w:t>重庆市日兴食品有限责任公司</w:t>
            </w:r>
          </w:p>
        </w:tc>
        <w:tc>
          <w:tcPr>
            <w:tcW w:w="915" w:type="pct"/>
            <w:vMerge w:val="continue"/>
            <w:vAlign w:val="center"/>
          </w:tcPr>
          <w:p w14:paraId="2E557A8E">
            <w:pPr>
              <w:pStyle w:val="44"/>
              <w:rPr>
                <w:color w:val="auto"/>
              </w:rPr>
            </w:pPr>
          </w:p>
        </w:tc>
        <w:tc>
          <w:tcPr>
            <w:tcW w:w="592" w:type="pct"/>
            <w:noWrap/>
            <w:vAlign w:val="center"/>
          </w:tcPr>
          <w:p w14:paraId="44F90E96">
            <w:pPr>
              <w:pStyle w:val="44"/>
              <w:rPr>
                <w:color w:val="auto"/>
              </w:rPr>
            </w:pPr>
            <w:r>
              <w:rPr>
                <w:color w:val="auto"/>
              </w:rPr>
              <w:t>2004年</w:t>
            </w:r>
          </w:p>
        </w:tc>
      </w:tr>
      <w:tr w14:paraId="6EEEE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5823222">
            <w:pPr>
              <w:pStyle w:val="44"/>
              <w:rPr>
                <w:color w:val="auto"/>
              </w:rPr>
            </w:pPr>
            <w:r>
              <w:rPr>
                <w:color w:val="auto"/>
              </w:rPr>
              <w:t>13</w:t>
            </w:r>
          </w:p>
        </w:tc>
        <w:tc>
          <w:tcPr>
            <w:tcW w:w="530" w:type="pct"/>
            <w:vMerge w:val="continue"/>
            <w:vAlign w:val="center"/>
          </w:tcPr>
          <w:p w14:paraId="7D18BC83">
            <w:pPr>
              <w:pStyle w:val="44"/>
              <w:rPr>
                <w:color w:val="auto"/>
              </w:rPr>
            </w:pPr>
          </w:p>
        </w:tc>
        <w:tc>
          <w:tcPr>
            <w:tcW w:w="751" w:type="pct"/>
            <w:noWrap/>
            <w:vAlign w:val="center"/>
          </w:tcPr>
          <w:p w14:paraId="62966D8B">
            <w:pPr>
              <w:pStyle w:val="44"/>
              <w:rPr>
                <w:color w:val="auto"/>
              </w:rPr>
            </w:pPr>
            <w:r>
              <w:rPr>
                <w:color w:val="auto"/>
              </w:rPr>
              <w:t>H9-1-1/04</w:t>
            </w:r>
          </w:p>
        </w:tc>
        <w:tc>
          <w:tcPr>
            <w:tcW w:w="1844" w:type="pct"/>
            <w:noWrap/>
            <w:vAlign w:val="center"/>
          </w:tcPr>
          <w:p w14:paraId="13435D2D">
            <w:pPr>
              <w:pStyle w:val="44"/>
              <w:rPr>
                <w:color w:val="auto"/>
              </w:rPr>
            </w:pPr>
            <w:r>
              <w:rPr>
                <w:color w:val="auto"/>
              </w:rPr>
              <w:t>九州商贸城</w:t>
            </w:r>
          </w:p>
        </w:tc>
        <w:tc>
          <w:tcPr>
            <w:tcW w:w="915" w:type="pct"/>
            <w:noWrap/>
            <w:vAlign w:val="center"/>
          </w:tcPr>
          <w:p w14:paraId="6FDB5DB2">
            <w:pPr>
              <w:pStyle w:val="44"/>
              <w:rPr>
                <w:color w:val="auto"/>
              </w:rPr>
            </w:pPr>
            <w:r>
              <w:rPr>
                <w:color w:val="auto"/>
              </w:rPr>
              <w:t xml:space="preserve">2.66 </w:t>
            </w:r>
          </w:p>
        </w:tc>
        <w:tc>
          <w:tcPr>
            <w:tcW w:w="592" w:type="pct"/>
            <w:noWrap/>
            <w:vAlign w:val="center"/>
          </w:tcPr>
          <w:p w14:paraId="0102A443">
            <w:pPr>
              <w:pStyle w:val="44"/>
              <w:rPr>
                <w:color w:val="auto"/>
              </w:rPr>
            </w:pPr>
            <w:r>
              <w:rPr>
                <w:color w:val="auto"/>
              </w:rPr>
              <w:t>2000年</w:t>
            </w:r>
          </w:p>
        </w:tc>
      </w:tr>
      <w:tr w14:paraId="53D0A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E9703D9">
            <w:pPr>
              <w:pStyle w:val="44"/>
              <w:rPr>
                <w:color w:val="auto"/>
              </w:rPr>
            </w:pPr>
            <w:r>
              <w:rPr>
                <w:color w:val="auto"/>
              </w:rPr>
              <w:t>14</w:t>
            </w:r>
          </w:p>
        </w:tc>
        <w:tc>
          <w:tcPr>
            <w:tcW w:w="530" w:type="pct"/>
            <w:vMerge w:val="continue"/>
            <w:vAlign w:val="center"/>
          </w:tcPr>
          <w:p w14:paraId="10AF22F4">
            <w:pPr>
              <w:pStyle w:val="44"/>
              <w:rPr>
                <w:color w:val="auto"/>
              </w:rPr>
            </w:pPr>
          </w:p>
        </w:tc>
        <w:tc>
          <w:tcPr>
            <w:tcW w:w="751" w:type="pct"/>
            <w:noWrap/>
            <w:vAlign w:val="center"/>
          </w:tcPr>
          <w:p w14:paraId="03F556BD">
            <w:pPr>
              <w:pStyle w:val="44"/>
              <w:rPr>
                <w:color w:val="auto"/>
              </w:rPr>
            </w:pPr>
            <w:r>
              <w:rPr>
                <w:color w:val="auto"/>
              </w:rPr>
              <w:t>H9-1-3/04</w:t>
            </w:r>
          </w:p>
        </w:tc>
        <w:tc>
          <w:tcPr>
            <w:tcW w:w="1844" w:type="pct"/>
            <w:noWrap/>
            <w:vAlign w:val="center"/>
          </w:tcPr>
          <w:p w14:paraId="10F4EE8A">
            <w:pPr>
              <w:pStyle w:val="44"/>
              <w:rPr>
                <w:color w:val="auto"/>
              </w:rPr>
            </w:pPr>
            <w:r>
              <w:rPr>
                <w:color w:val="auto"/>
              </w:rPr>
              <w:t>九州商贸城</w:t>
            </w:r>
          </w:p>
        </w:tc>
        <w:tc>
          <w:tcPr>
            <w:tcW w:w="915" w:type="pct"/>
            <w:noWrap/>
            <w:vAlign w:val="center"/>
          </w:tcPr>
          <w:p w14:paraId="4F720828">
            <w:pPr>
              <w:pStyle w:val="44"/>
              <w:rPr>
                <w:color w:val="auto"/>
              </w:rPr>
            </w:pPr>
            <w:r>
              <w:rPr>
                <w:color w:val="auto"/>
              </w:rPr>
              <w:t xml:space="preserve">2.23 </w:t>
            </w:r>
          </w:p>
        </w:tc>
        <w:tc>
          <w:tcPr>
            <w:tcW w:w="592" w:type="pct"/>
            <w:noWrap/>
            <w:vAlign w:val="center"/>
          </w:tcPr>
          <w:p w14:paraId="1AC34F8F">
            <w:pPr>
              <w:pStyle w:val="44"/>
              <w:rPr>
                <w:color w:val="auto"/>
              </w:rPr>
            </w:pPr>
            <w:r>
              <w:rPr>
                <w:color w:val="auto"/>
              </w:rPr>
              <w:t>2000年</w:t>
            </w:r>
          </w:p>
        </w:tc>
      </w:tr>
      <w:tr w14:paraId="58E53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0E12FE7">
            <w:pPr>
              <w:pStyle w:val="44"/>
              <w:rPr>
                <w:color w:val="auto"/>
              </w:rPr>
            </w:pPr>
            <w:r>
              <w:rPr>
                <w:color w:val="auto"/>
              </w:rPr>
              <w:t>15</w:t>
            </w:r>
          </w:p>
        </w:tc>
        <w:tc>
          <w:tcPr>
            <w:tcW w:w="530" w:type="pct"/>
            <w:vMerge w:val="continue"/>
            <w:vAlign w:val="center"/>
          </w:tcPr>
          <w:p w14:paraId="386115B3">
            <w:pPr>
              <w:pStyle w:val="44"/>
              <w:rPr>
                <w:color w:val="auto"/>
              </w:rPr>
            </w:pPr>
          </w:p>
        </w:tc>
        <w:tc>
          <w:tcPr>
            <w:tcW w:w="751" w:type="pct"/>
            <w:noWrap/>
            <w:vAlign w:val="center"/>
          </w:tcPr>
          <w:p w14:paraId="21824B5F">
            <w:pPr>
              <w:pStyle w:val="44"/>
              <w:rPr>
                <w:color w:val="auto"/>
              </w:rPr>
            </w:pPr>
            <w:r>
              <w:rPr>
                <w:color w:val="auto"/>
              </w:rPr>
              <w:t>H11-1-1/03</w:t>
            </w:r>
          </w:p>
        </w:tc>
        <w:tc>
          <w:tcPr>
            <w:tcW w:w="1844" w:type="pct"/>
            <w:noWrap/>
            <w:vAlign w:val="center"/>
          </w:tcPr>
          <w:p w14:paraId="55B7CBB9">
            <w:pPr>
              <w:pStyle w:val="44"/>
              <w:rPr>
                <w:color w:val="auto"/>
              </w:rPr>
            </w:pPr>
            <w:r>
              <w:rPr>
                <w:color w:val="auto"/>
              </w:rPr>
              <w:t>隆兴通用B区</w:t>
            </w:r>
          </w:p>
        </w:tc>
        <w:tc>
          <w:tcPr>
            <w:tcW w:w="915" w:type="pct"/>
            <w:noWrap/>
            <w:vAlign w:val="center"/>
          </w:tcPr>
          <w:p w14:paraId="7C90DE0E">
            <w:pPr>
              <w:pStyle w:val="44"/>
              <w:rPr>
                <w:color w:val="auto"/>
              </w:rPr>
            </w:pPr>
            <w:r>
              <w:rPr>
                <w:color w:val="auto"/>
              </w:rPr>
              <w:t xml:space="preserve">3.41 </w:t>
            </w:r>
          </w:p>
        </w:tc>
        <w:tc>
          <w:tcPr>
            <w:tcW w:w="592" w:type="pct"/>
            <w:noWrap/>
            <w:vAlign w:val="center"/>
          </w:tcPr>
          <w:p w14:paraId="7DD36418">
            <w:pPr>
              <w:pStyle w:val="44"/>
              <w:rPr>
                <w:color w:val="auto"/>
              </w:rPr>
            </w:pPr>
            <w:r>
              <w:rPr>
                <w:color w:val="auto"/>
              </w:rPr>
              <w:t>2006年</w:t>
            </w:r>
          </w:p>
        </w:tc>
      </w:tr>
      <w:tr w14:paraId="20F97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0E3A5DF">
            <w:pPr>
              <w:pStyle w:val="44"/>
              <w:rPr>
                <w:color w:val="auto"/>
              </w:rPr>
            </w:pPr>
            <w:r>
              <w:rPr>
                <w:color w:val="auto"/>
              </w:rPr>
              <w:t>16</w:t>
            </w:r>
          </w:p>
        </w:tc>
        <w:tc>
          <w:tcPr>
            <w:tcW w:w="530" w:type="pct"/>
            <w:vMerge w:val="continue"/>
            <w:vAlign w:val="center"/>
          </w:tcPr>
          <w:p w14:paraId="61E22325">
            <w:pPr>
              <w:pStyle w:val="44"/>
              <w:rPr>
                <w:color w:val="auto"/>
              </w:rPr>
            </w:pPr>
          </w:p>
        </w:tc>
        <w:tc>
          <w:tcPr>
            <w:tcW w:w="751" w:type="pct"/>
            <w:noWrap/>
            <w:vAlign w:val="center"/>
          </w:tcPr>
          <w:p w14:paraId="3559E05F">
            <w:pPr>
              <w:pStyle w:val="44"/>
              <w:rPr>
                <w:color w:val="auto"/>
              </w:rPr>
            </w:pPr>
            <w:r>
              <w:rPr>
                <w:color w:val="auto"/>
              </w:rPr>
              <w:t>H11-2-1/03</w:t>
            </w:r>
          </w:p>
        </w:tc>
        <w:tc>
          <w:tcPr>
            <w:tcW w:w="1844" w:type="pct"/>
            <w:noWrap/>
            <w:vAlign w:val="center"/>
          </w:tcPr>
          <w:p w14:paraId="7DD9C3A4">
            <w:pPr>
              <w:pStyle w:val="44"/>
              <w:rPr>
                <w:color w:val="auto"/>
              </w:rPr>
            </w:pPr>
            <w:r>
              <w:rPr>
                <w:color w:val="auto"/>
              </w:rPr>
              <w:t>隆兴通用B区</w:t>
            </w:r>
          </w:p>
        </w:tc>
        <w:tc>
          <w:tcPr>
            <w:tcW w:w="915" w:type="pct"/>
            <w:noWrap/>
            <w:vAlign w:val="center"/>
          </w:tcPr>
          <w:p w14:paraId="33BFF443">
            <w:pPr>
              <w:pStyle w:val="44"/>
              <w:rPr>
                <w:color w:val="auto"/>
              </w:rPr>
            </w:pPr>
            <w:r>
              <w:rPr>
                <w:color w:val="auto"/>
              </w:rPr>
              <w:t xml:space="preserve">3.42 </w:t>
            </w:r>
          </w:p>
        </w:tc>
        <w:tc>
          <w:tcPr>
            <w:tcW w:w="592" w:type="pct"/>
            <w:noWrap/>
            <w:vAlign w:val="center"/>
          </w:tcPr>
          <w:p w14:paraId="537650EB">
            <w:pPr>
              <w:pStyle w:val="44"/>
              <w:rPr>
                <w:color w:val="auto"/>
              </w:rPr>
            </w:pPr>
            <w:r>
              <w:rPr>
                <w:color w:val="auto"/>
              </w:rPr>
              <w:t>2006年</w:t>
            </w:r>
          </w:p>
        </w:tc>
      </w:tr>
      <w:tr w14:paraId="6D2E0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712C446">
            <w:pPr>
              <w:pStyle w:val="44"/>
              <w:rPr>
                <w:color w:val="auto"/>
              </w:rPr>
            </w:pPr>
            <w:r>
              <w:rPr>
                <w:color w:val="auto"/>
              </w:rPr>
              <w:t>17</w:t>
            </w:r>
          </w:p>
        </w:tc>
        <w:tc>
          <w:tcPr>
            <w:tcW w:w="530" w:type="pct"/>
            <w:vMerge w:val="continue"/>
            <w:vAlign w:val="center"/>
          </w:tcPr>
          <w:p w14:paraId="589CCDAA">
            <w:pPr>
              <w:pStyle w:val="44"/>
              <w:rPr>
                <w:color w:val="auto"/>
              </w:rPr>
            </w:pPr>
          </w:p>
        </w:tc>
        <w:tc>
          <w:tcPr>
            <w:tcW w:w="751" w:type="pct"/>
            <w:noWrap/>
            <w:vAlign w:val="center"/>
          </w:tcPr>
          <w:p w14:paraId="26873DA1">
            <w:pPr>
              <w:pStyle w:val="44"/>
              <w:rPr>
                <w:color w:val="auto"/>
              </w:rPr>
            </w:pPr>
            <w:r>
              <w:rPr>
                <w:color w:val="auto"/>
              </w:rPr>
              <w:t>H11-3-1/03</w:t>
            </w:r>
          </w:p>
        </w:tc>
        <w:tc>
          <w:tcPr>
            <w:tcW w:w="1844" w:type="pct"/>
            <w:noWrap/>
            <w:vAlign w:val="center"/>
          </w:tcPr>
          <w:p w14:paraId="08BE0C37">
            <w:pPr>
              <w:pStyle w:val="44"/>
              <w:rPr>
                <w:color w:val="auto"/>
              </w:rPr>
            </w:pPr>
            <w:r>
              <w:rPr>
                <w:color w:val="auto"/>
              </w:rPr>
              <w:t>隆兴通用B区</w:t>
            </w:r>
          </w:p>
        </w:tc>
        <w:tc>
          <w:tcPr>
            <w:tcW w:w="915" w:type="pct"/>
            <w:noWrap/>
            <w:vAlign w:val="center"/>
          </w:tcPr>
          <w:p w14:paraId="461AAB6B">
            <w:pPr>
              <w:pStyle w:val="44"/>
              <w:rPr>
                <w:color w:val="auto"/>
              </w:rPr>
            </w:pPr>
            <w:r>
              <w:rPr>
                <w:color w:val="auto"/>
              </w:rPr>
              <w:t xml:space="preserve">2.47 </w:t>
            </w:r>
          </w:p>
        </w:tc>
        <w:tc>
          <w:tcPr>
            <w:tcW w:w="592" w:type="pct"/>
            <w:noWrap/>
            <w:vAlign w:val="center"/>
          </w:tcPr>
          <w:p w14:paraId="16B83559">
            <w:pPr>
              <w:pStyle w:val="44"/>
              <w:rPr>
                <w:color w:val="auto"/>
              </w:rPr>
            </w:pPr>
            <w:r>
              <w:rPr>
                <w:color w:val="auto"/>
              </w:rPr>
              <w:t>2006年</w:t>
            </w:r>
          </w:p>
        </w:tc>
      </w:tr>
      <w:tr w14:paraId="21ECA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62CC160">
            <w:pPr>
              <w:pStyle w:val="44"/>
              <w:rPr>
                <w:color w:val="auto"/>
              </w:rPr>
            </w:pPr>
            <w:r>
              <w:rPr>
                <w:color w:val="auto"/>
              </w:rPr>
              <w:t>18</w:t>
            </w:r>
          </w:p>
        </w:tc>
        <w:tc>
          <w:tcPr>
            <w:tcW w:w="530" w:type="pct"/>
            <w:vMerge w:val="continue"/>
            <w:vAlign w:val="center"/>
          </w:tcPr>
          <w:p w14:paraId="067DD9AC">
            <w:pPr>
              <w:pStyle w:val="44"/>
              <w:rPr>
                <w:color w:val="auto"/>
              </w:rPr>
            </w:pPr>
          </w:p>
        </w:tc>
        <w:tc>
          <w:tcPr>
            <w:tcW w:w="751" w:type="pct"/>
            <w:noWrap/>
            <w:vAlign w:val="center"/>
          </w:tcPr>
          <w:p w14:paraId="089500C5">
            <w:pPr>
              <w:pStyle w:val="44"/>
              <w:rPr>
                <w:color w:val="auto"/>
              </w:rPr>
            </w:pPr>
            <w:r>
              <w:rPr>
                <w:color w:val="auto"/>
              </w:rPr>
              <w:t>H11-4-1/03</w:t>
            </w:r>
          </w:p>
        </w:tc>
        <w:tc>
          <w:tcPr>
            <w:tcW w:w="1844" w:type="pct"/>
            <w:noWrap/>
            <w:vAlign w:val="center"/>
          </w:tcPr>
          <w:p w14:paraId="19EF9E8A">
            <w:pPr>
              <w:pStyle w:val="44"/>
              <w:rPr>
                <w:color w:val="auto"/>
              </w:rPr>
            </w:pPr>
            <w:r>
              <w:rPr>
                <w:color w:val="auto"/>
              </w:rPr>
              <w:t>隆兴通用B区</w:t>
            </w:r>
          </w:p>
        </w:tc>
        <w:tc>
          <w:tcPr>
            <w:tcW w:w="915" w:type="pct"/>
            <w:noWrap/>
            <w:vAlign w:val="center"/>
          </w:tcPr>
          <w:p w14:paraId="2260BF05">
            <w:pPr>
              <w:pStyle w:val="44"/>
              <w:rPr>
                <w:color w:val="auto"/>
              </w:rPr>
            </w:pPr>
            <w:r>
              <w:rPr>
                <w:color w:val="auto"/>
              </w:rPr>
              <w:t xml:space="preserve">4.71 </w:t>
            </w:r>
          </w:p>
        </w:tc>
        <w:tc>
          <w:tcPr>
            <w:tcW w:w="592" w:type="pct"/>
            <w:noWrap/>
            <w:vAlign w:val="center"/>
          </w:tcPr>
          <w:p w14:paraId="1CAC3E7D">
            <w:pPr>
              <w:pStyle w:val="44"/>
              <w:rPr>
                <w:color w:val="auto"/>
              </w:rPr>
            </w:pPr>
            <w:r>
              <w:rPr>
                <w:color w:val="auto"/>
              </w:rPr>
              <w:t>2006年</w:t>
            </w:r>
          </w:p>
        </w:tc>
      </w:tr>
      <w:tr w14:paraId="2A378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E6BF2C4">
            <w:pPr>
              <w:pStyle w:val="44"/>
              <w:rPr>
                <w:color w:val="auto"/>
              </w:rPr>
            </w:pPr>
            <w:r>
              <w:rPr>
                <w:color w:val="auto"/>
              </w:rPr>
              <w:t>19</w:t>
            </w:r>
          </w:p>
        </w:tc>
        <w:tc>
          <w:tcPr>
            <w:tcW w:w="530" w:type="pct"/>
            <w:vMerge w:val="continue"/>
            <w:vAlign w:val="center"/>
          </w:tcPr>
          <w:p w14:paraId="1FAF6FE5">
            <w:pPr>
              <w:pStyle w:val="44"/>
              <w:rPr>
                <w:color w:val="auto"/>
              </w:rPr>
            </w:pPr>
          </w:p>
        </w:tc>
        <w:tc>
          <w:tcPr>
            <w:tcW w:w="751" w:type="pct"/>
            <w:noWrap/>
            <w:vAlign w:val="center"/>
          </w:tcPr>
          <w:p w14:paraId="0A2CB8A8">
            <w:pPr>
              <w:pStyle w:val="44"/>
              <w:rPr>
                <w:color w:val="auto"/>
              </w:rPr>
            </w:pPr>
            <w:r>
              <w:rPr>
                <w:color w:val="auto"/>
              </w:rPr>
              <w:t>H11-5-1/03</w:t>
            </w:r>
          </w:p>
        </w:tc>
        <w:tc>
          <w:tcPr>
            <w:tcW w:w="1844" w:type="pct"/>
            <w:noWrap/>
            <w:vAlign w:val="center"/>
          </w:tcPr>
          <w:p w14:paraId="4D5ECB51">
            <w:pPr>
              <w:pStyle w:val="44"/>
              <w:rPr>
                <w:color w:val="auto"/>
              </w:rPr>
            </w:pPr>
            <w:r>
              <w:rPr>
                <w:color w:val="auto"/>
              </w:rPr>
              <w:t>隆兴通用B区</w:t>
            </w:r>
          </w:p>
        </w:tc>
        <w:tc>
          <w:tcPr>
            <w:tcW w:w="915" w:type="pct"/>
            <w:noWrap/>
            <w:vAlign w:val="center"/>
          </w:tcPr>
          <w:p w14:paraId="1B89635A">
            <w:pPr>
              <w:pStyle w:val="44"/>
              <w:rPr>
                <w:color w:val="auto"/>
              </w:rPr>
            </w:pPr>
            <w:r>
              <w:rPr>
                <w:color w:val="auto"/>
              </w:rPr>
              <w:t xml:space="preserve">5.90 </w:t>
            </w:r>
          </w:p>
        </w:tc>
        <w:tc>
          <w:tcPr>
            <w:tcW w:w="592" w:type="pct"/>
            <w:noWrap/>
            <w:vAlign w:val="center"/>
          </w:tcPr>
          <w:p w14:paraId="62360DD9">
            <w:pPr>
              <w:pStyle w:val="44"/>
              <w:rPr>
                <w:color w:val="auto"/>
              </w:rPr>
            </w:pPr>
            <w:r>
              <w:rPr>
                <w:color w:val="auto"/>
              </w:rPr>
              <w:t>2003年</w:t>
            </w:r>
          </w:p>
        </w:tc>
      </w:tr>
      <w:tr w14:paraId="28A47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F33821F">
            <w:pPr>
              <w:pStyle w:val="44"/>
              <w:rPr>
                <w:color w:val="auto"/>
              </w:rPr>
            </w:pPr>
            <w:r>
              <w:rPr>
                <w:color w:val="auto"/>
              </w:rPr>
              <w:t>20</w:t>
            </w:r>
          </w:p>
        </w:tc>
        <w:tc>
          <w:tcPr>
            <w:tcW w:w="530" w:type="pct"/>
            <w:vMerge w:val="continue"/>
            <w:vAlign w:val="center"/>
          </w:tcPr>
          <w:p w14:paraId="498D74D3">
            <w:pPr>
              <w:pStyle w:val="44"/>
              <w:rPr>
                <w:color w:val="auto"/>
              </w:rPr>
            </w:pPr>
          </w:p>
        </w:tc>
        <w:tc>
          <w:tcPr>
            <w:tcW w:w="751" w:type="pct"/>
            <w:noWrap/>
            <w:vAlign w:val="center"/>
          </w:tcPr>
          <w:p w14:paraId="23BEECA1">
            <w:pPr>
              <w:pStyle w:val="44"/>
              <w:rPr>
                <w:color w:val="auto"/>
              </w:rPr>
            </w:pPr>
            <w:r>
              <w:rPr>
                <w:color w:val="auto"/>
              </w:rPr>
              <w:t>H11-6-1/03</w:t>
            </w:r>
          </w:p>
        </w:tc>
        <w:tc>
          <w:tcPr>
            <w:tcW w:w="1844" w:type="pct"/>
            <w:noWrap/>
            <w:vAlign w:val="center"/>
          </w:tcPr>
          <w:p w14:paraId="6F025901">
            <w:pPr>
              <w:pStyle w:val="44"/>
              <w:rPr>
                <w:color w:val="auto"/>
              </w:rPr>
            </w:pPr>
            <w:r>
              <w:rPr>
                <w:color w:val="auto"/>
              </w:rPr>
              <w:t>重庆镁业科技股份有限公司</w:t>
            </w:r>
          </w:p>
        </w:tc>
        <w:tc>
          <w:tcPr>
            <w:tcW w:w="915" w:type="pct"/>
            <w:noWrap/>
            <w:vAlign w:val="center"/>
          </w:tcPr>
          <w:p w14:paraId="687F845F">
            <w:pPr>
              <w:pStyle w:val="44"/>
              <w:rPr>
                <w:color w:val="auto"/>
              </w:rPr>
            </w:pPr>
            <w:r>
              <w:rPr>
                <w:color w:val="auto"/>
              </w:rPr>
              <w:t xml:space="preserve">3.60 </w:t>
            </w:r>
          </w:p>
        </w:tc>
        <w:tc>
          <w:tcPr>
            <w:tcW w:w="592" w:type="pct"/>
            <w:noWrap/>
            <w:vAlign w:val="center"/>
          </w:tcPr>
          <w:p w14:paraId="69098085">
            <w:pPr>
              <w:pStyle w:val="44"/>
              <w:rPr>
                <w:color w:val="auto"/>
              </w:rPr>
            </w:pPr>
            <w:r>
              <w:rPr>
                <w:color w:val="auto"/>
              </w:rPr>
              <w:t>2006年</w:t>
            </w:r>
          </w:p>
        </w:tc>
      </w:tr>
      <w:tr w14:paraId="0E28C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EA30751">
            <w:pPr>
              <w:pStyle w:val="44"/>
              <w:rPr>
                <w:color w:val="auto"/>
              </w:rPr>
            </w:pPr>
            <w:r>
              <w:rPr>
                <w:color w:val="auto"/>
              </w:rPr>
              <w:t>21</w:t>
            </w:r>
          </w:p>
        </w:tc>
        <w:tc>
          <w:tcPr>
            <w:tcW w:w="530" w:type="pct"/>
            <w:vMerge w:val="continue"/>
            <w:vAlign w:val="center"/>
          </w:tcPr>
          <w:p w14:paraId="7EFC127F">
            <w:pPr>
              <w:pStyle w:val="44"/>
              <w:rPr>
                <w:color w:val="auto"/>
              </w:rPr>
            </w:pPr>
          </w:p>
        </w:tc>
        <w:tc>
          <w:tcPr>
            <w:tcW w:w="751" w:type="pct"/>
            <w:noWrap/>
            <w:vAlign w:val="center"/>
          </w:tcPr>
          <w:p w14:paraId="7B93D8B0">
            <w:pPr>
              <w:pStyle w:val="44"/>
              <w:rPr>
                <w:color w:val="auto"/>
              </w:rPr>
            </w:pPr>
            <w:r>
              <w:rPr>
                <w:color w:val="auto"/>
              </w:rPr>
              <w:t>H11-6-2/03</w:t>
            </w:r>
          </w:p>
        </w:tc>
        <w:tc>
          <w:tcPr>
            <w:tcW w:w="1844" w:type="pct"/>
            <w:noWrap/>
            <w:vAlign w:val="center"/>
          </w:tcPr>
          <w:p w14:paraId="64C5C4BB">
            <w:pPr>
              <w:pStyle w:val="44"/>
              <w:rPr>
                <w:color w:val="auto"/>
              </w:rPr>
            </w:pPr>
            <w:r>
              <w:rPr>
                <w:color w:val="auto"/>
              </w:rPr>
              <w:t>隆兴通用B区</w:t>
            </w:r>
          </w:p>
        </w:tc>
        <w:tc>
          <w:tcPr>
            <w:tcW w:w="915" w:type="pct"/>
            <w:noWrap/>
            <w:vAlign w:val="center"/>
          </w:tcPr>
          <w:p w14:paraId="70BC7F7B">
            <w:pPr>
              <w:pStyle w:val="44"/>
              <w:rPr>
                <w:color w:val="auto"/>
              </w:rPr>
            </w:pPr>
            <w:r>
              <w:rPr>
                <w:color w:val="auto"/>
              </w:rPr>
              <w:t xml:space="preserve">0.53 </w:t>
            </w:r>
          </w:p>
        </w:tc>
        <w:tc>
          <w:tcPr>
            <w:tcW w:w="592" w:type="pct"/>
            <w:noWrap/>
            <w:vAlign w:val="center"/>
          </w:tcPr>
          <w:p w14:paraId="04AEB8A4">
            <w:pPr>
              <w:pStyle w:val="44"/>
              <w:rPr>
                <w:color w:val="auto"/>
              </w:rPr>
            </w:pPr>
            <w:r>
              <w:rPr>
                <w:color w:val="auto"/>
              </w:rPr>
              <w:t>2006年</w:t>
            </w:r>
          </w:p>
        </w:tc>
      </w:tr>
      <w:tr w14:paraId="2737D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63C27F3">
            <w:pPr>
              <w:pStyle w:val="44"/>
              <w:rPr>
                <w:color w:val="auto"/>
              </w:rPr>
            </w:pPr>
            <w:r>
              <w:rPr>
                <w:color w:val="auto"/>
              </w:rPr>
              <w:t>22</w:t>
            </w:r>
          </w:p>
        </w:tc>
        <w:tc>
          <w:tcPr>
            <w:tcW w:w="530" w:type="pct"/>
            <w:vMerge w:val="continue"/>
            <w:vAlign w:val="center"/>
          </w:tcPr>
          <w:p w14:paraId="1E6687CC">
            <w:pPr>
              <w:pStyle w:val="44"/>
              <w:rPr>
                <w:color w:val="auto"/>
              </w:rPr>
            </w:pPr>
          </w:p>
        </w:tc>
        <w:tc>
          <w:tcPr>
            <w:tcW w:w="751" w:type="pct"/>
            <w:noWrap/>
            <w:vAlign w:val="center"/>
          </w:tcPr>
          <w:p w14:paraId="2B75DFF6">
            <w:pPr>
              <w:pStyle w:val="44"/>
              <w:rPr>
                <w:color w:val="auto"/>
              </w:rPr>
            </w:pPr>
            <w:r>
              <w:rPr>
                <w:color w:val="auto"/>
              </w:rPr>
              <w:t>H11-7-1/03</w:t>
            </w:r>
          </w:p>
        </w:tc>
        <w:tc>
          <w:tcPr>
            <w:tcW w:w="1844" w:type="pct"/>
            <w:noWrap/>
            <w:vAlign w:val="center"/>
          </w:tcPr>
          <w:p w14:paraId="1D42E937">
            <w:pPr>
              <w:pStyle w:val="44"/>
              <w:rPr>
                <w:color w:val="auto"/>
              </w:rPr>
            </w:pPr>
            <w:r>
              <w:rPr>
                <w:color w:val="auto"/>
              </w:rPr>
              <w:t>重庆宝汇钢结构工程有限公司</w:t>
            </w:r>
          </w:p>
        </w:tc>
        <w:tc>
          <w:tcPr>
            <w:tcW w:w="915" w:type="pct"/>
            <w:noWrap/>
            <w:vAlign w:val="center"/>
          </w:tcPr>
          <w:p w14:paraId="51F563C0">
            <w:pPr>
              <w:pStyle w:val="44"/>
              <w:rPr>
                <w:color w:val="auto"/>
              </w:rPr>
            </w:pPr>
            <w:r>
              <w:rPr>
                <w:color w:val="auto"/>
              </w:rPr>
              <w:t xml:space="preserve">2.39 </w:t>
            </w:r>
          </w:p>
        </w:tc>
        <w:tc>
          <w:tcPr>
            <w:tcW w:w="592" w:type="pct"/>
            <w:noWrap/>
            <w:vAlign w:val="center"/>
          </w:tcPr>
          <w:p w14:paraId="2DF2E0D5">
            <w:pPr>
              <w:pStyle w:val="44"/>
              <w:rPr>
                <w:color w:val="auto"/>
              </w:rPr>
            </w:pPr>
            <w:r>
              <w:rPr>
                <w:color w:val="auto"/>
              </w:rPr>
              <w:t>2006年</w:t>
            </w:r>
          </w:p>
        </w:tc>
      </w:tr>
      <w:tr w14:paraId="5512A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D4406D8">
            <w:pPr>
              <w:pStyle w:val="44"/>
              <w:rPr>
                <w:color w:val="auto"/>
              </w:rPr>
            </w:pPr>
            <w:r>
              <w:rPr>
                <w:color w:val="auto"/>
              </w:rPr>
              <w:t>23</w:t>
            </w:r>
          </w:p>
        </w:tc>
        <w:tc>
          <w:tcPr>
            <w:tcW w:w="530" w:type="pct"/>
            <w:vMerge w:val="continue"/>
            <w:vAlign w:val="center"/>
          </w:tcPr>
          <w:p w14:paraId="3FE16C16">
            <w:pPr>
              <w:pStyle w:val="44"/>
              <w:rPr>
                <w:color w:val="auto"/>
              </w:rPr>
            </w:pPr>
          </w:p>
        </w:tc>
        <w:tc>
          <w:tcPr>
            <w:tcW w:w="751" w:type="pct"/>
            <w:noWrap/>
            <w:vAlign w:val="center"/>
          </w:tcPr>
          <w:p w14:paraId="6C3EAF90">
            <w:pPr>
              <w:pStyle w:val="44"/>
              <w:rPr>
                <w:color w:val="auto"/>
              </w:rPr>
            </w:pPr>
            <w:r>
              <w:rPr>
                <w:color w:val="auto"/>
              </w:rPr>
              <w:t>H11-8-1/03</w:t>
            </w:r>
          </w:p>
        </w:tc>
        <w:tc>
          <w:tcPr>
            <w:tcW w:w="1844" w:type="pct"/>
            <w:noWrap/>
            <w:vAlign w:val="center"/>
          </w:tcPr>
          <w:p w14:paraId="2BCD24B8">
            <w:pPr>
              <w:pStyle w:val="44"/>
              <w:rPr>
                <w:color w:val="auto"/>
              </w:rPr>
            </w:pPr>
            <w:r>
              <w:rPr>
                <w:color w:val="auto"/>
              </w:rPr>
              <w:t>重庆宝汇钢结构工程有限公司</w:t>
            </w:r>
          </w:p>
        </w:tc>
        <w:tc>
          <w:tcPr>
            <w:tcW w:w="915" w:type="pct"/>
            <w:noWrap/>
            <w:vAlign w:val="center"/>
          </w:tcPr>
          <w:p w14:paraId="056A1355">
            <w:pPr>
              <w:pStyle w:val="44"/>
              <w:rPr>
                <w:color w:val="auto"/>
              </w:rPr>
            </w:pPr>
            <w:r>
              <w:rPr>
                <w:color w:val="auto"/>
              </w:rPr>
              <w:t xml:space="preserve">3.27 </w:t>
            </w:r>
          </w:p>
        </w:tc>
        <w:tc>
          <w:tcPr>
            <w:tcW w:w="592" w:type="pct"/>
            <w:noWrap/>
            <w:vAlign w:val="center"/>
          </w:tcPr>
          <w:p w14:paraId="0C17AB83">
            <w:pPr>
              <w:pStyle w:val="44"/>
              <w:rPr>
                <w:color w:val="auto"/>
              </w:rPr>
            </w:pPr>
            <w:r>
              <w:rPr>
                <w:color w:val="auto"/>
              </w:rPr>
              <w:t>2006年</w:t>
            </w:r>
          </w:p>
        </w:tc>
      </w:tr>
      <w:tr w14:paraId="57CA9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EF7DAE9">
            <w:pPr>
              <w:pStyle w:val="44"/>
              <w:rPr>
                <w:color w:val="auto"/>
              </w:rPr>
            </w:pPr>
            <w:r>
              <w:rPr>
                <w:color w:val="auto"/>
              </w:rPr>
              <w:t>24</w:t>
            </w:r>
          </w:p>
        </w:tc>
        <w:tc>
          <w:tcPr>
            <w:tcW w:w="530" w:type="pct"/>
            <w:vMerge w:val="continue"/>
            <w:vAlign w:val="center"/>
          </w:tcPr>
          <w:p w14:paraId="0C65D8CB">
            <w:pPr>
              <w:pStyle w:val="44"/>
              <w:rPr>
                <w:color w:val="auto"/>
              </w:rPr>
            </w:pPr>
          </w:p>
        </w:tc>
        <w:tc>
          <w:tcPr>
            <w:tcW w:w="751" w:type="pct"/>
            <w:noWrap/>
            <w:vAlign w:val="center"/>
          </w:tcPr>
          <w:p w14:paraId="4CB0E64C">
            <w:pPr>
              <w:pStyle w:val="44"/>
              <w:rPr>
                <w:color w:val="auto"/>
              </w:rPr>
            </w:pPr>
            <w:r>
              <w:rPr>
                <w:color w:val="auto"/>
              </w:rPr>
              <w:t>H11-9-1/03</w:t>
            </w:r>
          </w:p>
        </w:tc>
        <w:tc>
          <w:tcPr>
            <w:tcW w:w="1844" w:type="pct"/>
            <w:noWrap/>
            <w:vAlign w:val="center"/>
          </w:tcPr>
          <w:p w14:paraId="5CAE85DB">
            <w:pPr>
              <w:pStyle w:val="44"/>
              <w:rPr>
                <w:color w:val="auto"/>
              </w:rPr>
            </w:pPr>
            <w:r>
              <w:rPr>
                <w:color w:val="auto"/>
              </w:rPr>
              <w:t>重庆宝汇钢结构工程有限公司</w:t>
            </w:r>
          </w:p>
        </w:tc>
        <w:tc>
          <w:tcPr>
            <w:tcW w:w="915" w:type="pct"/>
            <w:noWrap/>
            <w:vAlign w:val="center"/>
          </w:tcPr>
          <w:p w14:paraId="2BF43520">
            <w:pPr>
              <w:pStyle w:val="44"/>
              <w:rPr>
                <w:color w:val="auto"/>
              </w:rPr>
            </w:pPr>
            <w:r>
              <w:rPr>
                <w:color w:val="auto"/>
              </w:rPr>
              <w:t xml:space="preserve">2.20 </w:t>
            </w:r>
          </w:p>
        </w:tc>
        <w:tc>
          <w:tcPr>
            <w:tcW w:w="592" w:type="pct"/>
            <w:noWrap/>
            <w:vAlign w:val="center"/>
          </w:tcPr>
          <w:p w14:paraId="01A5C782">
            <w:pPr>
              <w:pStyle w:val="44"/>
              <w:rPr>
                <w:color w:val="auto"/>
              </w:rPr>
            </w:pPr>
            <w:r>
              <w:rPr>
                <w:color w:val="auto"/>
              </w:rPr>
              <w:t>2006年</w:t>
            </w:r>
          </w:p>
        </w:tc>
      </w:tr>
      <w:tr w14:paraId="24E6B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ECFAB73">
            <w:pPr>
              <w:pStyle w:val="44"/>
              <w:rPr>
                <w:color w:val="auto"/>
              </w:rPr>
            </w:pPr>
            <w:r>
              <w:rPr>
                <w:color w:val="auto"/>
              </w:rPr>
              <w:t>25</w:t>
            </w:r>
          </w:p>
        </w:tc>
        <w:tc>
          <w:tcPr>
            <w:tcW w:w="530" w:type="pct"/>
            <w:vMerge w:val="continue"/>
            <w:vAlign w:val="center"/>
          </w:tcPr>
          <w:p w14:paraId="007ED662">
            <w:pPr>
              <w:pStyle w:val="44"/>
              <w:rPr>
                <w:color w:val="auto"/>
              </w:rPr>
            </w:pPr>
          </w:p>
        </w:tc>
        <w:tc>
          <w:tcPr>
            <w:tcW w:w="751" w:type="pct"/>
            <w:noWrap/>
            <w:vAlign w:val="center"/>
          </w:tcPr>
          <w:p w14:paraId="67BA5A78">
            <w:pPr>
              <w:pStyle w:val="44"/>
              <w:rPr>
                <w:color w:val="auto"/>
              </w:rPr>
            </w:pPr>
            <w:r>
              <w:rPr>
                <w:color w:val="auto"/>
              </w:rPr>
              <w:t>H4-1-1/03</w:t>
            </w:r>
          </w:p>
        </w:tc>
        <w:tc>
          <w:tcPr>
            <w:tcW w:w="1844" w:type="pct"/>
            <w:noWrap/>
            <w:vAlign w:val="center"/>
          </w:tcPr>
          <w:p w14:paraId="69DFDE92">
            <w:pPr>
              <w:pStyle w:val="44"/>
              <w:rPr>
                <w:color w:val="auto"/>
              </w:rPr>
            </w:pPr>
            <w:r>
              <w:rPr>
                <w:color w:val="auto"/>
              </w:rPr>
              <w:t>半山齐团农转非</w:t>
            </w:r>
          </w:p>
        </w:tc>
        <w:tc>
          <w:tcPr>
            <w:tcW w:w="915" w:type="pct"/>
            <w:noWrap/>
            <w:vAlign w:val="center"/>
          </w:tcPr>
          <w:p w14:paraId="3EA53F1D">
            <w:pPr>
              <w:pStyle w:val="44"/>
              <w:rPr>
                <w:color w:val="auto"/>
              </w:rPr>
            </w:pPr>
            <w:r>
              <w:rPr>
                <w:color w:val="auto"/>
              </w:rPr>
              <w:t xml:space="preserve">1.92 </w:t>
            </w:r>
          </w:p>
        </w:tc>
        <w:tc>
          <w:tcPr>
            <w:tcW w:w="592" w:type="pct"/>
            <w:noWrap/>
            <w:vAlign w:val="center"/>
          </w:tcPr>
          <w:p w14:paraId="0B8F35DD">
            <w:pPr>
              <w:pStyle w:val="44"/>
              <w:rPr>
                <w:color w:val="auto"/>
              </w:rPr>
            </w:pPr>
            <w:r>
              <w:rPr>
                <w:color w:val="auto"/>
              </w:rPr>
              <w:t>2001年</w:t>
            </w:r>
          </w:p>
        </w:tc>
      </w:tr>
      <w:tr w14:paraId="3E85F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AEFB437">
            <w:pPr>
              <w:pStyle w:val="44"/>
              <w:rPr>
                <w:color w:val="auto"/>
              </w:rPr>
            </w:pPr>
            <w:r>
              <w:rPr>
                <w:color w:val="auto"/>
              </w:rPr>
              <w:t>26</w:t>
            </w:r>
          </w:p>
        </w:tc>
        <w:tc>
          <w:tcPr>
            <w:tcW w:w="530" w:type="pct"/>
            <w:vMerge w:val="continue"/>
            <w:vAlign w:val="center"/>
          </w:tcPr>
          <w:p w14:paraId="5D270176">
            <w:pPr>
              <w:pStyle w:val="44"/>
              <w:rPr>
                <w:color w:val="auto"/>
              </w:rPr>
            </w:pPr>
          </w:p>
        </w:tc>
        <w:tc>
          <w:tcPr>
            <w:tcW w:w="751" w:type="pct"/>
            <w:noWrap/>
            <w:vAlign w:val="center"/>
          </w:tcPr>
          <w:p w14:paraId="5FFFA822">
            <w:pPr>
              <w:pStyle w:val="44"/>
              <w:rPr>
                <w:color w:val="auto"/>
              </w:rPr>
            </w:pPr>
            <w:r>
              <w:rPr>
                <w:color w:val="auto"/>
              </w:rPr>
              <w:t>H5-1-1/05</w:t>
            </w:r>
          </w:p>
        </w:tc>
        <w:tc>
          <w:tcPr>
            <w:tcW w:w="1844" w:type="pct"/>
            <w:noWrap/>
            <w:vAlign w:val="center"/>
          </w:tcPr>
          <w:p w14:paraId="2EF31629">
            <w:pPr>
              <w:pStyle w:val="44"/>
              <w:rPr>
                <w:color w:val="auto"/>
              </w:rPr>
            </w:pPr>
            <w:r>
              <w:rPr>
                <w:color w:val="auto"/>
              </w:rPr>
              <w:t>半山齐团农转非</w:t>
            </w:r>
          </w:p>
        </w:tc>
        <w:tc>
          <w:tcPr>
            <w:tcW w:w="915" w:type="pct"/>
            <w:noWrap/>
            <w:vAlign w:val="center"/>
          </w:tcPr>
          <w:p w14:paraId="47B1256C">
            <w:pPr>
              <w:pStyle w:val="44"/>
              <w:rPr>
                <w:color w:val="auto"/>
              </w:rPr>
            </w:pPr>
            <w:r>
              <w:rPr>
                <w:color w:val="auto"/>
              </w:rPr>
              <w:t xml:space="preserve">4.18 </w:t>
            </w:r>
          </w:p>
        </w:tc>
        <w:tc>
          <w:tcPr>
            <w:tcW w:w="592" w:type="pct"/>
            <w:noWrap/>
            <w:vAlign w:val="center"/>
          </w:tcPr>
          <w:p w14:paraId="04904F83">
            <w:pPr>
              <w:pStyle w:val="44"/>
              <w:rPr>
                <w:color w:val="auto"/>
              </w:rPr>
            </w:pPr>
            <w:r>
              <w:rPr>
                <w:color w:val="auto"/>
              </w:rPr>
              <w:t>2001年</w:t>
            </w:r>
          </w:p>
        </w:tc>
      </w:tr>
      <w:tr w14:paraId="0C4EA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6A502FF">
            <w:pPr>
              <w:pStyle w:val="44"/>
              <w:rPr>
                <w:color w:val="auto"/>
              </w:rPr>
            </w:pPr>
            <w:r>
              <w:rPr>
                <w:color w:val="auto"/>
              </w:rPr>
              <w:t>27</w:t>
            </w:r>
          </w:p>
        </w:tc>
        <w:tc>
          <w:tcPr>
            <w:tcW w:w="530" w:type="pct"/>
            <w:vMerge w:val="continue"/>
            <w:vAlign w:val="center"/>
          </w:tcPr>
          <w:p w14:paraId="7DAAA650">
            <w:pPr>
              <w:pStyle w:val="44"/>
              <w:rPr>
                <w:color w:val="auto"/>
              </w:rPr>
            </w:pPr>
          </w:p>
        </w:tc>
        <w:tc>
          <w:tcPr>
            <w:tcW w:w="751" w:type="pct"/>
            <w:noWrap/>
            <w:vAlign w:val="center"/>
          </w:tcPr>
          <w:p w14:paraId="0DCF33C3">
            <w:pPr>
              <w:pStyle w:val="44"/>
              <w:rPr>
                <w:color w:val="auto"/>
              </w:rPr>
            </w:pPr>
            <w:r>
              <w:rPr>
                <w:color w:val="auto"/>
              </w:rPr>
              <w:t>H6-1/03</w:t>
            </w:r>
          </w:p>
        </w:tc>
        <w:tc>
          <w:tcPr>
            <w:tcW w:w="1844" w:type="pct"/>
            <w:noWrap/>
            <w:vAlign w:val="center"/>
          </w:tcPr>
          <w:p w14:paraId="30AFE8B8">
            <w:pPr>
              <w:pStyle w:val="44"/>
              <w:rPr>
                <w:color w:val="auto"/>
              </w:rPr>
            </w:pPr>
            <w:r>
              <w:rPr>
                <w:color w:val="auto"/>
              </w:rPr>
              <w:t>半山齐团农转非</w:t>
            </w:r>
          </w:p>
        </w:tc>
        <w:tc>
          <w:tcPr>
            <w:tcW w:w="915" w:type="pct"/>
            <w:noWrap/>
            <w:vAlign w:val="center"/>
          </w:tcPr>
          <w:p w14:paraId="3CFB3526">
            <w:pPr>
              <w:pStyle w:val="44"/>
              <w:rPr>
                <w:color w:val="auto"/>
              </w:rPr>
            </w:pPr>
            <w:r>
              <w:rPr>
                <w:color w:val="auto"/>
              </w:rPr>
              <w:t xml:space="preserve">2.70 </w:t>
            </w:r>
          </w:p>
        </w:tc>
        <w:tc>
          <w:tcPr>
            <w:tcW w:w="592" w:type="pct"/>
            <w:noWrap/>
            <w:vAlign w:val="center"/>
          </w:tcPr>
          <w:p w14:paraId="49991A84">
            <w:pPr>
              <w:pStyle w:val="44"/>
              <w:rPr>
                <w:color w:val="auto"/>
              </w:rPr>
            </w:pPr>
            <w:r>
              <w:rPr>
                <w:color w:val="auto"/>
              </w:rPr>
              <w:t>2001年</w:t>
            </w:r>
          </w:p>
        </w:tc>
      </w:tr>
      <w:tr w14:paraId="69170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5354F6F">
            <w:pPr>
              <w:pStyle w:val="44"/>
              <w:rPr>
                <w:color w:val="auto"/>
              </w:rPr>
            </w:pPr>
            <w:r>
              <w:rPr>
                <w:color w:val="auto"/>
              </w:rPr>
              <w:t>28</w:t>
            </w:r>
          </w:p>
        </w:tc>
        <w:tc>
          <w:tcPr>
            <w:tcW w:w="530" w:type="pct"/>
            <w:vMerge w:val="continue"/>
            <w:vAlign w:val="center"/>
          </w:tcPr>
          <w:p w14:paraId="4EA0686D">
            <w:pPr>
              <w:pStyle w:val="44"/>
              <w:rPr>
                <w:color w:val="auto"/>
              </w:rPr>
            </w:pPr>
          </w:p>
        </w:tc>
        <w:tc>
          <w:tcPr>
            <w:tcW w:w="751" w:type="pct"/>
            <w:noWrap/>
            <w:vAlign w:val="center"/>
          </w:tcPr>
          <w:p w14:paraId="0761F964">
            <w:pPr>
              <w:pStyle w:val="44"/>
              <w:rPr>
                <w:color w:val="auto"/>
              </w:rPr>
            </w:pPr>
            <w:r>
              <w:rPr>
                <w:color w:val="auto"/>
              </w:rPr>
              <w:t>H5-2/03</w:t>
            </w:r>
          </w:p>
        </w:tc>
        <w:tc>
          <w:tcPr>
            <w:tcW w:w="1844" w:type="pct"/>
            <w:noWrap/>
            <w:vAlign w:val="center"/>
          </w:tcPr>
          <w:p w14:paraId="7CF1AD83">
            <w:pPr>
              <w:pStyle w:val="44"/>
              <w:rPr>
                <w:color w:val="auto"/>
              </w:rPr>
            </w:pPr>
            <w:r>
              <w:rPr>
                <w:color w:val="auto"/>
              </w:rPr>
              <w:t>　加油加气站用地</w:t>
            </w:r>
          </w:p>
        </w:tc>
        <w:tc>
          <w:tcPr>
            <w:tcW w:w="915" w:type="pct"/>
            <w:noWrap/>
            <w:vAlign w:val="center"/>
          </w:tcPr>
          <w:p w14:paraId="27123858">
            <w:pPr>
              <w:pStyle w:val="44"/>
              <w:rPr>
                <w:color w:val="auto"/>
              </w:rPr>
            </w:pPr>
            <w:r>
              <w:rPr>
                <w:color w:val="auto"/>
              </w:rPr>
              <w:t xml:space="preserve">0.20 </w:t>
            </w:r>
          </w:p>
        </w:tc>
        <w:tc>
          <w:tcPr>
            <w:tcW w:w="592" w:type="pct"/>
            <w:noWrap/>
            <w:vAlign w:val="center"/>
          </w:tcPr>
          <w:p w14:paraId="3146503D">
            <w:pPr>
              <w:pStyle w:val="44"/>
              <w:rPr>
                <w:color w:val="auto"/>
              </w:rPr>
            </w:pPr>
            <w:r>
              <w:rPr>
                <w:color w:val="auto"/>
              </w:rPr>
              <w:t>2002年　</w:t>
            </w:r>
          </w:p>
        </w:tc>
      </w:tr>
      <w:tr w14:paraId="6DDCC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FD2FEB0">
            <w:pPr>
              <w:pStyle w:val="44"/>
              <w:rPr>
                <w:color w:val="auto"/>
              </w:rPr>
            </w:pPr>
            <w:r>
              <w:rPr>
                <w:color w:val="auto"/>
              </w:rPr>
              <w:t>合计</w:t>
            </w:r>
          </w:p>
        </w:tc>
        <w:tc>
          <w:tcPr>
            <w:tcW w:w="530" w:type="pct"/>
            <w:vMerge w:val="continue"/>
            <w:vAlign w:val="center"/>
          </w:tcPr>
          <w:p w14:paraId="4944A970">
            <w:pPr>
              <w:pStyle w:val="44"/>
              <w:rPr>
                <w:color w:val="auto"/>
              </w:rPr>
            </w:pPr>
          </w:p>
        </w:tc>
        <w:tc>
          <w:tcPr>
            <w:tcW w:w="751" w:type="pct"/>
            <w:noWrap/>
            <w:vAlign w:val="center"/>
          </w:tcPr>
          <w:p w14:paraId="34C11E98">
            <w:pPr>
              <w:pStyle w:val="44"/>
              <w:rPr>
                <w:color w:val="auto"/>
              </w:rPr>
            </w:pPr>
            <w:r>
              <w:rPr>
                <w:color w:val="auto"/>
              </w:rPr>
              <w:t>　</w:t>
            </w:r>
          </w:p>
        </w:tc>
        <w:tc>
          <w:tcPr>
            <w:tcW w:w="1844" w:type="pct"/>
            <w:noWrap/>
            <w:vAlign w:val="center"/>
          </w:tcPr>
          <w:p w14:paraId="2B6FED77">
            <w:pPr>
              <w:pStyle w:val="44"/>
              <w:rPr>
                <w:color w:val="auto"/>
              </w:rPr>
            </w:pPr>
            <w:r>
              <w:rPr>
                <w:color w:val="auto"/>
              </w:rPr>
              <w:t>　</w:t>
            </w:r>
          </w:p>
        </w:tc>
        <w:tc>
          <w:tcPr>
            <w:tcW w:w="915" w:type="pct"/>
            <w:noWrap/>
            <w:vAlign w:val="center"/>
          </w:tcPr>
          <w:p w14:paraId="30780609">
            <w:pPr>
              <w:pStyle w:val="44"/>
              <w:rPr>
                <w:color w:val="auto"/>
              </w:rPr>
            </w:pPr>
            <w:r>
              <w:rPr>
                <w:color w:val="auto"/>
              </w:rPr>
              <w:t xml:space="preserve">57.35 </w:t>
            </w:r>
          </w:p>
        </w:tc>
        <w:tc>
          <w:tcPr>
            <w:tcW w:w="592" w:type="pct"/>
            <w:noWrap/>
            <w:vAlign w:val="center"/>
          </w:tcPr>
          <w:p w14:paraId="7C973D97">
            <w:pPr>
              <w:pStyle w:val="44"/>
              <w:rPr>
                <w:color w:val="auto"/>
              </w:rPr>
            </w:pPr>
            <w:r>
              <w:rPr>
                <w:color w:val="auto"/>
              </w:rPr>
              <w:t>　</w:t>
            </w:r>
          </w:p>
        </w:tc>
      </w:tr>
      <w:tr w14:paraId="5B558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EC458AD">
            <w:pPr>
              <w:pStyle w:val="44"/>
              <w:rPr>
                <w:color w:val="auto"/>
              </w:rPr>
            </w:pPr>
            <w:r>
              <w:rPr>
                <w:color w:val="auto"/>
              </w:rPr>
              <w:t>1</w:t>
            </w:r>
          </w:p>
        </w:tc>
        <w:tc>
          <w:tcPr>
            <w:tcW w:w="530" w:type="pct"/>
            <w:vMerge w:val="restart"/>
            <w:vAlign w:val="center"/>
          </w:tcPr>
          <w:p w14:paraId="20029015">
            <w:pPr>
              <w:pStyle w:val="44"/>
              <w:rPr>
                <w:color w:val="auto"/>
              </w:rPr>
            </w:pPr>
            <w:r>
              <w:rPr>
                <w:color w:val="auto"/>
              </w:rPr>
              <w:t>中梁山组团J标准分区</w:t>
            </w:r>
          </w:p>
        </w:tc>
        <w:tc>
          <w:tcPr>
            <w:tcW w:w="751" w:type="pct"/>
            <w:noWrap/>
            <w:vAlign w:val="center"/>
          </w:tcPr>
          <w:p w14:paraId="6A973378">
            <w:pPr>
              <w:pStyle w:val="44"/>
              <w:rPr>
                <w:color w:val="auto"/>
              </w:rPr>
            </w:pPr>
            <w:r>
              <w:rPr>
                <w:color w:val="auto"/>
              </w:rPr>
              <w:t>J04-01/03</w:t>
            </w:r>
          </w:p>
        </w:tc>
        <w:tc>
          <w:tcPr>
            <w:tcW w:w="1844" w:type="pct"/>
            <w:noWrap/>
            <w:vAlign w:val="center"/>
          </w:tcPr>
          <w:p w14:paraId="03BCF57B">
            <w:pPr>
              <w:pStyle w:val="44"/>
              <w:rPr>
                <w:color w:val="auto"/>
              </w:rPr>
            </w:pPr>
            <w:r>
              <w:rPr>
                <w:color w:val="auto"/>
              </w:rPr>
              <w:t>盾安九龙城</w:t>
            </w:r>
          </w:p>
        </w:tc>
        <w:tc>
          <w:tcPr>
            <w:tcW w:w="915" w:type="pct"/>
            <w:noWrap/>
            <w:vAlign w:val="center"/>
          </w:tcPr>
          <w:p w14:paraId="15B9D14D">
            <w:pPr>
              <w:pStyle w:val="44"/>
              <w:rPr>
                <w:color w:val="auto"/>
              </w:rPr>
            </w:pPr>
            <w:r>
              <w:rPr>
                <w:color w:val="auto"/>
              </w:rPr>
              <w:t xml:space="preserve">6.10 </w:t>
            </w:r>
          </w:p>
        </w:tc>
        <w:tc>
          <w:tcPr>
            <w:tcW w:w="592" w:type="pct"/>
            <w:noWrap/>
            <w:vAlign w:val="center"/>
          </w:tcPr>
          <w:p w14:paraId="3F64EE7C">
            <w:pPr>
              <w:pStyle w:val="44"/>
              <w:rPr>
                <w:color w:val="auto"/>
              </w:rPr>
            </w:pPr>
            <w:r>
              <w:rPr>
                <w:color w:val="auto"/>
              </w:rPr>
              <w:t>2003年</w:t>
            </w:r>
          </w:p>
        </w:tc>
      </w:tr>
      <w:tr w14:paraId="5E79E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03AAD7D">
            <w:pPr>
              <w:pStyle w:val="44"/>
              <w:rPr>
                <w:color w:val="auto"/>
              </w:rPr>
            </w:pPr>
            <w:r>
              <w:rPr>
                <w:color w:val="auto"/>
              </w:rPr>
              <w:t>2</w:t>
            </w:r>
          </w:p>
        </w:tc>
        <w:tc>
          <w:tcPr>
            <w:tcW w:w="530" w:type="pct"/>
            <w:vMerge w:val="continue"/>
            <w:vAlign w:val="center"/>
          </w:tcPr>
          <w:p w14:paraId="7CCBACE2">
            <w:pPr>
              <w:pStyle w:val="44"/>
              <w:rPr>
                <w:color w:val="auto"/>
              </w:rPr>
            </w:pPr>
          </w:p>
        </w:tc>
        <w:tc>
          <w:tcPr>
            <w:tcW w:w="751" w:type="pct"/>
            <w:noWrap/>
            <w:vAlign w:val="center"/>
          </w:tcPr>
          <w:p w14:paraId="023BA385">
            <w:pPr>
              <w:pStyle w:val="44"/>
              <w:rPr>
                <w:color w:val="auto"/>
              </w:rPr>
            </w:pPr>
            <w:r>
              <w:rPr>
                <w:color w:val="auto"/>
              </w:rPr>
              <w:t>J04-04/03</w:t>
            </w:r>
          </w:p>
        </w:tc>
        <w:tc>
          <w:tcPr>
            <w:tcW w:w="1844" w:type="pct"/>
            <w:noWrap/>
            <w:vAlign w:val="center"/>
          </w:tcPr>
          <w:p w14:paraId="7059496A">
            <w:pPr>
              <w:pStyle w:val="44"/>
              <w:rPr>
                <w:color w:val="auto"/>
              </w:rPr>
            </w:pPr>
            <w:r>
              <w:rPr>
                <w:color w:val="auto"/>
              </w:rPr>
              <w:t>中梁山街道廉租房一期</w:t>
            </w:r>
          </w:p>
        </w:tc>
        <w:tc>
          <w:tcPr>
            <w:tcW w:w="915" w:type="pct"/>
            <w:noWrap/>
            <w:vAlign w:val="center"/>
          </w:tcPr>
          <w:p w14:paraId="70A09E50">
            <w:pPr>
              <w:pStyle w:val="44"/>
              <w:rPr>
                <w:color w:val="auto"/>
              </w:rPr>
            </w:pPr>
            <w:r>
              <w:rPr>
                <w:color w:val="auto"/>
              </w:rPr>
              <w:t xml:space="preserve">0.91 </w:t>
            </w:r>
          </w:p>
        </w:tc>
        <w:tc>
          <w:tcPr>
            <w:tcW w:w="592" w:type="pct"/>
            <w:noWrap/>
            <w:vAlign w:val="center"/>
          </w:tcPr>
          <w:p w14:paraId="5D343F60">
            <w:pPr>
              <w:pStyle w:val="44"/>
              <w:rPr>
                <w:color w:val="auto"/>
              </w:rPr>
            </w:pPr>
            <w:r>
              <w:rPr>
                <w:color w:val="auto"/>
              </w:rPr>
              <w:t>2002年</w:t>
            </w:r>
          </w:p>
        </w:tc>
      </w:tr>
      <w:tr w14:paraId="5C1A2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82F22AF">
            <w:pPr>
              <w:pStyle w:val="44"/>
              <w:rPr>
                <w:color w:val="auto"/>
              </w:rPr>
            </w:pPr>
            <w:r>
              <w:rPr>
                <w:color w:val="auto"/>
              </w:rPr>
              <w:t>3</w:t>
            </w:r>
          </w:p>
        </w:tc>
        <w:tc>
          <w:tcPr>
            <w:tcW w:w="530" w:type="pct"/>
            <w:vMerge w:val="continue"/>
            <w:vAlign w:val="center"/>
          </w:tcPr>
          <w:p w14:paraId="5484CA96">
            <w:pPr>
              <w:pStyle w:val="44"/>
              <w:rPr>
                <w:color w:val="auto"/>
              </w:rPr>
            </w:pPr>
          </w:p>
        </w:tc>
        <w:tc>
          <w:tcPr>
            <w:tcW w:w="751" w:type="pct"/>
            <w:noWrap/>
            <w:vAlign w:val="center"/>
          </w:tcPr>
          <w:p w14:paraId="31673E03">
            <w:pPr>
              <w:pStyle w:val="44"/>
              <w:rPr>
                <w:color w:val="auto"/>
              </w:rPr>
            </w:pPr>
            <w:r>
              <w:rPr>
                <w:color w:val="auto"/>
              </w:rPr>
              <w:t>J04-06-1/03</w:t>
            </w:r>
          </w:p>
        </w:tc>
        <w:tc>
          <w:tcPr>
            <w:tcW w:w="1844" w:type="pct"/>
            <w:noWrap/>
            <w:vAlign w:val="center"/>
          </w:tcPr>
          <w:p w14:paraId="5B11CADA">
            <w:pPr>
              <w:pStyle w:val="44"/>
              <w:rPr>
                <w:color w:val="auto"/>
              </w:rPr>
            </w:pPr>
            <w:r>
              <w:rPr>
                <w:color w:val="auto"/>
              </w:rPr>
              <w:t>盾安九龙城C区</w:t>
            </w:r>
          </w:p>
        </w:tc>
        <w:tc>
          <w:tcPr>
            <w:tcW w:w="915" w:type="pct"/>
            <w:noWrap/>
            <w:vAlign w:val="center"/>
          </w:tcPr>
          <w:p w14:paraId="7CADD76B">
            <w:pPr>
              <w:pStyle w:val="44"/>
              <w:rPr>
                <w:color w:val="auto"/>
              </w:rPr>
            </w:pPr>
            <w:r>
              <w:rPr>
                <w:color w:val="auto"/>
              </w:rPr>
              <w:t xml:space="preserve">1.03 </w:t>
            </w:r>
          </w:p>
        </w:tc>
        <w:tc>
          <w:tcPr>
            <w:tcW w:w="592" w:type="pct"/>
            <w:noWrap/>
            <w:vAlign w:val="center"/>
          </w:tcPr>
          <w:p w14:paraId="2C531713">
            <w:pPr>
              <w:pStyle w:val="44"/>
              <w:rPr>
                <w:color w:val="auto"/>
              </w:rPr>
            </w:pPr>
            <w:r>
              <w:rPr>
                <w:color w:val="auto"/>
              </w:rPr>
              <w:t>2003年</w:t>
            </w:r>
          </w:p>
        </w:tc>
      </w:tr>
      <w:tr w14:paraId="70504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254FC37">
            <w:pPr>
              <w:pStyle w:val="44"/>
              <w:rPr>
                <w:color w:val="auto"/>
              </w:rPr>
            </w:pPr>
            <w:r>
              <w:rPr>
                <w:color w:val="auto"/>
              </w:rPr>
              <w:t>4</w:t>
            </w:r>
          </w:p>
        </w:tc>
        <w:tc>
          <w:tcPr>
            <w:tcW w:w="530" w:type="pct"/>
            <w:vMerge w:val="continue"/>
            <w:vAlign w:val="center"/>
          </w:tcPr>
          <w:p w14:paraId="5A37677A">
            <w:pPr>
              <w:pStyle w:val="44"/>
              <w:rPr>
                <w:color w:val="auto"/>
              </w:rPr>
            </w:pPr>
          </w:p>
        </w:tc>
        <w:tc>
          <w:tcPr>
            <w:tcW w:w="751" w:type="pct"/>
            <w:noWrap/>
            <w:vAlign w:val="center"/>
          </w:tcPr>
          <w:p w14:paraId="2602F874">
            <w:pPr>
              <w:pStyle w:val="44"/>
              <w:rPr>
                <w:color w:val="auto"/>
              </w:rPr>
            </w:pPr>
            <w:r>
              <w:rPr>
                <w:color w:val="auto"/>
              </w:rPr>
              <w:t>J04-06-2/03</w:t>
            </w:r>
          </w:p>
        </w:tc>
        <w:tc>
          <w:tcPr>
            <w:tcW w:w="1844" w:type="pct"/>
            <w:noWrap/>
            <w:vAlign w:val="center"/>
          </w:tcPr>
          <w:p w14:paraId="5CFBCCA1">
            <w:pPr>
              <w:pStyle w:val="44"/>
              <w:rPr>
                <w:color w:val="auto"/>
              </w:rPr>
            </w:pPr>
            <w:r>
              <w:rPr>
                <w:color w:val="auto"/>
              </w:rPr>
              <w:t>中梁山街道廉租房一期</w:t>
            </w:r>
          </w:p>
        </w:tc>
        <w:tc>
          <w:tcPr>
            <w:tcW w:w="915" w:type="pct"/>
            <w:noWrap/>
            <w:vAlign w:val="center"/>
          </w:tcPr>
          <w:p w14:paraId="7E74AC1D">
            <w:pPr>
              <w:pStyle w:val="44"/>
              <w:rPr>
                <w:color w:val="auto"/>
              </w:rPr>
            </w:pPr>
            <w:r>
              <w:rPr>
                <w:color w:val="auto"/>
              </w:rPr>
              <w:t xml:space="preserve">0.61 </w:t>
            </w:r>
          </w:p>
        </w:tc>
        <w:tc>
          <w:tcPr>
            <w:tcW w:w="592" w:type="pct"/>
            <w:noWrap/>
            <w:vAlign w:val="center"/>
          </w:tcPr>
          <w:p w14:paraId="15B89477">
            <w:pPr>
              <w:pStyle w:val="44"/>
              <w:rPr>
                <w:color w:val="auto"/>
              </w:rPr>
            </w:pPr>
            <w:r>
              <w:rPr>
                <w:color w:val="auto"/>
              </w:rPr>
              <w:t>2002年</w:t>
            </w:r>
          </w:p>
        </w:tc>
      </w:tr>
      <w:tr w14:paraId="6AE10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D288C77">
            <w:pPr>
              <w:pStyle w:val="44"/>
              <w:rPr>
                <w:color w:val="auto"/>
              </w:rPr>
            </w:pPr>
            <w:r>
              <w:rPr>
                <w:color w:val="auto"/>
              </w:rPr>
              <w:t>5</w:t>
            </w:r>
          </w:p>
        </w:tc>
        <w:tc>
          <w:tcPr>
            <w:tcW w:w="530" w:type="pct"/>
            <w:vMerge w:val="continue"/>
            <w:vAlign w:val="center"/>
          </w:tcPr>
          <w:p w14:paraId="2F05E551">
            <w:pPr>
              <w:pStyle w:val="44"/>
              <w:rPr>
                <w:color w:val="auto"/>
              </w:rPr>
            </w:pPr>
          </w:p>
        </w:tc>
        <w:tc>
          <w:tcPr>
            <w:tcW w:w="751" w:type="pct"/>
            <w:noWrap/>
            <w:vAlign w:val="center"/>
          </w:tcPr>
          <w:p w14:paraId="01CB2129">
            <w:pPr>
              <w:pStyle w:val="44"/>
              <w:rPr>
                <w:color w:val="auto"/>
              </w:rPr>
            </w:pPr>
            <w:r>
              <w:rPr>
                <w:color w:val="auto"/>
              </w:rPr>
              <w:t>J05-01/04</w:t>
            </w:r>
          </w:p>
        </w:tc>
        <w:tc>
          <w:tcPr>
            <w:tcW w:w="1844" w:type="pct"/>
            <w:noWrap/>
            <w:vAlign w:val="center"/>
          </w:tcPr>
          <w:p w14:paraId="5ED8FE74">
            <w:pPr>
              <w:pStyle w:val="44"/>
              <w:rPr>
                <w:color w:val="auto"/>
              </w:rPr>
            </w:pPr>
            <w:r>
              <w:rPr>
                <w:color w:val="auto"/>
              </w:rPr>
              <w:t>劲旅.丽景花园</w:t>
            </w:r>
          </w:p>
        </w:tc>
        <w:tc>
          <w:tcPr>
            <w:tcW w:w="915" w:type="pct"/>
            <w:noWrap/>
            <w:vAlign w:val="center"/>
          </w:tcPr>
          <w:p w14:paraId="2F3E7758">
            <w:pPr>
              <w:pStyle w:val="44"/>
              <w:rPr>
                <w:color w:val="auto"/>
              </w:rPr>
            </w:pPr>
            <w:r>
              <w:rPr>
                <w:color w:val="auto"/>
              </w:rPr>
              <w:t xml:space="preserve">2.50 </w:t>
            </w:r>
          </w:p>
        </w:tc>
        <w:tc>
          <w:tcPr>
            <w:tcW w:w="592" w:type="pct"/>
            <w:noWrap/>
            <w:vAlign w:val="center"/>
          </w:tcPr>
          <w:p w14:paraId="5A535419">
            <w:pPr>
              <w:pStyle w:val="44"/>
              <w:rPr>
                <w:color w:val="auto"/>
              </w:rPr>
            </w:pPr>
            <w:r>
              <w:rPr>
                <w:color w:val="auto"/>
              </w:rPr>
              <w:t>2004年</w:t>
            </w:r>
          </w:p>
        </w:tc>
      </w:tr>
      <w:tr w14:paraId="7DB3D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03152BC">
            <w:pPr>
              <w:pStyle w:val="44"/>
              <w:rPr>
                <w:color w:val="auto"/>
              </w:rPr>
            </w:pPr>
            <w:r>
              <w:rPr>
                <w:color w:val="auto"/>
              </w:rPr>
              <w:t>6</w:t>
            </w:r>
          </w:p>
        </w:tc>
        <w:tc>
          <w:tcPr>
            <w:tcW w:w="530" w:type="pct"/>
            <w:vMerge w:val="continue"/>
            <w:vAlign w:val="center"/>
          </w:tcPr>
          <w:p w14:paraId="4BEA3F58">
            <w:pPr>
              <w:pStyle w:val="44"/>
              <w:rPr>
                <w:color w:val="auto"/>
              </w:rPr>
            </w:pPr>
          </w:p>
        </w:tc>
        <w:tc>
          <w:tcPr>
            <w:tcW w:w="751" w:type="pct"/>
            <w:noWrap/>
            <w:vAlign w:val="center"/>
          </w:tcPr>
          <w:p w14:paraId="663D6A06">
            <w:pPr>
              <w:pStyle w:val="44"/>
              <w:rPr>
                <w:color w:val="auto"/>
              </w:rPr>
            </w:pPr>
            <w:r>
              <w:rPr>
                <w:color w:val="auto"/>
              </w:rPr>
              <w:t>J05-22/03</w:t>
            </w:r>
          </w:p>
        </w:tc>
        <w:tc>
          <w:tcPr>
            <w:tcW w:w="1844" w:type="pct"/>
            <w:noWrap/>
            <w:vAlign w:val="center"/>
          </w:tcPr>
          <w:p w14:paraId="4BCEA21E">
            <w:pPr>
              <w:pStyle w:val="44"/>
              <w:rPr>
                <w:color w:val="auto"/>
              </w:rPr>
            </w:pPr>
            <w:r>
              <w:rPr>
                <w:color w:val="auto"/>
              </w:rPr>
              <w:t>仁和西里小区</w:t>
            </w:r>
          </w:p>
        </w:tc>
        <w:tc>
          <w:tcPr>
            <w:tcW w:w="915" w:type="pct"/>
            <w:noWrap/>
            <w:vAlign w:val="center"/>
          </w:tcPr>
          <w:p w14:paraId="20386F55">
            <w:pPr>
              <w:pStyle w:val="44"/>
              <w:rPr>
                <w:color w:val="auto"/>
              </w:rPr>
            </w:pPr>
            <w:r>
              <w:rPr>
                <w:color w:val="auto"/>
              </w:rPr>
              <w:t xml:space="preserve">1.17 </w:t>
            </w:r>
          </w:p>
        </w:tc>
        <w:tc>
          <w:tcPr>
            <w:tcW w:w="592" w:type="pct"/>
            <w:noWrap/>
            <w:vAlign w:val="center"/>
          </w:tcPr>
          <w:p w14:paraId="5C08BA80">
            <w:pPr>
              <w:pStyle w:val="44"/>
              <w:rPr>
                <w:color w:val="auto"/>
              </w:rPr>
            </w:pPr>
            <w:r>
              <w:rPr>
                <w:color w:val="auto"/>
              </w:rPr>
              <w:t>2019年</w:t>
            </w:r>
          </w:p>
        </w:tc>
      </w:tr>
      <w:tr w14:paraId="66131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6BCA2C3">
            <w:pPr>
              <w:pStyle w:val="44"/>
              <w:rPr>
                <w:color w:val="auto"/>
              </w:rPr>
            </w:pPr>
            <w:r>
              <w:rPr>
                <w:color w:val="auto"/>
              </w:rPr>
              <w:t>7</w:t>
            </w:r>
          </w:p>
        </w:tc>
        <w:tc>
          <w:tcPr>
            <w:tcW w:w="530" w:type="pct"/>
            <w:vMerge w:val="continue"/>
            <w:vAlign w:val="center"/>
          </w:tcPr>
          <w:p w14:paraId="6BBCC684">
            <w:pPr>
              <w:pStyle w:val="44"/>
              <w:rPr>
                <w:color w:val="auto"/>
              </w:rPr>
            </w:pPr>
          </w:p>
        </w:tc>
        <w:tc>
          <w:tcPr>
            <w:tcW w:w="751" w:type="pct"/>
            <w:noWrap/>
            <w:vAlign w:val="center"/>
          </w:tcPr>
          <w:p w14:paraId="6B18D0D7">
            <w:pPr>
              <w:pStyle w:val="44"/>
              <w:rPr>
                <w:color w:val="auto"/>
              </w:rPr>
            </w:pPr>
            <w:r>
              <w:rPr>
                <w:color w:val="auto"/>
              </w:rPr>
              <w:t>J06-11/06</w:t>
            </w:r>
          </w:p>
        </w:tc>
        <w:tc>
          <w:tcPr>
            <w:tcW w:w="1844" w:type="pct"/>
            <w:noWrap/>
            <w:vAlign w:val="center"/>
          </w:tcPr>
          <w:p w14:paraId="3606619F">
            <w:pPr>
              <w:pStyle w:val="44"/>
              <w:rPr>
                <w:color w:val="auto"/>
              </w:rPr>
            </w:pPr>
            <w:r>
              <w:rPr>
                <w:color w:val="auto"/>
              </w:rPr>
              <w:t>华福雅苑</w:t>
            </w:r>
          </w:p>
        </w:tc>
        <w:tc>
          <w:tcPr>
            <w:tcW w:w="915" w:type="pct"/>
            <w:noWrap/>
            <w:vAlign w:val="center"/>
          </w:tcPr>
          <w:p w14:paraId="275CA691">
            <w:pPr>
              <w:pStyle w:val="44"/>
              <w:rPr>
                <w:color w:val="auto"/>
              </w:rPr>
            </w:pPr>
            <w:r>
              <w:rPr>
                <w:color w:val="auto"/>
              </w:rPr>
              <w:t xml:space="preserve">0.65 </w:t>
            </w:r>
          </w:p>
        </w:tc>
        <w:tc>
          <w:tcPr>
            <w:tcW w:w="592" w:type="pct"/>
            <w:noWrap/>
            <w:vAlign w:val="center"/>
          </w:tcPr>
          <w:p w14:paraId="206406E1">
            <w:pPr>
              <w:pStyle w:val="44"/>
              <w:rPr>
                <w:color w:val="auto"/>
              </w:rPr>
            </w:pPr>
            <w:r>
              <w:rPr>
                <w:color w:val="auto"/>
              </w:rPr>
              <w:t>2004年</w:t>
            </w:r>
          </w:p>
        </w:tc>
      </w:tr>
      <w:tr w14:paraId="1905F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0A6FEBC">
            <w:pPr>
              <w:pStyle w:val="44"/>
              <w:rPr>
                <w:color w:val="auto"/>
              </w:rPr>
            </w:pPr>
            <w:r>
              <w:rPr>
                <w:color w:val="auto"/>
              </w:rPr>
              <w:t>8</w:t>
            </w:r>
          </w:p>
        </w:tc>
        <w:tc>
          <w:tcPr>
            <w:tcW w:w="530" w:type="pct"/>
            <w:vMerge w:val="continue"/>
            <w:vAlign w:val="center"/>
          </w:tcPr>
          <w:p w14:paraId="3A6059FA">
            <w:pPr>
              <w:pStyle w:val="44"/>
              <w:rPr>
                <w:color w:val="auto"/>
              </w:rPr>
            </w:pPr>
          </w:p>
        </w:tc>
        <w:tc>
          <w:tcPr>
            <w:tcW w:w="751" w:type="pct"/>
            <w:noWrap/>
            <w:vAlign w:val="center"/>
          </w:tcPr>
          <w:p w14:paraId="0C7DB1BE">
            <w:pPr>
              <w:pStyle w:val="44"/>
              <w:rPr>
                <w:color w:val="auto"/>
              </w:rPr>
            </w:pPr>
            <w:r>
              <w:rPr>
                <w:color w:val="auto"/>
              </w:rPr>
              <w:t>J06-23/03</w:t>
            </w:r>
          </w:p>
        </w:tc>
        <w:tc>
          <w:tcPr>
            <w:tcW w:w="1844" w:type="pct"/>
            <w:noWrap/>
            <w:vAlign w:val="center"/>
          </w:tcPr>
          <w:p w14:paraId="10E17E85">
            <w:pPr>
              <w:pStyle w:val="44"/>
              <w:rPr>
                <w:color w:val="auto"/>
              </w:rPr>
            </w:pPr>
            <w:r>
              <w:rPr>
                <w:color w:val="auto"/>
              </w:rPr>
              <w:t>华福雅苑</w:t>
            </w:r>
          </w:p>
        </w:tc>
        <w:tc>
          <w:tcPr>
            <w:tcW w:w="915" w:type="pct"/>
            <w:noWrap/>
            <w:vAlign w:val="center"/>
          </w:tcPr>
          <w:p w14:paraId="6DFCB993">
            <w:pPr>
              <w:pStyle w:val="44"/>
              <w:rPr>
                <w:color w:val="auto"/>
              </w:rPr>
            </w:pPr>
            <w:r>
              <w:rPr>
                <w:color w:val="auto"/>
              </w:rPr>
              <w:t xml:space="preserve">3.09 </w:t>
            </w:r>
          </w:p>
        </w:tc>
        <w:tc>
          <w:tcPr>
            <w:tcW w:w="592" w:type="pct"/>
            <w:noWrap/>
            <w:vAlign w:val="center"/>
          </w:tcPr>
          <w:p w14:paraId="7395086F">
            <w:pPr>
              <w:pStyle w:val="44"/>
              <w:rPr>
                <w:color w:val="auto"/>
              </w:rPr>
            </w:pPr>
            <w:r>
              <w:rPr>
                <w:color w:val="auto"/>
              </w:rPr>
              <w:t>2004年</w:t>
            </w:r>
          </w:p>
        </w:tc>
      </w:tr>
      <w:tr w14:paraId="263AD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23BB83E">
            <w:pPr>
              <w:pStyle w:val="44"/>
              <w:rPr>
                <w:color w:val="auto"/>
              </w:rPr>
            </w:pPr>
            <w:r>
              <w:rPr>
                <w:color w:val="auto"/>
              </w:rPr>
              <w:t>9</w:t>
            </w:r>
          </w:p>
        </w:tc>
        <w:tc>
          <w:tcPr>
            <w:tcW w:w="530" w:type="pct"/>
            <w:vMerge w:val="continue"/>
            <w:vAlign w:val="center"/>
          </w:tcPr>
          <w:p w14:paraId="146DEFA7">
            <w:pPr>
              <w:pStyle w:val="44"/>
              <w:rPr>
                <w:color w:val="auto"/>
              </w:rPr>
            </w:pPr>
          </w:p>
        </w:tc>
        <w:tc>
          <w:tcPr>
            <w:tcW w:w="751" w:type="pct"/>
            <w:noWrap/>
            <w:vAlign w:val="center"/>
          </w:tcPr>
          <w:p w14:paraId="2395DFB7">
            <w:pPr>
              <w:pStyle w:val="44"/>
              <w:rPr>
                <w:color w:val="auto"/>
              </w:rPr>
            </w:pPr>
            <w:r>
              <w:rPr>
                <w:color w:val="auto"/>
              </w:rPr>
              <w:t>J06-24/05</w:t>
            </w:r>
          </w:p>
        </w:tc>
        <w:tc>
          <w:tcPr>
            <w:tcW w:w="1844" w:type="pct"/>
            <w:noWrap/>
            <w:vAlign w:val="center"/>
          </w:tcPr>
          <w:p w14:paraId="1EEC4B27">
            <w:pPr>
              <w:pStyle w:val="44"/>
              <w:rPr>
                <w:color w:val="auto"/>
              </w:rPr>
            </w:pPr>
            <w:r>
              <w:rPr>
                <w:color w:val="auto"/>
              </w:rPr>
              <w:t>华福雅苑</w:t>
            </w:r>
          </w:p>
        </w:tc>
        <w:tc>
          <w:tcPr>
            <w:tcW w:w="915" w:type="pct"/>
            <w:noWrap/>
            <w:vAlign w:val="center"/>
          </w:tcPr>
          <w:p w14:paraId="314E4C49">
            <w:pPr>
              <w:pStyle w:val="44"/>
              <w:rPr>
                <w:color w:val="auto"/>
              </w:rPr>
            </w:pPr>
            <w:r>
              <w:rPr>
                <w:color w:val="auto"/>
              </w:rPr>
              <w:t xml:space="preserve">1.90 </w:t>
            </w:r>
          </w:p>
        </w:tc>
        <w:tc>
          <w:tcPr>
            <w:tcW w:w="592" w:type="pct"/>
            <w:noWrap/>
            <w:vAlign w:val="center"/>
          </w:tcPr>
          <w:p w14:paraId="368907FA">
            <w:pPr>
              <w:pStyle w:val="44"/>
              <w:rPr>
                <w:color w:val="auto"/>
              </w:rPr>
            </w:pPr>
            <w:r>
              <w:rPr>
                <w:color w:val="auto"/>
              </w:rPr>
              <w:t>2004年</w:t>
            </w:r>
          </w:p>
        </w:tc>
      </w:tr>
      <w:tr w14:paraId="15820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79B5A36">
            <w:pPr>
              <w:pStyle w:val="44"/>
              <w:rPr>
                <w:color w:val="auto"/>
              </w:rPr>
            </w:pPr>
            <w:r>
              <w:rPr>
                <w:color w:val="auto"/>
              </w:rPr>
              <w:t>10</w:t>
            </w:r>
          </w:p>
        </w:tc>
        <w:tc>
          <w:tcPr>
            <w:tcW w:w="530" w:type="pct"/>
            <w:vMerge w:val="continue"/>
            <w:vAlign w:val="center"/>
          </w:tcPr>
          <w:p w14:paraId="36DF74A9">
            <w:pPr>
              <w:pStyle w:val="44"/>
              <w:rPr>
                <w:color w:val="auto"/>
              </w:rPr>
            </w:pPr>
          </w:p>
        </w:tc>
        <w:tc>
          <w:tcPr>
            <w:tcW w:w="751" w:type="pct"/>
            <w:noWrap/>
            <w:vAlign w:val="center"/>
          </w:tcPr>
          <w:p w14:paraId="343A35C4">
            <w:pPr>
              <w:pStyle w:val="44"/>
              <w:rPr>
                <w:color w:val="auto"/>
              </w:rPr>
            </w:pPr>
            <w:r>
              <w:rPr>
                <w:color w:val="auto"/>
              </w:rPr>
              <w:t>J08-02/03</w:t>
            </w:r>
          </w:p>
        </w:tc>
        <w:tc>
          <w:tcPr>
            <w:tcW w:w="1844" w:type="pct"/>
            <w:noWrap/>
            <w:vAlign w:val="center"/>
          </w:tcPr>
          <w:p w14:paraId="74F1E5CF">
            <w:pPr>
              <w:pStyle w:val="44"/>
              <w:rPr>
                <w:color w:val="auto"/>
              </w:rPr>
            </w:pPr>
            <w:r>
              <w:rPr>
                <w:color w:val="auto"/>
              </w:rPr>
              <w:t>协联.恒景天苑（华岩安置房项目）</w:t>
            </w:r>
          </w:p>
        </w:tc>
        <w:tc>
          <w:tcPr>
            <w:tcW w:w="915" w:type="pct"/>
            <w:noWrap/>
            <w:vAlign w:val="center"/>
          </w:tcPr>
          <w:p w14:paraId="0FA97C96">
            <w:pPr>
              <w:pStyle w:val="44"/>
              <w:rPr>
                <w:color w:val="auto"/>
              </w:rPr>
            </w:pPr>
            <w:r>
              <w:rPr>
                <w:color w:val="auto"/>
              </w:rPr>
              <w:t xml:space="preserve">3.55 </w:t>
            </w:r>
          </w:p>
        </w:tc>
        <w:tc>
          <w:tcPr>
            <w:tcW w:w="592" w:type="pct"/>
            <w:noWrap/>
            <w:vAlign w:val="center"/>
          </w:tcPr>
          <w:p w14:paraId="02969A9E">
            <w:pPr>
              <w:pStyle w:val="44"/>
              <w:rPr>
                <w:color w:val="auto"/>
              </w:rPr>
            </w:pPr>
            <w:r>
              <w:rPr>
                <w:color w:val="auto"/>
              </w:rPr>
              <w:t>2011年</w:t>
            </w:r>
          </w:p>
        </w:tc>
      </w:tr>
      <w:tr w14:paraId="23009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18EAB8A">
            <w:pPr>
              <w:pStyle w:val="44"/>
              <w:rPr>
                <w:color w:val="auto"/>
              </w:rPr>
            </w:pPr>
            <w:r>
              <w:rPr>
                <w:color w:val="auto"/>
              </w:rPr>
              <w:t>11</w:t>
            </w:r>
          </w:p>
        </w:tc>
        <w:tc>
          <w:tcPr>
            <w:tcW w:w="530" w:type="pct"/>
            <w:vMerge w:val="continue"/>
            <w:vAlign w:val="center"/>
          </w:tcPr>
          <w:p w14:paraId="32849752">
            <w:pPr>
              <w:pStyle w:val="44"/>
              <w:rPr>
                <w:color w:val="auto"/>
              </w:rPr>
            </w:pPr>
          </w:p>
        </w:tc>
        <w:tc>
          <w:tcPr>
            <w:tcW w:w="751" w:type="pct"/>
            <w:noWrap/>
            <w:vAlign w:val="center"/>
          </w:tcPr>
          <w:p w14:paraId="15992610">
            <w:pPr>
              <w:pStyle w:val="44"/>
              <w:rPr>
                <w:color w:val="auto"/>
              </w:rPr>
            </w:pPr>
            <w:r>
              <w:rPr>
                <w:color w:val="auto"/>
              </w:rPr>
              <w:t>J08-12/03</w:t>
            </w:r>
          </w:p>
        </w:tc>
        <w:tc>
          <w:tcPr>
            <w:tcW w:w="1844" w:type="pct"/>
            <w:noWrap/>
            <w:vAlign w:val="center"/>
          </w:tcPr>
          <w:p w14:paraId="5395E156">
            <w:pPr>
              <w:pStyle w:val="44"/>
              <w:rPr>
                <w:color w:val="auto"/>
              </w:rPr>
            </w:pPr>
            <w:r>
              <w:rPr>
                <w:color w:val="auto"/>
              </w:rPr>
              <w:t>协联.恒景天苑（华岩安置房项目）</w:t>
            </w:r>
          </w:p>
        </w:tc>
        <w:tc>
          <w:tcPr>
            <w:tcW w:w="915" w:type="pct"/>
            <w:noWrap/>
            <w:vAlign w:val="center"/>
          </w:tcPr>
          <w:p w14:paraId="1947A8BC">
            <w:pPr>
              <w:pStyle w:val="44"/>
              <w:rPr>
                <w:color w:val="auto"/>
              </w:rPr>
            </w:pPr>
            <w:r>
              <w:rPr>
                <w:color w:val="auto"/>
              </w:rPr>
              <w:t xml:space="preserve">0.93 </w:t>
            </w:r>
          </w:p>
        </w:tc>
        <w:tc>
          <w:tcPr>
            <w:tcW w:w="592" w:type="pct"/>
            <w:noWrap/>
            <w:vAlign w:val="center"/>
          </w:tcPr>
          <w:p w14:paraId="459EE51C">
            <w:pPr>
              <w:pStyle w:val="44"/>
              <w:rPr>
                <w:color w:val="auto"/>
              </w:rPr>
            </w:pPr>
            <w:r>
              <w:rPr>
                <w:color w:val="auto"/>
              </w:rPr>
              <w:t>2011年</w:t>
            </w:r>
          </w:p>
        </w:tc>
      </w:tr>
      <w:tr w14:paraId="1AA8D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5B38046">
            <w:pPr>
              <w:pStyle w:val="44"/>
              <w:rPr>
                <w:color w:val="auto"/>
              </w:rPr>
            </w:pPr>
            <w:r>
              <w:rPr>
                <w:color w:val="auto"/>
              </w:rPr>
              <w:t>12</w:t>
            </w:r>
          </w:p>
        </w:tc>
        <w:tc>
          <w:tcPr>
            <w:tcW w:w="530" w:type="pct"/>
            <w:vMerge w:val="continue"/>
            <w:vAlign w:val="center"/>
          </w:tcPr>
          <w:p w14:paraId="581C8B03">
            <w:pPr>
              <w:pStyle w:val="44"/>
              <w:rPr>
                <w:color w:val="auto"/>
              </w:rPr>
            </w:pPr>
          </w:p>
        </w:tc>
        <w:tc>
          <w:tcPr>
            <w:tcW w:w="751" w:type="pct"/>
            <w:noWrap/>
            <w:vAlign w:val="center"/>
          </w:tcPr>
          <w:p w14:paraId="275A7F39">
            <w:pPr>
              <w:pStyle w:val="44"/>
              <w:rPr>
                <w:color w:val="auto"/>
              </w:rPr>
            </w:pPr>
            <w:r>
              <w:rPr>
                <w:color w:val="auto"/>
              </w:rPr>
              <w:t>J09-03/03</w:t>
            </w:r>
          </w:p>
        </w:tc>
        <w:tc>
          <w:tcPr>
            <w:tcW w:w="1844" w:type="pct"/>
            <w:noWrap/>
            <w:vAlign w:val="center"/>
          </w:tcPr>
          <w:p w14:paraId="21683AD8">
            <w:pPr>
              <w:pStyle w:val="44"/>
              <w:rPr>
                <w:color w:val="auto"/>
              </w:rPr>
            </w:pPr>
            <w:r>
              <w:rPr>
                <w:color w:val="auto"/>
              </w:rPr>
              <w:t>七彩华府</w:t>
            </w:r>
          </w:p>
        </w:tc>
        <w:tc>
          <w:tcPr>
            <w:tcW w:w="915" w:type="pct"/>
            <w:noWrap/>
            <w:vAlign w:val="center"/>
          </w:tcPr>
          <w:p w14:paraId="3E8EAAFF">
            <w:pPr>
              <w:pStyle w:val="44"/>
              <w:rPr>
                <w:color w:val="auto"/>
              </w:rPr>
            </w:pPr>
            <w:r>
              <w:rPr>
                <w:color w:val="auto"/>
              </w:rPr>
              <w:t xml:space="preserve">0.81 </w:t>
            </w:r>
          </w:p>
        </w:tc>
        <w:tc>
          <w:tcPr>
            <w:tcW w:w="592" w:type="pct"/>
            <w:noWrap/>
            <w:vAlign w:val="center"/>
          </w:tcPr>
          <w:p w14:paraId="1FAE8B65">
            <w:pPr>
              <w:pStyle w:val="44"/>
              <w:rPr>
                <w:color w:val="auto"/>
              </w:rPr>
            </w:pPr>
            <w:r>
              <w:rPr>
                <w:color w:val="auto"/>
              </w:rPr>
              <w:t>2000年</w:t>
            </w:r>
          </w:p>
        </w:tc>
      </w:tr>
      <w:tr w14:paraId="4AB93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90F39D7">
            <w:pPr>
              <w:pStyle w:val="44"/>
              <w:rPr>
                <w:color w:val="auto"/>
              </w:rPr>
            </w:pPr>
            <w:r>
              <w:rPr>
                <w:color w:val="auto"/>
              </w:rPr>
              <w:t>13</w:t>
            </w:r>
          </w:p>
        </w:tc>
        <w:tc>
          <w:tcPr>
            <w:tcW w:w="530" w:type="pct"/>
            <w:vMerge w:val="continue"/>
            <w:vAlign w:val="center"/>
          </w:tcPr>
          <w:p w14:paraId="386441DC">
            <w:pPr>
              <w:pStyle w:val="44"/>
              <w:rPr>
                <w:color w:val="auto"/>
              </w:rPr>
            </w:pPr>
          </w:p>
        </w:tc>
        <w:tc>
          <w:tcPr>
            <w:tcW w:w="751" w:type="pct"/>
            <w:noWrap/>
            <w:vAlign w:val="center"/>
          </w:tcPr>
          <w:p w14:paraId="67924C0B">
            <w:pPr>
              <w:pStyle w:val="44"/>
              <w:rPr>
                <w:color w:val="auto"/>
              </w:rPr>
            </w:pPr>
            <w:r>
              <w:rPr>
                <w:color w:val="auto"/>
              </w:rPr>
              <w:t>J09-06/03</w:t>
            </w:r>
          </w:p>
        </w:tc>
        <w:tc>
          <w:tcPr>
            <w:tcW w:w="1844" w:type="pct"/>
            <w:noWrap/>
            <w:vAlign w:val="center"/>
          </w:tcPr>
          <w:p w14:paraId="31F8E925">
            <w:pPr>
              <w:pStyle w:val="44"/>
              <w:rPr>
                <w:color w:val="auto"/>
              </w:rPr>
            </w:pPr>
            <w:r>
              <w:rPr>
                <w:color w:val="auto"/>
              </w:rPr>
              <w:t>金科阳光小区</w:t>
            </w:r>
          </w:p>
        </w:tc>
        <w:tc>
          <w:tcPr>
            <w:tcW w:w="915" w:type="pct"/>
            <w:noWrap/>
            <w:vAlign w:val="center"/>
          </w:tcPr>
          <w:p w14:paraId="678A743F">
            <w:pPr>
              <w:pStyle w:val="44"/>
              <w:rPr>
                <w:color w:val="auto"/>
              </w:rPr>
            </w:pPr>
            <w:r>
              <w:rPr>
                <w:color w:val="auto"/>
              </w:rPr>
              <w:t xml:space="preserve">0.46 </w:t>
            </w:r>
          </w:p>
        </w:tc>
        <w:tc>
          <w:tcPr>
            <w:tcW w:w="592" w:type="pct"/>
            <w:noWrap/>
            <w:vAlign w:val="center"/>
          </w:tcPr>
          <w:p w14:paraId="66375BE5">
            <w:pPr>
              <w:pStyle w:val="44"/>
              <w:rPr>
                <w:color w:val="auto"/>
              </w:rPr>
            </w:pPr>
            <w:r>
              <w:rPr>
                <w:color w:val="auto"/>
              </w:rPr>
              <w:t>2001年</w:t>
            </w:r>
          </w:p>
        </w:tc>
      </w:tr>
      <w:tr w14:paraId="23980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D8A082C">
            <w:pPr>
              <w:pStyle w:val="44"/>
              <w:rPr>
                <w:color w:val="auto"/>
              </w:rPr>
            </w:pPr>
            <w:r>
              <w:rPr>
                <w:color w:val="auto"/>
              </w:rPr>
              <w:t>14</w:t>
            </w:r>
          </w:p>
        </w:tc>
        <w:tc>
          <w:tcPr>
            <w:tcW w:w="530" w:type="pct"/>
            <w:vMerge w:val="continue"/>
            <w:vAlign w:val="center"/>
          </w:tcPr>
          <w:p w14:paraId="57D8345A">
            <w:pPr>
              <w:pStyle w:val="44"/>
              <w:rPr>
                <w:color w:val="auto"/>
              </w:rPr>
            </w:pPr>
          </w:p>
        </w:tc>
        <w:tc>
          <w:tcPr>
            <w:tcW w:w="751" w:type="pct"/>
            <w:noWrap/>
            <w:vAlign w:val="center"/>
          </w:tcPr>
          <w:p w14:paraId="52F11945">
            <w:pPr>
              <w:pStyle w:val="44"/>
              <w:rPr>
                <w:color w:val="auto"/>
              </w:rPr>
            </w:pPr>
            <w:r>
              <w:rPr>
                <w:color w:val="auto"/>
              </w:rPr>
              <w:t>J02-21-1/03</w:t>
            </w:r>
          </w:p>
        </w:tc>
        <w:tc>
          <w:tcPr>
            <w:tcW w:w="1844" w:type="pct"/>
            <w:noWrap/>
            <w:vAlign w:val="center"/>
          </w:tcPr>
          <w:p w14:paraId="4A1B5D0B">
            <w:pPr>
              <w:pStyle w:val="44"/>
              <w:rPr>
                <w:color w:val="auto"/>
              </w:rPr>
            </w:pPr>
            <w:r>
              <w:rPr>
                <w:color w:val="auto"/>
              </w:rPr>
              <w:t>百悦钢材</w:t>
            </w:r>
          </w:p>
        </w:tc>
        <w:tc>
          <w:tcPr>
            <w:tcW w:w="915" w:type="pct"/>
            <w:noWrap/>
            <w:vAlign w:val="center"/>
          </w:tcPr>
          <w:p w14:paraId="179EBA6E">
            <w:pPr>
              <w:pStyle w:val="44"/>
              <w:rPr>
                <w:color w:val="auto"/>
              </w:rPr>
            </w:pPr>
            <w:r>
              <w:rPr>
                <w:color w:val="auto"/>
              </w:rPr>
              <w:t xml:space="preserve">1.80 </w:t>
            </w:r>
          </w:p>
        </w:tc>
        <w:tc>
          <w:tcPr>
            <w:tcW w:w="592" w:type="pct"/>
            <w:noWrap/>
            <w:vAlign w:val="center"/>
          </w:tcPr>
          <w:p w14:paraId="764B089E">
            <w:pPr>
              <w:pStyle w:val="44"/>
              <w:rPr>
                <w:color w:val="auto"/>
              </w:rPr>
            </w:pPr>
            <w:r>
              <w:rPr>
                <w:color w:val="auto"/>
              </w:rPr>
              <w:t>2005年</w:t>
            </w:r>
          </w:p>
        </w:tc>
      </w:tr>
      <w:tr w14:paraId="6A0C1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A140718">
            <w:pPr>
              <w:pStyle w:val="44"/>
              <w:rPr>
                <w:color w:val="auto"/>
              </w:rPr>
            </w:pPr>
            <w:r>
              <w:rPr>
                <w:color w:val="auto"/>
              </w:rPr>
              <w:t>15</w:t>
            </w:r>
          </w:p>
        </w:tc>
        <w:tc>
          <w:tcPr>
            <w:tcW w:w="530" w:type="pct"/>
            <w:vMerge w:val="continue"/>
            <w:vAlign w:val="center"/>
          </w:tcPr>
          <w:p w14:paraId="24840CB2">
            <w:pPr>
              <w:pStyle w:val="44"/>
              <w:rPr>
                <w:color w:val="auto"/>
              </w:rPr>
            </w:pPr>
          </w:p>
        </w:tc>
        <w:tc>
          <w:tcPr>
            <w:tcW w:w="751" w:type="pct"/>
            <w:noWrap/>
            <w:vAlign w:val="center"/>
          </w:tcPr>
          <w:p w14:paraId="79305F2B">
            <w:pPr>
              <w:pStyle w:val="44"/>
              <w:rPr>
                <w:color w:val="auto"/>
              </w:rPr>
            </w:pPr>
            <w:r>
              <w:rPr>
                <w:color w:val="auto"/>
              </w:rPr>
              <w:t>J02-13-1/03</w:t>
            </w:r>
          </w:p>
        </w:tc>
        <w:tc>
          <w:tcPr>
            <w:tcW w:w="1844" w:type="pct"/>
            <w:noWrap/>
            <w:vAlign w:val="center"/>
          </w:tcPr>
          <w:p w14:paraId="78A781C1">
            <w:pPr>
              <w:pStyle w:val="44"/>
              <w:rPr>
                <w:color w:val="auto"/>
              </w:rPr>
            </w:pPr>
            <w:r>
              <w:rPr>
                <w:color w:val="auto"/>
              </w:rPr>
              <w:t>环松工业</w:t>
            </w:r>
          </w:p>
        </w:tc>
        <w:tc>
          <w:tcPr>
            <w:tcW w:w="915" w:type="pct"/>
            <w:noWrap/>
            <w:vAlign w:val="center"/>
          </w:tcPr>
          <w:p w14:paraId="545B9842">
            <w:pPr>
              <w:pStyle w:val="44"/>
              <w:rPr>
                <w:color w:val="auto"/>
              </w:rPr>
            </w:pPr>
            <w:r>
              <w:rPr>
                <w:color w:val="auto"/>
              </w:rPr>
              <w:t xml:space="preserve">2.20 </w:t>
            </w:r>
          </w:p>
        </w:tc>
        <w:tc>
          <w:tcPr>
            <w:tcW w:w="592" w:type="pct"/>
            <w:noWrap/>
            <w:vAlign w:val="center"/>
          </w:tcPr>
          <w:p w14:paraId="6C3267F6">
            <w:pPr>
              <w:pStyle w:val="44"/>
              <w:rPr>
                <w:color w:val="auto"/>
              </w:rPr>
            </w:pPr>
            <w:r>
              <w:rPr>
                <w:color w:val="auto"/>
              </w:rPr>
              <w:t>2003年</w:t>
            </w:r>
          </w:p>
        </w:tc>
      </w:tr>
      <w:tr w14:paraId="0B3FB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3F59848">
            <w:pPr>
              <w:pStyle w:val="44"/>
              <w:rPr>
                <w:color w:val="auto"/>
              </w:rPr>
            </w:pPr>
            <w:r>
              <w:rPr>
                <w:color w:val="auto"/>
              </w:rPr>
              <w:t>16</w:t>
            </w:r>
          </w:p>
        </w:tc>
        <w:tc>
          <w:tcPr>
            <w:tcW w:w="530" w:type="pct"/>
            <w:vMerge w:val="continue"/>
            <w:vAlign w:val="center"/>
          </w:tcPr>
          <w:p w14:paraId="56D29D76">
            <w:pPr>
              <w:pStyle w:val="44"/>
              <w:rPr>
                <w:color w:val="auto"/>
              </w:rPr>
            </w:pPr>
          </w:p>
        </w:tc>
        <w:tc>
          <w:tcPr>
            <w:tcW w:w="751" w:type="pct"/>
            <w:noWrap/>
            <w:vAlign w:val="center"/>
          </w:tcPr>
          <w:p w14:paraId="2EA85C8D">
            <w:pPr>
              <w:pStyle w:val="44"/>
              <w:rPr>
                <w:color w:val="auto"/>
              </w:rPr>
            </w:pPr>
            <w:r>
              <w:rPr>
                <w:color w:val="auto"/>
              </w:rPr>
              <w:t>J02-13-2/03</w:t>
            </w:r>
          </w:p>
        </w:tc>
        <w:tc>
          <w:tcPr>
            <w:tcW w:w="1844" w:type="pct"/>
            <w:noWrap/>
            <w:vAlign w:val="center"/>
          </w:tcPr>
          <w:p w14:paraId="6277EC49">
            <w:pPr>
              <w:pStyle w:val="44"/>
              <w:rPr>
                <w:color w:val="auto"/>
              </w:rPr>
            </w:pPr>
            <w:r>
              <w:rPr>
                <w:color w:val="auto"/>
              </w:rPr>
              <w:t>重客隆配送中心</w:t>
            </w:r>
          </w:p>
        </w:tc>
        <w:tc>
          <w:tcPr>
            <w:tcW w:w="915" w:type="pct"/>
            <w:noWrap/>
            <w:vAlign w:val="center"/>
          </w:tcPr>
          <w:p w14:paraId="0E0060E4">
            <w:pPr>
              <w:pStyle w:val="44"/>
              <w:rPr>
                <w:color w:val="auto"/>
              </w:rPr>
            </w:pPr>
            <w:r>
              <w:rPr>
                <w:color w:val="auto"/>
              </w:rPr>
              <w:t xml:space="preserve">0.70 </w:t>
            </w:r>
          </w:p>
        </w:tc>
        <w:tc>
          <w:tcPr>
            <w:tcW w:w="592" w:type="pct"/>
            <w:noWrap/>
            <w:vAlign w:val="center"/>
          </w:tcPr>
          <w:p w14:paraId="1BF7DFD8">
            <w:pPr>
              <w:pStyle w:val="44"/>
              <w:rPr>
                <w:color w:val="auto"/>
              </w:rPr>
            </w:pPr>
            <w:r>
              <w:rPr>
                <w:color w:val="auto"/>
              </w:rPr>
              <w:t>2003年</w:t>
            </w:r>
          </w:p>
        </w:tc>
      </w:tr>
      <w:tr w14:paraId="6B9D5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199C35B">
            <w:pPr>
              <w:pStyle w:val="44"/>
              <w:rPr>
                <w:color w:val="auto"/>
              </w:rPr>
            </w:pPr>
            <w:r>
              <w:rPr>
                <w:color w:val="auto"/>
              </w:rPr>
              <w:t>17</w:t>
            </w:r>
          </w:p>
        </w:tc>
        <w:tc>
          <w:tcPr>
            <w:tcW w:w="530" w:type="pct"/>
            <w:vMerge w:val="continue"/>
            <w:vAlign w:val="center"/>
          </w:tcPr>
          <w:p w14:paraId="6D79D7A0">
            <w:pPr>
              <w:pStyle w:val="44"/>
              <w:rPr>
                <w:color w:val="auto"/>
              </w:rPr>
            </w:pPr>
          </w:p>
        </w:tc>
        <w:tc>
          <w:tcPr>
            <w:tcW w:w="751" w:type="pct"/>
            <w:vMerge w:val="restart"/>
            <w:noWrap/>
            <w:vAlign w:val="center"/>
          </w:tcPr>
          <w:p w14:paraId="6649934D">
            <w:pPr>
              <w:pStyle w:val="44"/>
              <w:rPr>
                <w:color w:val="auto"/>
              </w:rPr>
            </w:pPr>
            <w:r>
              <w:rPr>
                <w:color w:val="auto"/>
              </w:rPr>
              <w:t>J02-15/03</w:t>
            </w:r>
          </w:p>
        </w:tc>
        <w:tc>
          <w:tcPr>
            <w:tcW w:w="1844" w:type="pct"/>
            <w:noWrap/>
            <w:vAlign w:val="center"/>
          </w:tcPr>
          <w:p w14:paraId="15490217">
            <w:pPr>
              <w:pStyle w:val="44"/>
              <w:rPr>
                <w:color w:val="auto"/>
              </w:rPr>
            </w:pPr>
            <w:r>
              <w:rPr>
                <w:color w:val="auto"/>
              </w:rPr>
              <w:t>环松工业</w:t>
            </w:r>
          </w:p>
        </w:tc>
        <w:tc>
          <w:tcPr>
            <w:tcW w:w="915" w:type="pct"/>
            <w:vMerge w:val="restart"/>
            <w:noWrap/>
            <w:vAlign w:val="center"/>
          </w:tcPr>
          <w:p w14:paraId="238519E5">
            <w:pPr>
              <w:pStyle w:val="44"/>
              <w:rPr>
                <w:color w:val="auto"/>
              </w:rPr>
            </w:pPr>
            <w:r>
              <w:rPr>
                <w:color w:val="auto"/>
              </w:rPr>
              <w:t xml:space="preserve">5.55 </w:t>
            </w:r>
          </w:p>
        </w:tc>
        <w:tc>
          <w:tcPr>
            <w:tcW w:w="592" w:type="pct"/>
            <w:noWrap/>
            <w:vAlign w:val="center"/>
          </w:tcPr>
          <w:p w14:paraId="1752E1AE">
            <w:pPr>
              <w:pStyle w:val="44"/>
              <w:rPr>
                <w:color w:val="auto"/>
              </w:rPr>
            </w:pPr>
            <w:r>
              <w:rPr>
                <w:color w:val="auto"/>
              </w:rPr>
              <w:t>2004年</w:t>
            </w:r>
          </w:p>
        </w:tc>
      </w:tr>
      <w:tr w14:paraId="4AE8D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110AD0D">
            <w:pPr>
              <w:pStyle w:val="44"/>
              <w:rPr>
                <w:color w:val="auto"/>
              </w:rPr>
            </w:pPr>
            <w:r>
              <w:rPr>
                <w:color w:val="auto"/>
              </w:rPr>
              <w:t>18</w:t>
            </w:r>
          </w:p>
        </w:tc>
        <w:tc>
          <w:tcPr>
            <w:tcW w:w="530" w:type="pct"/>
            <w:vMerge w:val="continue"/>
            <w:vAlign w:val="center"/>
          </w:tcPr>
          <w:p w14:paraId="310C39C1">
            <w:pPr>
              <w:pStyle w:val="44"/>
              <w:rPr>
                <w:color w:val="auto"/>
              </w:rPr>
            </w:pPr>
          </w:p>
        </w:tc>
        <w:tc>
          <w:tcPr>
            <w:tcW w:w="751" w:type="pct"/>
            <w:vMerge w:val="continue"/>
            <w:vAlign w:val="center"/>
          </w:tcPr>
          <w:p w14:paraId="4995ECD2">
            <w:pPr>
              <w:pStyle w:val="44"/>
              <w:rPr>
                <w:color w:val="auto"/>
              </w:rPr>
            </w:pPr>
          </w:p>
        </w:tc>
        <w:tc>
          <w:tcPr>
            <w:tcW w:w="1844" w:type="pct"/>
            <w:noWrap/>
            <w:vAlign w:val="center"/>
          </w:tcPr>
          <w:p w14:paraId="11D5F649">
            <w:pPr>
              <w:pStyle w:val="44"/>
              <w:rPr>
                <w:color w:val="auto"/>
              </w:rPr>
            </w:pPr>
            <w:r>
              <w:rPr>
                <w:color w:val="auto"/>
              </w:rPr>
              <w:t>亿汇缘众创空间</w:t>
            </w:r>
          </w:p>
        </w:tc>
        <w:tc>
          <w:tcPr>
            <w:tcW w:w="915" w:type="pct"/>
            <w:vMerge w:val="continue"/>
            <w:vAlign w:val="center"/>
          </w:tcPr>
          <w:p w14:paraId="449438DE">
            <w:pPr>
              <w:pStyle w:val="44"/>
              <w:rPr>
                <w:color w:val="auto"/>
              </w:rPr>
            </w:pPr>
          </w:p>
        </w:tc>
        <w:tc>
          <w:tcPr>
            <w:tcW w:w="592" w:type="pct"/>
            <w:noWrap/>
            <w:vAlign w:val="center"/>
          </w:tcPr>
          <w:p w14:paraId="1E4F7CF0">
            <w:pPr>
              <w:pStyle w:val="44"/>
              <w:rPr>
                <w:color w:val="auto"/>
              </w:rPr>
            </w:pPr>
            <w:r>
              <w:rPr>
                <w:color w:val="auto"/>
              </w:rPr>
              <w:t>2004年</w:t>
            </w:r>
          </w:p>
        </w:tc>
      </w:tr>
      <w:tr w14:paraId="2EC4A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BB4D2D5">
            <w:pPr>
              <w:pStyle w:val="44"/>
              <w:rPr>
                <w:color w:val="auto"/>
              </w:rPr>
            </w:pPr>
            <w:r>
              <w:rPr>
                <w:color w:val="auto"/>
              </w:rPr>
              <w:t>19</w:t>
            </w:r>
          </w:p>
        </w:tc>
        <w:tc>
          <w:tcPr>
            <w:tcW w:w="530" w:type="pct"/>
            <w:vMerge w:val="continue"/>
            <w:vAlign w:val="center"/>
          </w:tcPr>
          <w:p w14:paraId="30B2BED9">
            <w:pPr>
              <w:pStyle w:val="44"/>
              <w:rPr>
                <w:color w:val="auto"/>
              </w:rPr>
            </w:pPr>
          </w:p>
        </w:tc>
        <w:tc>
          <w:tcPr>
            <w:tcW w:w="751" w:type="pct"/>
            <w:noWrap/>
            <w:vAlign w:val="center"/>
          </w:tcPr>
          <w:p w14:paraId="2175BFF2">
            <w:pPr>
              <w:pStyle w:val="44"/>
              <w:rPr>
                <w:color w:val="auto"/>
              </w:rPr>
            </w:pPr>
            <w:r>
              <w:rPr>
                <w:color w:val="auto"/>
              </w:rPr>
              <w:t>J03-01/02</w:t>
            </w:r>
          </w:p>
        </w:tc>
        <w:tc>
          <w:tcPr>
            <w:tcW w:w="1844" w:type="pct"/>
            <w:noWrap/>
            <w:vAlign w:val="center"/>
          </w:tcPr>
          <w:p w14:paraId="2FC36E0F">
            <w:pPr>
              <w:pStyle w:val="44"/>
              <w:rPr>
                <w:color w:val="auto"/>
              </w:rPr>
            </w:pPr>
            <w:r>
              <w:rPr>
                <w:color w:val="auto"/>
              </w:rPr>
              <w:t>重庆福特汽车销售服务有限责任公司</w:t>
            </w:r>
          </w:p>
        </w:tc>
        <w:tc>
          <w:tcPr>
            <w:tcW w:w="915" w:type="pct"/>
            <w:noWrap/>
            <w:vAlign w:val="center"/>
          </w:tcPr>
          <w:p w14:paraId="74037F74">
            <w:pPr>
              <w:pStyle w:val="44"/>
              <w:rPr>
                <w:color w:val="auto"/>
              </w:rPr>
            </w:pPr>
            <w:r>
              <w:rPr>
                <w:color w:val="auto"/>
              </w:rPr>
              <w:t xml:space="preserve">0.51 </w:t>
            </w:r>
          </w:p>
        </w:tc>
        <w:tc>
          <w:tcPr>
            <w:tcW w:w="592" w:type="pct"/>
            <w:noWrap/>
            <w:vAlign w:val="center"/>
          </w:tcPr>
          <w:p w14:paraId="429AB12F">
            <w:pPr>
              <w:pStyle w:val="44"/>
              <w:rPr>
                <w:color w:val="auto"/>
              </w:rPr>
            </w:pPr>
            <w:r>
              <w:rPr>
                <w:color w:val="auto"/>
              </w:rPr>
              <w:t>2003年</w:t>
            </w:r>
          </w:p>
        </w:tc>
      </w:tr>
      <w:tr w14:paraId="2BB76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F179E44">
            <w:pPr>
              <w:pStyle w:val="44"/>
              <w:rPr>
                <w:color w:val="auto"/>
              </w:rPr>
            </w:pPr>
            <w:r>
              <w:rPr>
                <w:color w:val="auto"/>
              </w:rPr>
              <w:t>20</w:t>
            </w:r>
          </w:p>
        </w:tc>
        <w:tc>
          <w:tcPr>
            <w:tcW w:w="530" w:type="pct"/>
            <w:vMerge w:val="continue"/>
            <w:vAlign w:val="center"/>
          </w:tcPr>
          <w:p w14:paraId="5307D3F8">
            <w:pPr>
              <w:pStyle w:val="44"/>
              <w:rPr>
                <w:color w:val="auto"/>
              </w:rPr>
            </w:pPr>
          </w:p>
        </w:tc>
        <w:tc>
          <w:tcPr>
            <w:tcW w:w="751" w:type="pct"/>
            <w:noWrap/>
            <w:vAlign w:val="center"/>
          </w:tcPr>
          <w:p w14:paraId="0049B151">
            <w:pPr>
              <w:pStyle w:val="44"/>
              <w:rPr>
                <w:color w:val="auto"/>
              </w:rPr>
            </w:pPr>
            <w:r>
              <w:rPr>
                <w:color w:val="auto"/>
              </w:rPr>
              <w:t>J03-03-1/02</w:t>
            </w:r>
          </w:p>
        </w:tc>
        <w:tc>
          <w:tcPr>
            <w:tcW w:w="1844" w:type="pct"/>
            <w:noWrap/>
            <w:vAlign w:val="center"/>
          </w:tcPr>
          <w:p w14:paraId="138D2F19">
            <w:pPr>
              <w:pStyle w:val="44"/>
              <w:rPr>
                <w:color w:val="auto"/>
              </w:rPr>
            </w:pPr>
            <w:r>
              <w:rPr>
                <w:color w:val="auto"/>
              </w:rPr>
              <w:t>重庆环松工业集团（招租中）</w:t>
            </w:r>
          </w:p>
        </w:tc>
        <w:tc>
          <w:tcPr>
            <w:tcW w:w="915" w:type="pct"/>
            <w:noWrap/>
            <w:vAlign w:val="center"/>
          </w:tcPr>
          <w:p w14:paraId="6BE5CE34">
            <w:pPr>
              <w:pStyle w:val="44"/>
              <w:rPr>
                <w:color w:val="auto"/>
              </w:rPr>
            </w:pPr>
            <w:r>
              <w:rPr>
                <w:color w:val="auto"/>
              </w:rPr>
              <w:t xml:space="preserve">1.54 </w:t>
            </w:r>
          </w:p>
        </w:tc>
        <w:tc>
          <w:tcPr>
            <w:tcW w:w="592" w:type="pct"/>
            <w:noWrap/>
            <w:vAlign w:val="center"/>
          </w:tcPr>
          <w:p w14:paraId="0CA22DBC">
            <w:pPr>
              <w:pStyle w:val="44"/>
              <w:rPr>
                <w:color w:val="auto"/>
              </w:rPr>
            </w:pPr>
            <w:r>
              <w:rPr>
                <w:color w:val="auto"/>
              </w:rPr>
              <w:t>2003年</w:t>
            </w:r>
          </w:p>
        </w:tc>
      </w:tr>
      <w:tr w14:paraId="47180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430C0A3">
            <w:pPr>
              <w:pStyle w:val="44"/>
              <w:rPr>
                <w:color w:val="auto"/>
              </w:rPr>
            </w:pPr>
            <w:r>
              <w:rPr>
                <w:color w:val="auto"/>
              </w:rPr>
              <w:t>21</w:t>
            </w:r>
          </w:p>
        </w:tc>
        <w:tc>
          <w:tcPr>
            <w:tcW w:w="530" w:type="pct"/>
            <w:vMerge w:val="continue"/>
            <w:vAlign w:val="center"/>
          </w:tcPr>
          <w:p w14:paraId="09E5B6C6">
            <w:pPr>
              <w:pStyle w:val="44"/>
              <w:rPr>
                <w:color w:val="auto"/>
              </w:rPr>
            </w:pPr>
          </w:p>
        </w:tc>
        <w:tc>
          <w:tcPr>
            <w:tcW w:w="751" w:type="pct"/>
            <w:vMerge w:val="restart"/>
            <w:noWrap/>
            <w:vAlign w:val="center"/>
          </w:tcPr>
          <w:p w14:paraId="33B6208F">
            <w:pPr>
              <w:pStyle w:val="44"/>
              <w:rPr>
                <w:color w:val="auto"/>
              </w:rPr>
            </w:pPr>
            <w:r>
              <w:rPr>
                <w:color w:val="auto"/>
              </w:rPr>
              <w:t>J03-05/02</w:t>
            </w:r>
          </w:p>
        </w:tc>
        <w:tc>
          <w:tcPr>
            <w:tcW w:w="1844" w:type="pct"/>
            <w:noWrap/>
            <w:vAlign w:val="center"/>
          </w:tcPr>
          <w:p w14:paraId="1AB4C9B0">
            <w:pPr>
              <w:pStyle w:val="44"/>
              <w:rPr>
                <w:color w:val="auto"/>
              </w:rPr>
            </w:pPr>
            <w:r>
              <w:rPr>
                <w:color w:val="auto"/>
              </w:rPr>
              <w:t>重庆和田机械化工有限公司</w:t>
            </w:r>
          </w:p>
        </w:tc>
        <w:tc>
          <w:tcPr>
            <w:tcW w:w="915" w:type="pct"/>
            <w:vMerge w:val="restart"/>
            <w:noWrap/>
            <w:vAlign w:val="center"/>
          </w:tcPr>
          <w:p w14:paraId="4072C075">
            <w:pPr>
              <w:pStyle w:val="44"/>
              <w:rPr>
                <w:color w:val="auto"/>
              </w:rPr>
            </w:pPr>
            <w:r>
              <w:rPr>
                <w:color w:val="auto"/>
              </w:rPr>
              <w:t xml:space="preserve">4.31 </w:t>
            </w:r>
          </w:p>
        </w:tc>
        <w:tc>
          <w:tcPr>
            <w:tcW w:w="592" w:type="pct"/>
            <w:noWrap/>
            <w:vAlign w:val="center"/>
          </w:tcPr>
          <w:p w14:paraId="36CECC60">
            <w:pPr>
              <w:pStyle w:val="44"/>
              <w:rPr>
                <w:color w:val="auto"/>
              </w:rPr>
            </w:pPr>
            <w:r>
              <w:rPr>
                <w:color w:val="auto"/>
              </w:rPr>
              <w:t>2005年</w:t>
            </w:r>
          </w:p>
        </w:tc>
      </w:tr>
      <w:tr w14:paraId="625BC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1F52933">
            <w:pPr>
              <w:pStyle w:val="44"/>
              <w:rPr>
                <w:color w:val="auto"/>
              </w:rPr>
            </w:pPr>
            <w:r>
              <w:rPr>
                <w:color w:val="auto"/>
              </w:rPr>
              <w:t>22</w:t>
            </w:r>
          </w:p>
        </w:tc>
        <w:tc>
          <w:tcPr>
            <w:tcW w:w="530" w:type="pct"/>
            <w:vMerge w:val="continue"/>
            <w:vAlign w:val="center"/>
          </w:tcPr>
          <w:p w14:paraId="6811E7CA">
            <w:pPr>
              <w:pStyle w:val="44"/>
              <w:rPr>
                <w:color w:val="auto"/>
              </w:rPr>
            </w:pPr>
          </w:p>
        </w:tc>
        <w:tc>
          <w:tcPr>
            <w:tcW w:w="751" w:type="pct"/>
            <w:vMerge w:val="continue"/>
            <w:vAlign w:val="center"/>
          </w:tcPr>
          <w:p w14:paraId="2B6EF35C">
            <w:pPr>
              <w:pStyle w:val="44"/>
              <w:rPr>
                <w:color w:val="auto"/>
              </w:rPr>
            </w:pPr>
          </w:p>
        </w:tc>
        <w:tc>
          <w:tcPr>
            <w:tcW w:w="1844" w:type="pct"/>
            <w:noWrap/>
            <w:vAlign w:val="center"/>
          </w:tcPr>
          <w:p w14:paraId="618DE6AB">
            <w:pPr>
              <w:pStyle w:val="44"/>
              <w:rPr>
                <w:color w:val="auto"/>
              </w:rPr>
            </w:pPr>
            <w:r>
              <w:rPr>
                <w:color w:val="auto"/>
              </w:rPr>
              <w:t>中共重庆和拓房地产建设有限公司</w:t>
            </w:r>
          </w:p>
        </w:tc>
        <w:tc>
          <w:tcPr>
            <w:tcW w:w="915" w:type="pct"/>
            <w:vMerge w:val="continue"/>
            <w:vAlign w:val="center"/>
          </w:tcPr>
          <w:p w14:paraId="5917DEF9">
            <w:pPr>
              <w:pStyle w:val="44"/>
              <w:rPr>
                <w:color w:val="auto"/>
              </w:rPr>
            </w:pPr>
          </w:p>
        </w:tc>
        <w:tc>
          <w:tcPr>
            <w:tcW w:w="592" w:type="pct"/>
            <w:noWrap/>
            <w:vAlign w:val="center"/>
          </w:tcPr>
          <w:p w14:paraId="1C29DFDC">
            <w:pPr>
              <w:pStyle w:val="44"/>
              <w:rPr>
                <w:color w:val="auto"/>
              </w:rPr>
            </w:pPr>
            <w:r>
              <w:rPr>
                <w:color w:val="auto"/>
              </w:rPr>
              <w:t>2005年</w:t>
            </w:r>
          </w:p>
        </w:tc>
      </w:tr>
      <w:tr w14:paraId="2153C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B6E51B1">
            <w:pPr>
              <w:pStyle w:val="44"/>
              <w:rPr>
                <w:color w:val="auto"/>
              </w:rPr>
            </w:pPr>
            <w:r>
              <w:rPr>
                <w:color w:val="auto"/>
              </w:rPr>
              <w:t>23</w:t>
            </w:r>
          </w:p>
        </w:tc>
        <w:tc>
          <w:tcPr>
            <w:tcW w:w="530" w:type="pct"/>
            <w:vMerge w:val="continue"/>
            <w:vAlign w:val="center"/>
          </w:tcPr>
          <w:p w14:paraId="3EA86ED2">
            <w:pPr>
              <w:pStyle w:val="44"/>
              <w:rPr>
                <w:color w:val="auto"/>
              </w:rPr>
            </w:pPr>
          </w:p>
        </w:tc>
        <w:tc>
          <w:tcPr>
            <w:tcW w:w="751" w:type="pct"/>
            <w:vMerge w:val="continue"/>
            <w:vAlign w:val="center"/>
          </w:tcPr>
          <w:p w14:paraId="6115A114">
            <w:pPr>
              <w:pStyle w:val="44"/>
              <w:rPr>
                <w:color w:val="auto"/>
              </w:rPr>
            </w:pPr>
          </w:p>
        </w:tc>
        <w:tc>
          <w:tcPr>
            <w:tcW w:w="1844" w:type="pct"/>
            <w:noWrap/>
            <w:vAlign w:val="center"/>
          </w:tcPr>
          <w:p w14:paraId="25967975">
            <w:pPr>
              <w:pStyle w:val="44"/>
              <w:rPr>
                <w:color w:val="auto"/>
              </w:rPr>
            </w:pPr>
            <w:r>
              <w:rPr>
                <w:color w:val="auto"/>
              </w:rPr>
              <w:t>重庆怡园食品有限公司</w:t>
            </w:r>
          </w:p>
        </w:tc>
        <w:tc>
          <w:tcPr>
            <w:tcW w:w="915" w:type="pct"/>
            <w:vMerge w:val="continue"/>
            <w:vAlign w:val="center"/>
          </w:tcPr>
          <w:p w14:paraId="6D76D73A">
            <w:pPr>
              <w:pStyle w:val="44"/>
              <w:rPr>
                <w:color w:val="auto"/>
              </w:rPr>
            </w:pPr>
          </w:p>
        </w:tc>
        <w:tc>
          <w:tcPr>
            <w:tcW w:w="592" w:type="pct"/>
            <w:noWrap/>
            <w:vAlign w:val="center"/>
          </w:tcPr>
          <w:p w14:paraId="025EB684">
            <w:pPr>
              <w:pStyle w:val="44"/>
              <w:rPr>
                <w:color w:val="auto"/>
              </w:rPr>
            </w:pPr>
            <w:r>
              <w:rPr>
                <w:color w:val="auto"/>
              </w:rPr>
              <w:t>2005年</w:t>
            </w:r>
          </w:p>
        </w:tc>
      </w:tr>
      <w:tr w14:paraId="78627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170AF57">
            <w:pPr>
              <w:pStyle w:val="44"/>
              <w:rPr>
                <w:color w:val="auto"/>
              </w:rPr>
            </w:pPr>
            <w:r>
              <w:rPr>
                <w:color w:val="auto"/>
              </w:rPr>
              <w:t>24</w:t>
            </w:r>
          </w:p>
        </w:tc>
        <w:tc>
          <w:tcPr>
            <w:tcW w:w="530" w:type="pct"/>
            <w:vMerge w:val="continue"/>
            <w:vAlign w:val="center"/>
          </w:tcPr>
          <w:p w14:paraId="1774904E">
            <w:pPr>
              <w:pStyle w:val="44"/>
              <w:rPr>
                <w:color w:val="auto"/>
              </w:rPr>
            </w:pPr>
          </w:p>
        </w:tc>
        <w:tc>
          <w:tcPr>
            <w:tcW w:w="751" w:type="pct"/>
            <w:vMerge w:val="continue"/>
            <w:vAlign w:val="center"/>
          </w:tcPr>
          <w:p w14:paraId="6B1B9750">
            <w:pPr>
              <w:pStyle w:val="44"/>
              <w:rPr>
                <w:color w:val="auto"/>
              </w:rPr>
            </w:pPr>
          </w:p>
        </w:tc>
        <w:tc>
          <w:tcPr>
            <w:tcW w:w="1844" w:type="pct"/>
            <w:noWrap/>
            <w:vAlign w:val="center"/>
          </w:tcPr>
          <w:p w14:paraId="23135605">
            <w:pPr>
              <w:pStyle w:val="44"/>
              <w:rPr>
                <w:color w:val="auto"/>
              </w:rPr>
            </w:pPr>
            <w:r>
              <w:rPr>
                <w:color w:val="auto"/>
              </w:rPr>
              <w:t>重庆变压器五厂</w:t>
            </w:r>
          </w:p>
        </w:tc>
        <w:tc>
          <w:tcPr>
            <w:tcW w:w="915" w:type="pct"/>
            <w:vMerge w:val="continue"/>
            <w:vAlign w:val="center"/>
          </w:tcPr>
          <w:p w14:paraId="3988D176">
            <w:pPr>
              <w:pStyle w:val="44"/>
              <w:rPr>
                <w:color w:val="auto"/>
              </w:rPr>
            </w:pPr>
          </w:p>
        </w:tc>
        <w:tc>
          <w:tcPr>
            <w:tcW w:w="592" w:type="pct"/>
            <w:noWrap/>
            <w:vAlign w:val="center"/>
          </w:tcPr>
          <w:p w14:paraId="65F6FE93">
            <w:pPr>
              <w:pStyle w:val="44"/>
              <w:rPr>
                <w:color w:val="auto"/>
              </w:rPr>
            </w:pPr>
            <w:r>
              <w:rPr>
                <w:color w:val="auto"/>
              </w:rPr>
              <w:t>2005年</w:t>
            </w:r>
          </w:p>
        </w:tc>
      </w:tr>
      <w:tr w14:paraId="34B42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49CA88F">
            <w:pPr>
              <w:pStyle w:val="44"/>
              <w:rPr>
                <w:color w:val="auto"/>
              </w:rPr>
            </w:pPr>
            <w:r>
              <w:rPr>
                <w:color w:val="auto"/>
              </w:rPr>
              <w:t>25</w:t>
            </w:r>
          </w:p>
        </w:tc>
        <w:tc>
          <w:tcPr>
            <w:tcW w:w="530" w:type="pct"/>
            <w:vMerge w:val="continue"/>
            <w:vAlign w:val="center"/>
          </w:tcPr>
          <w:p w14:paraId="12811E57">
            <w:pPr>
              <w:pStyle w:val="44"/>
              <w:rPr>
                <w:color w:val="auto"/>
              </w:rPr>
            </w:pPr>
          </w:p>
        </w:tc>
        <w:tc>
          <w:tcPr>
            <w:tcW w:w="751" w:type="pct"/>
            <w:noWrap/>
            <w:vAlign w:val="center"/>
          </w:tcPr>
          <w:p w14:paraId="46F34FEB">
            <w:pPr>
              <w:pStyle w:val="44"/>
              <w:rPr>
                <w:color w:val="auto"/>
              </w:rPr>
            </w:pPr>
            <w:r>
              <w:rPr>
                <w:color w:val="auto"/>
              </w:rPr>
              <w:t>J05-06/03</w:t>
            </w:r>
          </w:p>
        </w:tc>
        <w:tc>
          <w:tcPr>
            <w:tcW w:w="1844" w:type="pct"/>
            <w:noWrap/>
            <w:vAlign w:val="center"/>
          </w:tcPr>
          <w:p w14:paraId="188983B0">
            <w:pPr>
              <w:pStyle w:val="44"/>
              <w:rPr>
                <w:color w:val="auto"/>
              </w:rPr>
            </w:pPr>
            <w:r>
              <w:rPr>
                <w:color w:val="auto"/>
              </w:rPr>
              <w:t>重庆天得力工业有限公司</w:t>
            </w:r>
          </w:p>
        </w:tc>
        <w:tc>
          <w:tcPr>
            <w:tcW w:w="915" w:type="pct"/>
            <w:noWrap/>
            <w:vAlign w:val="center"/>
          </w:tcPr>
          <w:p w14:paraId="7E622C2A">
            <w:pPr>
              <w:pStyle w:val="44"/>
              <w:rPr>
                <w:color w:val="auto"/>
              </w:rPr>
            </w:pPr>
            <w:r>
              <w:rPr>
                <w:color w:val="auto"/>
              </w:rPr>
              <w:t xml:space="preserve">2.68 </w:t>
            </w:r>
          </w:p>
        </w:tc>
        <w:tc>
          <w:tcPr>
            <w:tcW w:w="592" w:type="pct"/>
            <w:noWrap/>
            <w:vAlign w:val="center"/>
          </w:tcPr>
          <w:p w14:paraId="6DEB5379">
            <w:pPr>
              <w:pStyle w:val="44"/>
              <w:rPr>
                <w:color w:val="auto"/>
              </w:rPr>
            </w:pPr>
            <w:r>
              <w:rPr>
                <w:color w:val="auto"/>
              </w:rPr>
              <w:t>2002年</w:t>
            </w:r>
          </w:p>
        </w:tc>
      </w:tr>
      <w:tr w14:paraId="70299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B516886">
            <w:pPr>
              <w:pStyle w:val="44"/>
              <w:rPr>
                <w:color w:val="auto"/>
              </w:rPr>
            </w:pPr>
            <w:r>
              <w:rPr>
                <w:color w:val="auto"/>
              </w:rPr>
              <w:t>26</w:t>
            </w:r>
          </w:p>
        </w:tc>
        <w:tc>
          <w:tcPr>
            <w:tcW w:w="530" w:type="pct"/>
            <w:vMerge w:val="continue"/>
            <w:vAlign w:val="center"/>
          </w:tcPr>
          <w:p w14:paraId="29CEAA46">
            <w:pPr>
              <w:pStyle w:val="44"/>
              <w:rPr>
                <w:color w:val="auto"/>
              </w:rPr>
            </w:pPr>
          </w:p>
        </w:tc>
        <w:tc>
          <w:tcPr>
            <w:tcW w:w="751" w:type="pct"/>
            <w:vMerge w:val="restart"/>
            <w:noWrap/>
            <w:vAlign w:val="center"/>
          </w:tcPr>
          <w:p w14:paraId="2FB1D79F">
            <w:pPr>
              <w:pStyle w:val="44"/>
              <w:rPr>
                <w:color w:val="auto"/>
              </w:rPr>
            </w:pPr>
            <w:r>
              <w:rPr>
                <w:color w:val="auto"/>
              </w:rPr>
              <w:t>J08-04/03</w:t>
            </w:r>
          </w:p>
        </w:tc>
        <w:tc>
          <w:tcPr>
            <w:tcW w:w="1844" w:type="pct"/>
            <w:noWrap/>
            <w:vAlign w:val="center"/>
          </w:tcPr>
          <w:p w14:paraId="23B39AD0">
            <w:pPr>
              <w:pStyle w:val="44"/>
              <w:rPr>
                <w:color w:val="auto"/>
              </w:rPr>
            </w:pPr>
            <w:r>
              <w:rPr>
                <w:color w:val="auto"/>
              </w:rPr>
              <w:t>鑫佳盛铝业</w:t>
            </w:r>
          </w:p>
        </w:tc>
        <w:tc>
          <w:tcPr>
            <w:tcW w:w="915" w:type="pct"/>
            <w:vMerge w:val="restart"/>
            <w:noWrap/>
            <w:vAlign w:val="center"/>
          </w:tcPr>
          <w:p w14:paraId="769975FD">
            <w:pPr>
              <w:pStyle w:val="44"/>
              <w:rPr>
                <w:color w:val="auto"/>
              </w:rPr>
            </w:pPr>
            <w:r>
              <w:rPr>
                <w:color w:val="auto"/>
              </w:rPr>
              <w:t xml:space="preserve">1.75 </w:t>
            </w:r>
          </w:p>
        </w:tc>
        <w:tc>
          <w:tcPr>
            <w:tcW w:w="592" w:type="pct"/>
            <w:noWrap/>
            <w:vAlign w:val="center"/>
          </w:tcPr>
          <w:p w14:paraId="36BD7AAB">
            <w:pPr>
              <w:pStyle w:val="44"/>
              <w:rPr>
                <w:color w:val="auto"/>
              </w:rPr>
            </w:pPr>
            <w:r>
              <w:rPr>
                <w:color w:val="auto"/>
              </w:rPr>
              <w:t>2003年</w:t>
            </w:r>
          </w:p>
        </w:tc>
      </w:tr>
      <w:tr w14:paraId="6594E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0037C5F">
            <w:pPr>
              <w:pStyle w:val="44"/>
              <w:rPr>
                <w:color w:val="auto"/>
              </w:rPr>
            </w:pPr>
            <w:r>
              <w:rPr>
                <w:color w:val="auto"/>
              </w:rPr>
              <w:t>27</w:t>
            </w:r>
          </w:p>
        </w:tc>
        <w:tc>
          <w:tcPr>
            <w:tcW w:w="530" w:type="pct"/>
            <w:vMerge w:val="continue"/>
            <w:vAlign w:val="center"/>
          </w:tcPr>
          <w:p w14:paraId="1564714B">
            <w:pPr>
              <w:pStyle w:val="44"/>
              <w:rPr>
                <w:color w:val="auto"/>
              </w:rPr>
            </w:pPr>
          </w:p>
        </w:tc>
        <w:tc>
          <w:tcPr>
            <w:tcW w:w="751" w:type="pct"/>
            <w:vMerge w:val="continue"/>
            <w:vAlign w:val="center"/>
          </w:tcPr>
          <w:p w14:paraId="61BFD8B4">
            <w:pPr>
              <w:pStyle w:val="44"/>
              <w:rPr>
                <w:color w:val="auto"/>
              </w:rPr>
            </w:pPr>
          </w:p>
        </w:tc>
        <w:tc>
          <w:tcPr>
            <w:tcW w:w="1844" w:type="pct"/>
            <w:noWrap/>
            <w:vAlign w:val="center"/>
          </w:tcPr>
          <w:p w14:paraId="7FED3894">
            <w:pPr>
              <w:pStyle w:val="44"/>
              <w:rPr>
                <w:color w:val="auto"/>
              </w:rPr>
            </w:pPr>
            <w:r>
              <w:rPr>
                <w:color w:val="auto"/>
              </w:rPr>
              <w:t>重庆应航钢结构有限公司</w:t>
            </w:r>
          </w:p>
        </w:tc>
        <w:tc>
          <w:tcPr>
            <w:tcW w:w="915" w:type="pct"/>
            <w:vMerge w:val="continue"/>
            <w:vAlign w:val="center"/>
          </w:tcPr>
          <w:p w14:paraId="0C80184C">
            <w:pPr>
              <w:pStyle w:val="44"/>
              <w:rPr>
                <w:color w:val="auto"/>
              </w:rPr>
            </w:pPr>
          </w:p>
        </w:tc>
        <w:tc>
          <w:tcPr>
            <w:tcW w:w="592" w:type="pct"/>
            <w:noWrap/>
            <w:vAlign w:val="center"/>
          </w:tcPr>
          <w:p w14:paraId="4EFFE3B9">
            <w:pPr>
              <w:pStyle w:val="44"/>
              <w:rPr>
                <w:color w:val="auto"/>
              </w:rPr>
            </w:pPr>
            <w:r>
              <w:rPr>
                <w:color w:val="auto"/>
              </w:rPr>
              <w:t>2003年</w:t>
            </w:r>
          </w:p>
        </w:tc>
      </w:tr>
      <w:tr w14:paraId="01CE9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924A3E5">
            <w:pPr>
              <w:pStyle w:val="44"/>
              <w:rPr>
                <w:color w:val="auto"/>
              </w:rPr>
            </w:pPr>
            <w:r>
              <w:rPr>
                <w:color w:val="auto"/>
              </w:rPr>
              <w:t>28</w:t>
            </w:r>
          </w:p>
        </w:tc>
        <w:tc>
          <w:tcPr>
            <w:tcW w:w="530" w:type="pct"/>
            <w:vMerge w:val="continue"/>
            <w:vAlign w:val="center"/>
          </w:tcPr>
          <w:p w14:paraId="5B661B46">
            <w:pPr>
              <w:pStyle w:val="44"/>
              <w:rPr>
                <w:color w:val="auto"/>
              </w:rPr>
            </w:pPr>
          </w:p>
        </w:tc>
        <w:tc>
          <w:tcPr>
            <w:tcW w:w="751" w:type="pct"/>
            <w:vMerge w:val="restart"/>
            <w:noWrap/>
            <w:vAlign w:val="center"/>
          </w:tcPr>
          <w:p w14:paraId="23DEC7B0">
            <w:pPr>
              <w:pStyle w:val="44"/>
              <w:rPr>
                <w:color w:val="auto"/>
              </w:rPr>
            </w:pPr>
            <w:r>
              <w:rPr>
                <w:color w:val="auto"/>
              </w:rPr>
              <w:t>J08-09/03</w:t>
            </w:r>
          </w:p>
        </w:tc>
        <w:tc>
          <w:tcPr>
            <w:tcW w:w="1844" w:type="pct"/>
            <w:noWrap/>
            <w:vAlign w:val="center"/>
          </w:tcPr>
          <w:p w14:paraId="44D157D3">
            <w:pPr>
              <w:pStyle w:val="44"/>
              <w:rPr>
                <w:color w:val="auto"/>
              </w:rPr>
            </w:pPr>
            <w:r>
              <w:rPr>
                <w:color w:val="auto"/>
              </w:rPr>
              <w:t>羽毛球馆</w:t>
            </w:r>
          </w:p>
        </w:tc>
        <w:tc>
          <w:tcPr>
            <w:tcW w:w="915" w:type="pct"/>
            <w:vMerge w:val="restart"/>
            <w:noWrap/>
            <w:vAlign w:val="center"/>
          </w:tcPr>
          <w:p w14:paraId="604408B4">
            <w:pPr>
              <w:pStyle w:val="44"/>
              <w:rPr>
                <w:color w:val="auto"/>
              </w:rPr>
            </w:pPr>
            <w:r>
              <w:rPr>
                <w:color w:val="auto"/>
              </w:rPr>
              <w:t xml:space="preserve">0.72 </w:t>
            </w:r>
          </w:p>
        </w:tc>
        <w:tc>
          <w:tcPr>
            <w:tcW w:w="592" w:type="pct"/>
            <w:noWrap/>
            <w:vAlign w:val="center"/>
          </w:tcPr>
          <w:p w14:paraId="03E7BCAA">
            <w:pPr>
              <w:pStyle w:val="44"/>
              <w:rPr>
                <w:color w:val="auto"/>
              </w:rPr>
            </w:pPr>
            <w:r>
              <w:rPr>
                <w:color w:val="auto"/>
              </w:rPr>
              <w:t>2005年</w:t>
            </w:r>
          </w:p>
        </w:tc>
      </w:tr>
      <w:tr w14:paraId="58DA3C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1237371">
            <w:pPr>
              <w:pStyle w:val="44"/>
              <w:rPr>
                <w:color w:val="auto"/>
              </w:rPr>
            </w:pPr>
            <w:r>
              <w:rPr>
                <w:color w:val="auto"/>
              </w:rPr>
              <w:t>29</w:t>
            </w:r>
          </w:p>
        </w:tc>
        <w:tc>
          <w:tcPr>
            <w:tcW w:w="530" w:type="pct"/>
            <w:vMerge w:val="continue"/>
            <w:vAlign w:val="center"/>
          </w:tcPr>
          <w:p w14:paraId="49DE0C80">
            <w:pPr>
              <w:pStyle w:val="44"/>
              <w:rPr>
                <w:color w:val="auto"/>
              </w:rPr>
            </w:pPr>
          </w:p>
        </w:tc>
        <w:tc>
          <w:tcPr>
            <w:tcW w:w="751" w:type="pct"/>
            <w:vMerge w:val="continue"/>
            <w:vAlign w:val="center"/>
          </w:tcPr>
          <w:p w14:paraId="224CE605">
            <w:pPr>
              <w:pStyle w:val="44"/>
              <w:rPr>
                <w:color w:val="auto"/>
              </w:rPr>
            </w:pPr>
          </w:p>
        </w:tc>
        <w:tc>
          <w:tcPr>
            <w:tcW w:w="1844" w:type="pct"/>
            <w:noWrap/>
            <w:vAlign w:val="center"/>
          </w:tcPr>
          <w:p w14:paraId="3B68B9E0">
            <w:pPr>
              <w:pStyle w:val="44"/>
              <w:rPr>
                <w:color w:val="auto"/>
              </w:rPr>
            </w:pPr>
            <w:r>
              <w:rPr>
                <w:color w:val="auto"/>
              </w:rPr>
              <w:t>中国中铁二局集团电务工程有限公司</w:t>
            </w:r>
          </w:p>
        </w:tc>
        <w:tc>
          <w:tcPr>
            <w:tcW w:w="915" w:type="pct"/>
            <w:vMerge w:val="continue"/>
            <w:vAlign w:val="center"/>
          </w:tcPr>
          <w:p w14:paraId="13907913">
            <w:pPr>
              <w:pStyle w:val="44"/>
              <w:rPr>
                <w:color w:val="auto"/>
              </w:rPr>
            </w:pPr>
          </w:p>
        </w:tc>
        <w:tc>
          <w:tcPr>
            <w:tcW w:w="592" w:type="pct"/>
            <w:noWrap/>
            <w:vAlign w:val="center"/>
          </w:tcPr>
          <w:p w14:paraId="373776D7">
            <w:pPr>
              <w:pStyle w:val="44"/>
              <w:rPr>
                <w:color w:val="auto"/>
              </w:rPr>
            </w:pPr>
            <w:r>
              <w:rPr>
                <w:color w:val="auto"/>
              </w:rPr>
              <w:t>2005年</w:t>
            </w:r>
          </w:p>
        </w:tc>
      </w:tr>
      <w:tr w14:paraId="4F73C234">
        <w:tblPrEx>
          <w:tblCellMar>
            <w:top w:w="0" w:type="dxa"/>
            <w:left w:w="108" w:type="dxa"/>
            <w:bottom w:w="0" w:type="dxa"/>
            <w:right w:w="108" w:type="dxa"/>
          </w:tblCellMar>
        </w:tblPrEx>
        <w:trPr>
          <w:trHeight w:val="227" w:hRule="atLeast"/>
        </w:trPr>
        <w:tc>
          <w:tcPr>
            <w:tcW w:w="368" w:type="pct"/>
            <w:noWrap/>
            <w:vAlign w:val="center"/>
          </w:tcPr>
          <w:p w14:paraId="1EFAD1EC">
            <w:pPr>
              <w:pStyle w:val="44"/>
              <w:rPr>
                <w:color w:val="auto"/>
              </w:rPr>
            </w:pPr>
            <w:r>
              <w:rPr>
                <w:color w:val="auto"/>
              </w:rPr>
              <w:t>30</w:t>
            </w:r>
          </w:p>
        </w:tc>
        <w:tc>
          <w:tcPr>
            <w:tcW w:w="530" w:type="pct"/>
            <w:vMerge w:val="continue"/>
            <w:vAlign w:val="center"/>
          </w:tcPr>
          <w:p w14:paraId="65A35795">
            <w:pPr>
              <w:pStyle w:val="44"/>
              <w:rPr>
                <w:color w:val="auto"/>
              </w:rPr>
            </w:pPr>
          </w:p>
        </w:tc>
        <w:tc>
          <w:tcPr>
            <w:tcW w:w="751" w:type="pct"/>
            <w:noWrap/>
            <w:vAlign w:val="center"/>
          </w:tcPr>
          <w:p w14:paraId="0C23B99D">
            <w:pPr>
              <w:pStyle w:val="44"/>
              <w:rPr>
                <w:color w:val="auto"/>
              </w:rPr>
            </w:pPr>
            <w:r>
              <w:rPr>
                <w:color w:val="auto"/>
              </w:rPr>
              <w:t>J08-14/03</w:t>
            </w:r>
          </w:p>
        </w:tc>
        <w:tc>
          <w:tcPr>
            <w:tcW w:w="1844" w:type="pct"/>
            <w:noWrap/>
            <w:vAlign w:val="center"/>
          </w:tcPr>
          <w:p w14:paraId="74627D43">
            <w:pPr>
              <w:pStyle w:val="44"/>
              <w:rPr>
                <w:color w:val="auto"/>
              </w:rPr>
            </w:pPr>
            <w:r>
              <w:rPr>
                <w:color w:val="auto"/>
              </w:rPr>
              <w:t>重庆市巨象木地板仓储中心</w:t>
            </w:r>
          </w:p>
        </w:tc>
        <w:tc>
          <w:tcPr>
            <w:tcW w:w="915" w:type="pct"/>
            <w:noWrap/>
            <w:vAlign w:val="center"/>
          </w:tcPr>
          <w:p w14:paraId="3F64641D">
            <w:pPr>
              <w:pStyle w:val="44"/>
              <w:rPr>
                <w:color w:val="auto"/>
              </w:rPr>
            </w:pPr>
            <w:r>
              <w:rPr>
                <w:color w:val="auto"/>
              </w:rPr>
              <w:t xml:space="preserve">0.30 </w:t>
            </w:r>
          </w:p>
        </w:tc>
        <w:tc>
          <w:tcPr>
            <w:tcW w:w="592" w:type="pct"/>
            <w:noWrap/>
            <w:vAlign w:val="center"/>
          </w:tcPr>
          <w:p w14:paraId="7DBD3F80">
            <w:pPr>
              <w:pStyle w:val="44"/>
              <w:rPr>
                <w:color w:val="auto"/>
              </w:rPr>
            </w:pPr>
            <w:r>
              <w:rPr>
                <w:color w:val="auto"/>
              </w:rPr>
              <w:t>2004年</w:t>
            </w:r>
          </w:p>
        </w:tc>
      </w:tr>
      <w:tr w14:paraId="1FEB1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1971F0C">
            <w:pPr>
              <w:pStyle w:val="44"/>
              <w:rPr>
                <w:color w:val="auto"/>
              </w:rPr>
            </w:pPr>
            <w:r>
              <w:rPr>
                <w:color w:val="auto"/>
              </w:rPr>
              <w:t>31</w:t>
            </w:r>
          </w:p>
        </w:tc>
        <w:tc>
          <w:tcPr>
            <w:tcW w:w="530" w:type="pct"/>
            <w:vMerge w:val="continue"/>
            <w:vAlign w:val="center"/>
          </w:tcPr>
          <w:p w14:paraId="00D0ECB7">
            <w:pPr>
              <w:pStyle w:val="44"/>
              <w:rPr>
                <w:color w:val="auto"/>
              </w:rPr>
            </w:pPr>
          </w:p>
        </w:tc>
        <w:tc>
          <w:tcPr>
            <w:tcW w:w="751" w:type="pct"/>
            <w:vMerge w:val="restart"/>
            <w:noWrap/>
            <w:vAlign w:val="center"/>
          </w:tcPr>
          <w:p w14:paraId="36D620D7">
            <w:pPr>
              <w:pStyle w:val="44"/>
              <w:rPr>
                <w:color w:val="auto"/>
              </w:rPr>
            </w:pPr>
            <w:r>
              <w:rPr>
                <w:color w:val="auto"/>
              </w:rPr>
              <w:t>J09-01/02</w:t>
            </w:r>
          </w:p>
        </w:tc>
        <w:tc>
          <w:tcPr>
            <w:tcW w:w="1844" w:type="pct"/>
            <w:noWrap/>
            <w:vAlign w:val="center"/>
          </w:tcPr>
          <w:p w14:paraId="63C8B6EE">
            <w:pPr>
              <w:pStyle w:val="44"/>
              <w:rPr>
                <w:color w:val="auto"/>
              </w:rPr>
            </w:pPr>
            <w:r>
              <w:rPr>
                <w:color w:val="auto"/>
              </w:rPr>
              <w:t>紫燕食品有限公司</w:t>
            </w:r>
          </w:p>
        </w:tc>
        <w:tc>
          <w:tcPr>
            <w:tcW w:w="915" w:type="pct"/>
            <w:vMerge w:val="restart"/>
            <w:noWrap/>
            <w:vAlign w:val="center"/>
          </w:tcPr>
          <w:p w14:paraId="68F0691A">
            <w:pPr>
              <w:pStyle w:val="44"/>
              <w:rPr>
                <w:color w:val="auto"/>
              </w:rPr>
            </w:pPr>
            <w:r>
              <w:rPr>
                <w:color w:val="auto"/>
              </w:rPr>
              <w:t xml:space="preserve">8.08 </w:t>
            </w:r>
          </w:p>
        </w:tc>
        <w:tc>
          <w:tcPr>
            <w:tcW w:w="592" w:type="pct"/>
            <w:noWrap/>
            <w:vAlign w:val="center"/>
          </w:tcPr>
          <w:p w14:paraId="5F5C935F">
            <w:pPr>
              <w:pStyle w:val="44"/>
              <w:rPr>
                <w:color w:val="auto"/>
              </w:rPr>
            </w:pPr>
            <w:r>
              <w:rPr>
                <w:color w:val="auto"/>
              </w:rPr>
              <w:t>2003年</w:t>
            </w:r>
          </w:p>
        </w:tc>
      </w:tr>
      <w:tr w14:paraId="069CE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B6DEF59">
            <w:pPr>
              <w:pStyle w:val="44"/>
              <w:rPr>
                <w:color w:val="auto"/>
              </w:rPr>
            </w:pPr>
            <w:r>
              <w:rPr>
                <w:color w:val="auto"/>
              </w:rPr>
              <w:t>32</w:t>
            </w:r>
          </w:p>
        </w:tc>
        <w:tc>
          <w:tcPr>
            <w:tcW w:w="530" w:type="pct"/>
            <w:vMerge w:val="continue"/>
            <w:vAlign w:val="center"/>
          </w:tcPr>
          <w:p w14:paraId="1574F021">
            <w:pPr>
              <w:pStyle w:val="44"/>
              <w:rPr>
                <w:color w:val="auto"/>
              </w:rPr>
            </w:pPr>
          </w:p>
        </w:tc>
        <w:tc>
          <w:tcPr>
            <w:tcW w:w="751" w:type="pct"/>
            <w:vMerge w:val="continue"/>
            <w:vAlign w:val="center"/>
          </w:tcPr>
          <w:p w14:paraId="2C1408F5">
            <w:pPr>
              <w:pStyle w:val="44"/>
              <w:rPr>
                <w:color w:val="auto"/>
              </w:rPr>
            </w:pPr>
          </w:p>
        </w:tc>
        <w:tc>
          <w:tcPr>
            <w:tcW w:w="1844" w:type="pct"/>
            <w:noWrap/>
            <w:vAlign w:val="center"/>
          </w:tcPr>
          <w:p w14:paraId="3A931E89">
            <w:pPr>
              <w:pStyle w:val="44"/>
              <w:rPr>
                <w:color w:val="auto"/>
              </w:rPr>
            </w:pPr>
            <w:r>
              <w:rPr>
                <w:color w:val="auto"/>
              </w:rPr>
              <w:t>重庆国有物资有限公司</w:t>
            </w:r>
          </w:p>
        </w:tc>
        <w:tc>
          <w:tcPr>
            <w:tcW w:w="915" w:type="pct"/>
            <w:vMerge w:val="continue"/>
            <w:vAlign w:val="center"/>
          </w:tcPr>
          <w:p w14:paraId="3D205311">
            <w:pPr>
              <w:pStyle w:val="44"/>
              <w:rPr>
                <w:color w:val="auto"/>
              </w:rPr>
            </w:pPr>
          </w:p>
        </w:tc>
        <w:tc>
          <w:tcPr>
            <w:tcW w:w="592" w:type="pct"/>
            <w:noWrap/>
            <w:vAlign w:val="center"/>
          </w:tcPr>
          <w:p w14:paraId="719924A1">
            <w:pPr>
              <w:pStyle w:val="44"/>
              <w:rPr>
                <w:color w:val="auto"/>
              </w:rPr>
            </w:pPr>
            <w:r>
              <w:rPr>
                <w:color w:val="auto"/>
              </w:rPr>
              <w:t>2003年</w:t>
            </w:r>
          </w:p>
        </w:tc>
      </w:tr>
      <w:tr w14:paraId="5EE11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6C29EE6">
            <w:pPr>
              <w:pStyle w:val="44"/>
              <w:rPr>
                <w:color w:val="auto"/>
              </w:rPr>
            </w:pPr>
            <w:r>
              <w:rPr>
                <w:color w:val="auto"/>
              </w:rPr>
              <w:t>33</w:t>
            </w:r>
          </w:p>
        </w:tc>
        <w:tc>
          <w:tcPr>
            <w:tcW w:w="530" w:type="pct"/>
            <w:vMerge w:val="continue"/>
            <w:vAlign w:val="center"/>
          </w:tcPr>
          <w:p w14:paraId="32BE9D18">
            <w:pPr>
              <w:pStyle w:val="44"/>
              <w:rPr>
                <w:color w:val="auto"/>
              </w:rPr>
            </w:pPr>
          </w:p>
        </w:tc>
        <w:tc>
          <w:tcPr>
            <w:tcW w:w="751" w:type="pct"/>
            <w:vMerge w:val="continue"/>
            <w:vAlign w:val="center"/>
          </w:tcPr>
          <w:p w14:paraId="2D377A44">
            <w:pPr>
              <w:pStyle w:val="44"/>
              <w:rPr>
                <w:color w:val="auto"/>
              </w:rPr>
            </w:pPr>
          </w:p>
        </w:tc>
        <w:tc>
          <w:tcPr>
            <w:tcW w:w="1844" w:type="pct"/>
            <w:noWrap/>
            <w:vAlign w:val="center"/>
          </w:tcPr>
          <w:p w14:paraId="5E4A6D0F">
            <w:pPr>
              <w:pStyle w:val="44"/>
              <w:rPr>
                <w:color w:val="auto"/>
              </w:rPr>
            </w:pPr>
            <w:r>
              <w:rPr>
                <w:color w:val="auto"/>
              </w:rPr>
              <w:t>重庆华龙配件制造有限公司</w:t>
            </w:r>
          </w:p>
        </w:tc>
        <w:tc>
          <w:tcPr>
            <w:tcW w:w="915" w:type="pct"/>
            <w:vMerge w:val="continue"/>
            <w:vAlign w:val="center"/>
          </w:tcPr>
          <w:p w14:paraId="22B844AE">
            <w:pPr>
              <w:pStyle w:val="44"/>
              <w:rPr>
                <w:color w:val="auto"/>
              </w:rPr>
            </w:pPr>
          </w:p>
        </w:tc>
        <w:tc>
          <w:tcPr>
            <w:tcW w:w="592" w:type="pct"/>
            <w:noWrap/>
            <w:vAlign w:val="center"/>
          </w:tcPr>
          <w:p w14:paraId="44129B76">
            <w:pPr>
              <w:pStyle w:val="44"/>
              <w:rPr>
                <w:color w:val="auto"/>
              </w:rPr>
            </w:pPr>
            <w:r>
              <w:rPr>
                <w:color w:val="auto"/>
              </w:rPr>
              <w:t>2003年</w:t>
            </w:r>
          </w:p>
        </w:tc>
      </w:tr>
      <w:tr w14:paraId="48FB1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831A691">
            <w:pPr>
              <w:pStyle w:val="44"/>
              <w:rPr>
                <w:color w:val="auto"/>
              </w:rPr>
            </w:pPr>
            <w:r>
              <w:rPr>
                <w:color w:val="auto"/>
              </w:rPr>
              <w:t>34</w:t>
            </w:r>
          </w:p>
        </w:tc>
        <w:tc>
          <w:tcPr>
            <w:tcW w:w="530" w:type="pct"/>
            <w:vMerge w:val="continue"/>
            <w:vAlign w:val="center"/>
          </w:tcPr>
          <w:p w14:paraId="49355107">
            <w:pPr>
              <w:pStyle w:val="44"/>
              <w:rPr>
                <w:color w:val="auto"/>
              </w:rPr>
            </w:pPr>
          </w:p>
        </w:tc>
        <w:tc>
          <w:tcPr>
            <w:tcW w:w="751" w:type="pct"/>
            <w:vMerge w:val="continue"/>
            <w:vAlign w:val="center"/>
          </w:tcPr>
          <w:p w14:paraId="1710839F">
            <w:pPr>
              <w:pStyle w:val="44"/>
              <w:rPr>
                <w:color w:val="auto"/>
              </w:rPr>
            </w:pPr>
          </w:p>
        </w:tc>
        <w:tc>
          <w:tcPr>
            <w:tcW w:w="1844" w:type="pct"/>
            <w:noWrap/>
            <w:vAlign w:val="center"/>
          </w:tcPr>
          <w:p w14:paraId="207A100D">
            <w:pPr>
              <w:pStyle w:val="44"/>
              <w:rPr>
                <w:color w:val="auto"/>
              </w:rPr>
            </w:pPr>
            <w:r>
              <w:rPr>
                <w:color w:val="auto"/>
              </w:rPr>
              <w:t>重庆渝辉机械有限公司</w:t>
            </w:r>
          </w:p>
        </w:tc>
        <w:tc>
          <w:tcPr>
            <w:tcW w:w="915" w:type="pct"/>
            <w:vMerge w:val="continue"/>
            <w:vAlign w:val="center"/>
          </w:tcPr>
          <w:p w14:paraId="1F6A9C42">
            <w:pPr>
              <w:pStyle w:val="44"/>
              <w:rPr>
                <w:color w:val="auto"/>
              </w:rPr>
            </w:pPr>
          </w:p>
        </w:tc>
        <w:tc>
          <w:tcPr>
            <w:tcW w:w="592" w:type="pct"/>
            <w:noWrap/>
            <w:vAlign w:val="center"/>
          </w:tcPr>
          <w:p w14:paraId="6FDD362B">
            <w:pPr>
              <w:pStyle w:val="44"/>
              <w:rPr>
                <w:color w:val="auto"/>
              </w:rPr>
            </w:pPr>
            <w:r>
              <w:rPr>
                <w:color w:val="auto"/>
              </w:rPr>
              <w:t>2003年</w:t>
            </w:r>
          </w:p>
        </w:tc>
      </w:tr>
      <w:tr w14:paraId="63269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E88D971">
            <w:pPr>
              <w:pStyle w:val="44"/>
              <w:rPr>
                <w:color w:val="auto"/>
              </w:rPr>
            </w:pPr>
            <w:r>
              <w:rPr>
                <w:color w:val="auto"/>
              </w:rPr>
              <w:t>35</w:t>
            </w:r>
          </w:p>
        </w:tc>
        <w:tc>
          <w:tcPr>
            <w:tcW w:w="530" w:type="pct"/>
            <w:vMerge w:val="continue"/>
            <w:vAlign w:val="center"/>
          </w:tcPr>
          <w:p w14:paraId="20BAD07C">
            <w:pPr>
              <w:pStyle w:val="44"/>
              <w:rPr>
                <w:color w:val="auto"/>
              </w:rPr>
            </w:pPr>
          </w:p>
        </w:tc>
        <w:tc>
          <w:tcPr>
            <w:tcW w:w="751" w:type="pct"/>
            <w:noWrap/>
            <w:vAlign w:val="center"/>
          </w:tcPr>
          <w:p w14:paraId="71099BEA">
            <w:pPr>
              <w:pStyle w:val="44"/>
              <w:rPr>
                <w:color w:val="auto"/>
              </w:rPr>
            </w:pPr>
            <w:r>
              <w:rPr>
                <w:color w:val="auto"/>
              </w:rPr>
              <w:t>J06-08/05</w:t>
            </w:r>
          </w:p>
        </w:tc>
        <w:tc>
          <w:tcPr>
            <w:tcW w:w="1844" w:type="pct"/>
            <w:noWrap/>
            <w:vAlign w:val="center"/>
          </w:tcPr>
          <w:p w14:paraId="1D51056D">
            <w:pPr>
              <w:pStyle w:val="44"/>
              <w:rPr>
                <w:color w:val="auto"/>
              </w:rPr>
            </w:pPr>
            <w:r>
              <w:rPr>
                <w:color w:val="auto"/>
              </w:rPr>
              <w:t>重庆华岩陶瓷市场投资咨询公司</w:t>
            </w:r>
          </w:p>
        </w:tc>
        <w:tc>
          <w:tcPr>
            <w:tcW w:w="915" w:type="pct"/>
            <w:noWrap/>
            <w:vAlign w:val="center"/>
          </w:tcPr>
          <w:p w14:paraId="529395BA">
            <w:pPr>
              <w:pStyle w:val="44"/>
              <w:rPr>
                <w:color w:val="auto"/>
              </w:rPr>
            </w:pPr>
            <w:r>
              <w:rPr>
                <w:color w:val="auto"/>
              </w:rPr>
              <w:t xml:space="preserve">0.38 </w:t>
            </w:r>
          </w:p>
        </w:tc>
        <w:tc>
          <w:tcPr>
            <w:tcW w:w="592" w:type="pct"/>
            <w:noWrap/>
            <w:vAlign w:val="center"/>
          </w:tcPr>
          <w:p w14:paraId="4D442170">
            <w:pPr>
              <w:pStyle w:val="44"/>
              <w:rPr>
                <w:color w:val="auto"/>
              </w:rPr>
            </w:pPr>
            <w:r>
              <w:rPr>
                <w:color w:val="auto"/>
              </w:rPr>
              <w:t>2006年</w:t>
            </w:r>
          </w:p>
        </w:tc>
      </w:tr>
      <w:tr w14:paraId="6AC0E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955EB56">
            <w:pPr>
              <w:pStyle w:val="44"/>
              <w:rPr>
                <w:color w:val="auto"/>
              </w:rPr>
            </w:pPr>
            <w:r>
              <w:rPr>
                <w:color w:val="auto"/>
              </w:rPr>
              <w:t>36</w:t>
            </w:r>
          </w:p>
        </w:tc>
        <w:tc>
          <w:tcPr>
            <w:tcW w:w="530" w:type="pct"/>
            <w:vMerge w:val="continue"/>
            <w:vAlign w:val="center"/>
          </w:tcPr>
          <w:p w14:paraId="2D744AF5">
            <w:pPr>
              <w:pStyle w:val="44"/>
              <w:rPr>
                <w:color w:val="auto"/>
              </w:rPr>
            </w:pPr>
          </w:p>
        </w:tc>
        <w:tc>
          <w:tcPr>
            <w:tcW w:w="751" w:type="pct"/>
            <w:noWrap/>
            <w:vAlign w:val="center"/>
          </w:tcPr>
          <w:p w14:paraId="7F54616C">
            <w:pPr>
              <w:pStyle w:val="44"/>
              <w:rPr>
                <w:color w:val="auto"/>
              </w:rPr>
            </w:pPr>
            <w:r>
              <w:rPr>
                <w:color w:val="auto"/>
              </w:rPr>
              <w:t>J06-09/03</w:t>
            </w:r>
          </w:p>
        </w:tc>
        <w:tc>
          <w:tcPr>
            <w:tcW w:w="1844" w:type="pct"/>
            <w:noWrap/>
            <w:vAlign w:val="center"/>
          </w:tcPr>
          <w:p w14:paraId="2FE58CC4">
            <w:pPr>
              <w:pStyle w:val="44"/>
              <w:rPr>
                <w:color w:val="auto"/>
              </w:rPr>
            </w:pPr>
            <w:r>
              <w:rPr>
                <w:color w:val="auto"/>
              </w:rPr>
              <w:t>新华岩陶瓷市场</w:t>
            </w:r>
          </w:p>
        </w:tc>
        <w:tc>
          <w:tcPr>
            <w:tcW w:w="915" w:type="pct"/>
            <w:noWrap/>
            <w:vAlign w:val="center"/>
          </w:tcPr>
          <w:p w14:paraId="7D28079E">
            <w:pPr>
              <w:pStyle w:val="44"/>
              <w:rPr>
                <w:color w:val="auto"/>
              </w:rPr>
            </w:pPr>
            <w:r>
              <w:rPr>
                <w:color w:val="auto"/>
              </w:rPr>
              <w:t xml:space="preserve">1.67 </w:t>
            </w:r>
          </w:p>
        </w:tc>
        <w:tc>
          <w:tcPr>
            <w:tcW w:w="592" w:type="pct"/>
            <w:noWrap/>
            <w:vAlign w:val="center"/>
          </w:tcPr>
          <w:p w14:paraId="773210C2">
            <w:pPr>
              <w:pStyle w:val="44"/>
              <w:rPr>
                <w:color w:val="auto"/>
              </w:rPr>
            </w:pPr>
            <w:r>
              <w:rPr>
                <w:color w:val="auto"/>
              </w:rPr>
              <w:t>2005年</w:t>
            </w:r>
          </w:p>
        </w:tc>
      </w:tr>
      <w:tr w14:paraId="0763D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DF6C72E">
            <w:pPr>
              <w:pStyle w:val="44"/>
              <w:rPr>
                <w:color w:val="auto"/>
              </w:rPr>
            </w:pPr>
            <w:r>
              <w:rPr>
                <w:color w:val="auto"/>
              </w:rPr>
              <w:t>37</w:t>
            </w:r>
          </w:p>
        </w:tc>
        <w:tc>
          <w:tcPr>
            <w:tcW w:w="530" w:type="pct"/>
            <w:vMerge w:val="continue"/>
            <w:vAlign w:val="center"/>
          </w:tcPr>
          <w:p w14:paraId="01668B40">
            <w:pPr>
              <w:pStyle w:val="44"/>
              <w:rPr>
                <w:color w:val="auto"/>
              </w:rPr>
            </w:pPr>
          </w:p>
        </w:tc>
        <w:tc>
          <w:tcPr>
            <w:tcW w:w="751" w:type="pct"/>
            <w:noWrap/>
            <w:vAlign w:val="center"/>
          </w:tcPr>
          <w:p w14:paraId="39EC7926">
            <w:pPr>
              <w:pStyle w:val="44"/>
              <w:rPr>
                <w:color w:val="auto"/>
              </w:rPr>
            </w:pPr>
            <w:r>
              <w:rPr>
                <w:color w:val="auto"/>
              </w:rPr>
              <w:t>J06-10/04</w:t>
            </w:r>
          </w:p>
        </w:tc>
        <w:tc>
          <w:tcPr>
            <w:tcW w:w="1844" w:type="pct"/>
            <w:noWrap/>
            <w:vAlign w:val="center"/>
          </w:tcPr>
          <w:p w14:paraId="12799850">
            <w:pPr>
              <w:pStyle w:val="44"/>
              <w:rPr>
                <w:color w:val="auto"/>
              </w:rPr>
            </w:pPr>
            <w:r>
              <w:rPr>
                <w:color w:val="auto"/>
              </w:rPr>
              <w:t>新华岩陶瓷市场</w:t>
            </w:r>
          </w:p>
        </w:tc>
        <w:tc>
          <w:tcPr>
            <w:tcW w:w="915" w:type="pct"/>
            <w:noWrap/>
            <w:vAlign w:val="center"/>
          </w:tcPr>
          <w:p w14:paraId="3909A4E0">
            <w:pPr>
              <w:pStyle w:val="44"/>
              <w:rPr>
                <w:color w:val="auto"/>
              </w:rPr>
            </w:pPr>
            <w:r>
              <w:rPr>
                <w:color w:val="auto"/>
              </w:rPr>
              <w:t xml:space="preserve">0.51 </w:t>
            </w:r>
          </w:p>
        </w:tc>
        <w:tc>
          <w:tcPr>
            <w:tcW w:w="592" w:type="pct"/>
            <w:noWrap/>
            <w:vAlign w:val="center"/>
          </w:tcPr>
          <w:p w14:paraId="5A56A461">
            <w:pPr>
              <w:pStyle w:val="44"/>
              <w:rPr>
                <w:color w:val="auto"/>
              </w:rPr>
            </w:pPr>
            <w:r>
              <w:rPr>
                <w:color w:val="auto"/>
              </w:rPr>
              <w:t>2005年</w:t>
            </w:r>
          </w:p>
        </w:tc>
      </w:tr>
      <w:tr w14:paraId="25268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F00DC16">
            <w:pPr>
              <w:pStyle w:val="44"/>
              <w:rPr>
                <w:color w:val="auto"/>
              </w:rPr>
            </w:pPr>
            <w:r>
              <w:rPr>
                <w:color w:val="auto"/>
              </w:rPr>
              <w:t>38</w:t>
            </w:r>
          </w:p>
        </w:tc>
        <w:tc>
          <w:tcPr>
            <w:tcW w:w="530" w:type="pct"/>
            <w:vMerge w:val="continue"/>
            <w:vAlign w:val="center"/>
          </w:tcPr>
          <w:p w14:paraId="18789F32">
            <w:pPr>
              <w:pStyle w:val="44"/>
              <w:rPr>
                <w:color w:val="auto"/>
              </w:rPr>
            </w:pPr>
          </w:p>
        </w:tc>
        <w:tc>
          <w:tcPr>
            <w:tcW w:w="751" w:type="pct"/>
            <w:noWrap/>
            <w:vAlign w:val="center"/>
          </w:tcPr>
          <w:p w14:paraId="100BA747">
            <w:pPr>
              <w:pStyle w:val="44"/>
              <w:rPr>
                <w:color w:val="auto"/>
              </w:rPr>
            </w:pPr>
            <w:r>
              <w:rPr>
                <w:color w:val="auto"/>
              </w:rPr>
              <w:t>J06-15/03</w:t>
            </w:r>
          </w:p>
        </w:tc>
        <w:tc>
          <w:tcPr>
            <w:tcW w:w="1844" w:type="pct"/>
            <w:noWrap/>
            <w:vAlign w:val="center"/>
          </w:tcPr>
          <w:p w14:paraId="1ACC92C8">
            <w:pPr>
              <w:pStyle w:val="44"/>
              <w:rPr>
                <w:color w:val="auto"/>
              </w:rPr>
            </w:pPr>
            <w:r>
              <w:rPr>
                <w:color w:val="auto"/>
              </w:rPr>
              <w:t>友方医院</w:t>
            </w:r>
          </w:p>
        </w:tc>
        <w:tc>
          <w:tcPr>
            <w:tcW w:w="915" w:type="pct"/>
            <w:noWrap/>
            <w:vAlign w:val="center"/>
          </w:tcPr>
          <w:p w14:paraId="70BB2803">
            <w:pPr>
              <w:pStyle w:val="44"/>
              <w:rPr>
                <w:color w:val="auto"/>
              </w:rPr>
            </w:pPr>
            <w:r>
              <w:rPr>
                <w:color w:val="auto"/>
              </w:rPr>
              <w:t xml:space="preserve">0.67 </w:t>
            </w:r>
          </w:p>
        </w:tc>
        <w:tc>
          <w:tcPr>
            <w:tcW w:w="592" w:type="pct"/>
            <w:noWrap/>
            <w:vAlign w:val="center"/>
          </w:tcPr>
          <w:p w14:paraId="59CDF8E2">
            <w:pPr>
              <w:pStyle w:val="44"/>
              <w:rPr>
                <w:color w:val="auto"/>
              </w:rPr>
            </w:pPr>
            <w:r>
              <w:rPr>
                <w:color w:val="auto"/>
              </w:rPr>
              <w:t>2002年</w:t>
            </w:r>
          </w:p>
        </w:tc>
      </w:tr>
      <w:tr w14:paraId="66E2E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F55BC26">
            <w:pPr>
              <w:pStyle w:val="44"/>
              <w:rPr>
                <w:color w:val="auto"/>
              </w:rPr>
            </w:pPr>
            <w:r>
              <w:rPr>
                <w:color w:val="auto"/>
              </w:rPr>
              <w:t>39</w:t>
            </w:r>
          </w:p>
        </w:tc>
        <w:tc>
          <w:tcPr>
            <w:tcW w:w="530" w:type="pct"/>
            <w:vMerge w:val="continue"/>
            <w:vAlign w:val="center"/>
          </w:tcPr>
          <w:p w14:paraId="161EF398">
            <w:pPr>
              <w:pStyle w:val="44"/>
              <w:rPr>
                <w:color w:val="auto"/>
              </w:rPr>
            </w:pPr>
          </w:p>
        </w:tc>
        <w:tc>
          <w:tcPr>
            <w:tcW w:w="751" w:type="pct"/>
            <w:noWrap/>
            <w:vAlign w:val="center"/>
          </w:tcPr>
          <w:p w14:paraId="6D324201">
            <w:pPr>
              <w:pStyle w:val="44"/>
              <w:rPr>
                <w:color w:val="auto"/>
              </w:rPr>
            </w:pPr>
            <w:r>
              <w:rPr>
                <w:color w:val="auto"/>
              </w:rPr>
              <w:t>J06-16/03</w:t>
            </w:r>
          </w:p>
        </w:tc>
        <w:tc>
          <w:tcPr>
            <w:tcW w:w="1844" w:type="pct"/>
            <w:noWrap/>
            <w:vAlign w:val="center"/>
          </w:tcPr>
          <w:p w14:paraId="48560146">
            <w:pPr>
              <w:pStyle w:val="44"/>
              <w:rPr>
                <w:color w:val="auto"/>
              </w:rPr>
            </w:pPr>
            <w:r>
              <w:rPr>
                <w:color w:val="auto"/>
              </w:rPr>
              <w:t>西苑六号</w:t>
            </w:r>
          </w:p>
        </w:tc>
        <w:tc>
          <w:tcPr>
            <w:tcW w:w="915" w:type="pct"/>
            <w:noWrap/>
            <w:vAlign w:val="center"/>
          </w:tcPr>
          <w:p w14:paraId="663F7359">
            <w:pPr>
              <w:pStyle w:val="44"/>
              <w:rPr>
                <w:color w:val="auto"/>
              </w:rPr>
            </w:pPr>
            <w:r>
              <w:rPr>
                <w:color w:val="auto"/>
              </w:rPr>
              <w:t xml:space="preserve">1.28 </w:t>
            </w:r>
          </w:p>
        </w:tc>
        <w:tc>
          <w:tcPr>
            <w:tcW w:w="592" w:type="pct"/>
            <w:noWrap/>
            <w:vAlign w:val="center"/>
          </w:tcPr>
          <w:p w14:paraId="4E03CB16">
            <w:pPr>
              <w:pStyle w:val="44"/>
              <w:rPr>
                <w:color w:val="auto"/>
              </w:rPr>
            </w:pPr>
            <w:r>
              <w:rPr>
                <w:color w:val="auto"/>
              </w:rPr>
              <w:t>2012年</w:t>
            </w:r>
          </w:p>
        </w:tc>
      </w:tr>
      <w:tr w14:paraId="3B770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00E942F">
            <w:pPr>
              <w:pStyle w:val="44"/>
              <w:rPr>
                <w:color w:val="auto"/>
              </w:rPr>
            </w:pPr>
            <w:r>
              <w:rPr>
                <w:color w:val="auto"/>
              </w:rPr>
              <w:t>40</w:t>
            </w:r>
          </w:p>
        </w:tc>
        <w:tc>
          <w:tcPr>
            <w:tcW w:w="530" w:type="pct"/>
            <w:vMerge w:val="continue"/>
            <w:vAlign w:val="center"/>
          </w:tcPr>
          <w:p w14:paraId="41949CAC">
            <w:pPr>
              <w:pStyle w:val="44"/>
              <w:rPr>
                <w:color w:val="auto"/>
              </w:rPr>
            </w:pPr>
          </w:p>
        </w:tc>
        <w:tc>
          <w:tcPr>
            <w:tcW w:w="751" w:type="pct"/>
            <w:noWrap/>
            <w:vAlign w:val="center"/>
          </w:tcPr>
          <w:p w14:paraId="178E3AA3">
            <w:pPr>
              <w:pStyle w:val="44"/>
              <w:rPr>
                <w:color w:val="auto"/>
              </w:rPr>
            </w:pPr>
            <w:r>
              <w:rPr>
                <w:color w:val="auto"/>
              </w:rPr>
              <w:t>J06-17/03</w:t>
            </w:r>
          </w:p>
        </w:tc>
        <w:tc>
          <w:tcPr>
            <w:tcW w:w="1844" w:type="pct"/>
            <w:noWrap/>
            <w:vAlign w:val="center"/>
          </w:tcPr>
          <w:p w14:paraId="50CFAD56">
            <w:pPr>
              <w:pStyle w:val="44"/>
              <w:rPr>
                <w:color w:val="auto"/>
              </w:rPr>
            </w:pPr>
            <w:r>
              <w:rPr>
                <w:color w:val="auto"/>
              </w:rPr>
              <w:t>西苑六号</w:t>
            </w:r>
          </w:p>
        </w:tc>
        <w:tc>
          <w:tcPr>
            <w:tcW w:w="915" w:type="pct"/>
            <w:noWrap/>
            <w:vAlign w:val="center"/>
          </w:tcPr>
          <w:p w14:paraId="3CA56660">
            <w:pPr>
              <w:pStyle w:val="44"/>
              <w:rPr>
                <w:color w:val="auto"/>
              </w:rPr>
            </w:pPr>
            <w:r>
              <w:rPr>
                <w:color w:val="auto"/>
              </w:rPr>
              <w:t xml:space="preserve">1.54 </w:t>
            </w:r>
          </w:p>
        </w:tc>
        <w:tc>
          <w:tcPr>
            <w:tcW w:w="592" w:type="pct"/>
            <w:noWrap/>
            <w:vAlign w:val="center"/>
          </w:tcPr>
          <w:p w14:paraId="03730376">
            <w:pPr>
              <w:pStyle w:val="44"/>
              <w:rPr>
                <w:color w:val="auto"/>
              </w:rPr>
            </w:pPr>
            <w:r>
              <w:rPr>
                <w:color w:val="auto"/>
              </w:rPr>
              <w:t>2012年</w:t>
            </w:r>
          </w:p>
        </w:tc>
      </w:tr>
      <w:tr w14:paraId="3AB43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8F6A623">
            <w:pPr>
              <w:pStyle w:val="44"/>
              <w:rPr>
                <w:color w:val="auto"/>
              </w:rPr>
            </w:pPr>
            <w:r>
              <w:rPr>
                <w:color w:val="auto"/>
              </w:rPr>
              <w:t>41</w:t>
            </w:r>
          </w:p>
        </w:tc>
        <w:tc>
          <w:tcPr>
            <w:tcW w:w="530" w:type="pct"/>
            <w:vMerge w:val="continue"/>
            <w:vAlign w:val="center"/>
          </w:tcPr>
          <w:p w14:paraId="7D6A576B">
            <w:pPr>
              <w:pStyle w:val="44"/>
              <w:rPr>
                <w:color w:val="auto"/>
              </w:rPr>
            </w:pPr>
          </w:p>
        </w:tc>
        <w:tc>
          <w:tcPr>
            <w:tcW w:w="751" w:type="pct"/>
            <w:noWrap/>
            <w:vAlign w:val="center"/>
          </w:tcPr>
          <w:p w14:paraId="2327638B">
            <w:pPr>
              <w:pStyle w:val="44"/>
              <w:rPr>
                <w:color w:val="auto"/>
              </w:rPr>
            </w:pPr>
            <w:r>
              <w:rPr>
                <w:color w:val="auto"/>
              </w:rPr>
              <w:t>J09-07/03</w:t>
            </w:r>
          </w:p>
        </w:tc>
        <w:tc>
          <w:tcPr>
            <w:tcW w:w="1844" w:type="pct"/>
            <w:noWrap/>
            <w:vAlign w:val="center"/>
          </w:tcPr>
          <w:p w14:paraId="3AFB6768">
            <w:pPr>
              <w:pStyle w:val="44"/>
              <w:rPr>
                <w:color w:val="auto"/>
              </w:rPr>
            </w:pPr>
            <w:r>
              <w:rPr>
                <w:color w:val="auto"/>
              </w:rPr>
              <w:t>金科阳光小区配套商业</w:t>
            </w:r>
          </w:p>
        </w:tc>
        <w:tc>
          <w:tcPr>
            <w:tcW w:w="915" w:type="pct"/>
            <w:noWrap/>
            <w:vAlign w:val="center"/>
          </w:tcPr>
          <w:p w14:paraId="6680D56A">
            <w:pPr>
              <w:pStyle w:val="44"/>
              <w:rPr>
                <w:color w:val="auto"/>
              </w:rPr>
            </w:pPr>
            <w:r>
              <w:rPr>
                <w:color w:val="auto"/>
              </w:rPr>
              <w:t xml:space="preserve">0.09 </w:t>
            </w:r>
          </w:p>
        </w:tc>
        <w:tc>
          <w:tcPr>
            <w:tcW w:w="592" w:type="pct"/>
            <w:noWrap/>
            <w:vAlign w:val="center"/>
          </w:tcPr>
          <w:p w14:paraId="589FD82B">
            <w:pPr>
              <w:pStyle w:val="44"/>
              <w:rPr>
                <w:color w:val="auto"/>
              </w:rPr>
            </w:pPr>
            <w:r>
              <w:rPr>
                <w:color w:val="auto"/>
              </w:rPr>
              <w:t>2002年</w:t>
            </w:r>
          </w:p>
        </w:tc>
      </w:tr>
      <w:tr w14:paraId="02BB6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72CAD1D">
            <w:pPr>
              <w:pStyle w:val="44"/>
              <w:rPr>
                <w:color w:val="auto"/>
              </w:rPr>
            </w:pPr>
            <w:r>
              <w:rPr>
                <w:color w:val="auto"/>
              </w:rPr>
              <w:t>42</w:t>
            </w:r>
          </w:p>
        </w:tc>
        <w:tc>
          <w:tcPr>
            <w:tcW w:w="530" w:type="pct"/>
            <w:vMerge w:val="continue"/>
            <w:vAlign w:val="center"/>
          </w:tcPr>
          <w:p w14:paraId="20D5B613">
            <w:pPr>
              <w:pStyle w:val="44"/>
              <w:rPr>
                <w:color w:val="auto"/>
              </w:rPr>
            </w:pPr>
          </w:p>
        </w:tc>
        <w:tc>
          <w:tcPr>
            <w:tcW w:w="751" w:type="pct"/>
            <w:vMerge w:val="restart"/>
            <w:noWrap/>
            <w:vAlign w:val="center"/>
          </w:tcPr>
          <w:p w14:paraId="39446CA4">
            <w:pPr>
              <w:pStyle w:val="44"/>
              <w:rPr>
                <w:color w:val="auto"/>
              </w:rPr>
            </w:pPr>
            <w:r>
              <w:rPr>
                <w:color w:val="auto"/>
              </w:rPr>
              <w:t xml:space="preserve">J03-02/02 </w:t>
            </w:r>
          </w:p>
        </w:tc>
        <w:tc>
          <w:tcPr>
            <w:tcW w:w="1844" w:type="pct"/>
            <w:noWrap/>
            <w:vAlign w:val="center"/>
          </w:tcPr>
          <w:p w14:paraId="63109131">
            <w:pPr>
              <w:pStyle w:val="44"/>
              <w:rPr>
                <w:color w:val="auto"/>
              </w:rPr>
            </w:pPr>
            <w:r>
              <w:rPr>
                <w:color w:val="auto"/>
              </w:rPr>
              <w:t>重庆市田坝中学</w:t>
            </w:r>
          </w:p>
        </w:tc>
        <w:tc>
          <w:tcPr>
            <w:tcW w:w="915" w:type="pct"/>
            <w:vMerge w:val="restart"/>
            <w:noWrap/>
            <w:vAlign w:val="center"/>
          </w:tcPr>
          <w:p w14:paraId="6120198A">
            <w:pPr>
              <w:pStyle w:val="44"/>
              <w:rPr>
                <w:color w:val="auto"/>
              </w:rPr>
            </w:pPr>
            <w:r>
              <w:rPr>
                <w:color w:val="auto"/>
              </w:rPr>
              <w:t xml:space="preserve">1.56 </w:t>
            </w:r>
          </w:p>
        </w:tc>
        <w:tc>
          <w:tcPr>
            <w:tcW w:w="592" w:type="pct"/>
            <w:noWrap/>
            <w:vAlign w:val="center"/>
          </w:tcPr>
          <w:p w14:paraId="4E78174F">
            <w:pPr>
              <w:pStyle w:val="44"/>
              <w:rPr>
                <w:color w:val="auto"/>
              </w:rPr>
            </w:pPr>
            <w:r>
              <w:rPr>
                <w:color w:val="auto"/>
              </w:rPr>
              <w:t>2003年</w:t>
            </w:r>
          </w:p>
        </w:tc>
      </w:tr>
      <w:tr w14:paraId="698CA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563272A">
            <w:pPr>
              <w:pStyle w:val="44"/>
              <w:rPr>
                <w:color w:val="auto"/>
              </w:rPr>
            </w:pPr>
            <w:r>
              <w:rPr>
                <w:color w:val="auto"/>
              </w:rPr>
              <w:t>43</w:t>
            </w:r>
          </w:p>
        </w:tc>
        <w:tc>
          <w:tcPr>
            <w:tcW w:w="530" w:type="pct"/>
            <w:vMerge w:val="continue"/>
            <w:vAlign w:val="center"/>
          </w:tcPr>
          <w:p w14:paraId="3ECB6ED6">
            <w:pPr>
              <w:pStyle w:val="44"/>
              <w:rPr>
                <w:color w:val="auto"/>
              </w:rPr>
            </w:pPr>
          </w:p>
        </w:tc>
        <w:tc>
          <w:tcPr>
            <w:tcW w:w="751" w:type="pct"/>
            <w:vMerge w:val="continue"/>
            <w:vAlign w:val="center"/>
          </w:tcPr>
          <w:p w14:paraId="5506C8D7">
            <w:pPr>
              <w:pStyle w:val="44"/>
              <w:rPr>
                <w:color w:val="auto"/>
              </w:rPr>
            </w:pPr>
          </w:p>
        </w:tc>
        <w:tc>
          <w:tcPr>
            <w:tcW w:w="1844" w:type="pct"/>
            <w:noWrap/>
            <w:vAlign w:val="center"/>
          </w:tcPr>
          <w:p w14:paraId="1178D71B">
            <w:pPr>
              <w:pStyle w:val="44"/>
              <w:rPr>
                <w:color w:val="auto"/>
              </w:rPr>
            </w:pPr>
            <w:r>
              <w:rPr>
                <w:color w:val="auto"/>
              </w:rPr>
              <w:t>华岩新城中心幼儿园</w:t>
            </w:r>
          </w:p>
        </w:tc>
        <w:tc>
          <w:tcPr>
            <w:tcW w:w="915" w:type="pct"/>
            <w:vMerge w:val="continue"/>
            <w:vAlign w:val="center"/>
          </w:tcPr>
          <w:p w14:paraId="717E376B">
            <w:pPr>
              <w:pStyle w:val="44"/>
              <w:rPr>
                <w:color w:val="auto"/>
              </w:rPr>
            </w:pPr>
          </w:p>
        </w:tc>
        <w:tc>
          <w:tcPr>
            <w:tcW w:w="592" w:type="pct"/>
            <w:noWrap/>
            <w:vAlign w:val="center"/>
          </w:tcPr>
          <w:p w14:paraId="7B1B59B7">
            <w:pPr>
              <w:pStyle w:val="44"/>
              <w:rPr>
                <w:color w:val="auto"/>
              </w:rPr>
            </w:pPr>
            <w:r>
              <w:rPr>
                <w:color w:val="auto"/>
              </w:rPr>
              <w:t>2003年</w:t>
            </w:r>
          </w:p>
        </w:tc>
      </w:tr>
      <w:tr w14:paraId="5F4CF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6545928">
            <w:pPr>
              <w:pStyle w:val="44"/>
              <w:rPr>
                <w:color w:val="auto"/>
              </w:rPr>
            </w:pPr>
            <w:r>
              <w:rPr>
                <w:color w:val="auto"/>
              </w:rPr>
              <w:t>44</w:t>
            </w:r>
          </w:p>
        </w:tc>
        <w:tc>
          <w:tcPr>
            <w:tcW w:w="530" w:type="pct"/>
            <w:vMerge w:val="continue"/>
            <w:vAlign w:val="center"/>
          </w:tcPr>
          <w:p w14:paraId="3DD4E4AC">
            <w:pPr>
              <w:pStyle w:val="44"/>
              <w:rPr>
                <w:color w:val="auto"/>
              </w:rPr>
            </w:pPr>
          </w:p>
        </w:tc>
        <w:tc>
          <w:tcPr>
            <w:tcW w:w="751" w:type="pct"/>
            <w:noWrap/>
            <w:vAlign w:val="center"/>
          </w:tcPr>
          <w:p w14:paraId="430C4B74">
            <w:pPr>
              <w:pStyle w:val="44"/>
              <w:rPr>
                <w:color w:val="auto"/>
              </w:rPr>
            </w:pPr>
            <w:r>
              <w:rPr>
                <w:color w:val="auto"/>
              </w:rPr>
              <w:t>J06-05/04</w:t>
            </w:r>
          </w:p>
        </w:tc>
        <w:tc>
          <w:tcPr>
            <w:tcW w:w="1844" w:type="pct"/>
            <w:noWrap/>
            <w:vAlign w:val="center"/>
          </w:tcPr>
          <w:p w14:paraId="5165429E">
            <w:pPr>
              <w:pStyle w:val="44"/>
              <w:rPr>
                <w:color w:val="auto"/>
              </w:rPr>
            </w:pPr>
            <w:r>
              <w:rPr>
                <w:color w:val="auto"/>
              </w:rPr>
              <w:t>聪聪物流</w:t>
            </w:r>
          </w:p>
        </w:tc>
        <w:tc>
          <w:tcPr>
            <w:tcW w:w="915" w:type="pct"/>
            <w:noWrap/>
            <w:vAlign w:val="center"/>
          </w:tcPr>
          <w:p w14:paraId="4F1F1BD1">
            <w:pPr>
              <w:pStyle w:val="44"/>
              <w:rPr>
                <w:color w:val="auto"/>
              </w:rPr>
            </w:pPr>
            <w:r>
              <w:rPr>
                <w:color w:val="auto"/>
              </w:rPr>
              <w:t xml:space="preserve">1.42 </w:t>
            </w:r>
          </w:p>
        </w:tc>
        <w:tc>
          <w:tcPr>
            <w:tcW w:w="592" w:type="pct"/>
            <w:noWrap/>
            <w:vAlign w:val="center"/>
          </w:tcPr>
          <w:p w14:paraId="74675537">
            <w:pPr>
              <w:pStyle w:val="44"/>
              <w:rPr>
                <w:color w:val="auto"/>
              </w:rPr>
            </w:pPr>
            <w:r>
              <w:rPr>
                <w:color w:val="auto"/>
              </w:rPr>
              <w:t>2006年</w:t>
            </w:r>
          </w:p>
        </w:tc>
      </w:tr>
      <w:tr w14:paraId="27A1F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5603C80">
            <w:pPr>
              <w:pStyle w:val="44"/>
              <w:rPr>
                <w:color w:val="auto"/>
              </w:rPr>
            </w:pPr>
            <w:r>
              <w:rPr>
                <w:color w:val="auto"/>
              </w:rPr>
              <w:t>45</w:t>
            </w:r>
          </w:p>
        </w:tc>
        <w:tc>
          <w:tcPr>
            <w:tcW w:w="530" w:type="pct"/>
            <w:vMerge w:val="continue"/>
            <w:vAlign w:val="center"/>
          </w:tcPr>
          <w:p w14:paraId="117FDD71">
            <w:pPr>
              <w:pStyle w:val="44"/>
              <w:rPr>
                <w:color w:val="auto"/>
              </w:rPr>
            </w:pPr>
          </w:p>
        </w:tc>
        <w:tc>
          <w:tcPr>
            <w:tcW w:w="751" w:type="pct"/>
            <w:noWrap/>
            <w:vAlign w:val="center"/>
          </w:tcPr>
          <w:p w14:paraId="3D471FC3">
            <w:pPr>
              <w:pStyle w:val="44"/>
              <w:rPr>
                <w:color w:val="auto"/>
              </w:rPr>
            </w:pPr>
            <w:r>
              <w:rPr>
                <w:color w:val="auto"/>
              </w:rPr>
              <w:t>J06-06/04</w:t>
            </w:r>
          </w:p>
        </w:tc>
        <w:tc>
          <w:tcPr>
            <w:tcW w:w="1844" w:type="pct"/>
            <w:noWrap/>
            <w:vAlign w:val="center"/>
          </w:tcPr>
          <w:p w14:paraId="39C01230">
            <w:pPr>
              <w:pStyle w:val="44"/>
              <w:rPr>
                <w:color w:val="auto"/>
              </w:rPr>
            </w:pPr>
            <w:r>
              <w:rPr>
                <w:color w:val="auto"/>
              </w:rPr>
              <w:t>田坝消防队</w:t>
            </w:r>
          </w:p>
        </w:tc>
        <w:tc>
          <w:tcPr>
            <w:tcW w:w="915" w:type="pct"/>
            <w:noWrap/>
            <w:vAlign w:val="center"/>
          </w:tcPr>
          <w:p w14:paraId="18182D5C">
            <w:pPr>
              <w:pStyle w:val="44"/>
              <w:rPr>
                <w:color w:val="auto"/>
              </w:rPr>
            </w:pPr>
            <w:r>
              <w:rPr>
                <w:color w:val="auto"/>
              </w:rPr>
              <w:t xml:space="preserve">0.46 </w:t>
            </w:r>
          </w:p>
        </w:tc>
        <w:tc>
          <w:tcPr>
            <w:tcW w:w="592" w:type="pct"/>
            <w:noWrap/>
            <w:vAlign w:val="center"/>
          </w:tcPr>
          <w:p w14:paraId="6323DFB4">
            <w:pPr>
              <w:pStyle w:val="44"/>
              <w:rPr>
                <w:color w:val="auto"/>
              </w:rPr>
            </w:pPr>
            <w:r>
              <w:rPr>
                <w:color w:val="auto"/>
              </w:rPr>
              <w:t>2003年</w:t>
            </w:r>
          </w:p>
        </w:tc>
      </w:tr>
      <w:tr w14:paraId="6E696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18C1978">
            <w:pPr>
              <w:pStyle w:val="44"/>
              <w:rPr>
                <w:color w:val="auto"/>
              </w:rPr>
            </w:pPr>
            <w:r>
              <w:rPr>
                <w:color w:val="auto"/>
              </w:rPr>
              <w:t>46</w:t>
            </w:r>
          </w:p>
        </w:tc>
        <w:tc>
          <w:tcPr>
            <w:tcW w:w="530" w:type="pct"/>
            <w:vMerge w:val="continue"/>
            <w:vAlign w:val="center"/>
          </w:tcPr>
          <w:p w14:paraId="1F67A219">
            <w:pPr>
              <w:pStyle w:val="44"/>
              <w:rPr>
                <w:color w:val="auto"/>
              </w:rPr>
            </w:pPr>
          </w:p>
        </w:tc>
        <w:tc>
          <w:tcPr>
            <w:tcW w:w="751" w:type="pct"/>
            <w:noWrap/>
            <w:vAlign w:val="center"/>
          </w:tcPr>
          <w:p w14:paraId="575AD3C9">
            <w:pPr>
              <w:pStyle w:val="44"/>
              <w:rPr>
                <w:color w:val="auto"/>
              </w:rPr>
            </w:pPr>
            <w:r>
              <w:rPr>
                <w:color w:val="auto"/>
              </w:rPr>
              <w:t>J06-13/04</w:t>
            </w:r>
          </w:p>
        </w:tc>
        <w:tc>
          <w:tcPr>
            <w:tcW w:w="1844" w:type="pct"/>
            <w:noWrap/>
            <w:vAlign w:val="center"/>
          </w:tcPr>
          <w:p w14:paraId="161455A8">
            <w:pPr>
              <w:pStyle w:val="44"/>
              <w:rPr>
                <w:color w:val="auto"/>
              </w:rPr>
            </w:pPr>
            <w:r>
              <w:rPr>
                <w:color w:val="auto"/>
              </w:rPr>
              <w:t>国网华岩110KV变电站</w:t>
            </w:r>
          </w:p>
        </w:tc>
        <w:tc>
          <w:tcPr>
            <w:tcW w:w="915" w:type="pct"/>
            <w:noWrap/>
            <w:vAlign w:val="center"/>
          </w:tcPr>
          <w:p w14:paraId="52ADAB8D">
            <w:pPr>
              <w:pStyle w:val="44"/>
              <w:rPr>
                <w:color w:val="auto"/>
              </w:rPr>
            </w:pPr>
            <w:r>
              <w:rPr>
                <w:color w:val="auto"/>
              </w:rPr>
              <w:t xml:space="preserve">0.85 </w:t>
            </w:r>
          </w:p>
        </w:tc>
        <w:tc>
          <w:tcPr>
            <w:tcW w:w="592" w:type="pct"/>
            <w:noWrap/>
            <w:vAlign w:val="center"/>
          </w:tcPr>
          <w:p w14:paraId="18B59B11">
            <w:pPr>
              <w:pStyle w:val="44"/>
              <w:rPr>
                <w:color w:val="auto"/>
              </w:rPr>
            </w:pPr>
            <w:r>
              <w:rPr>
                <w:color w:val="auto"/>
              </w:rPr>
              <w:t>2006年</w:t>
            </w:r>
          </w:p>
        </w:tc>
      </w:tr>
      <w:tr w14:paraId="005A2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C0E74D3">
            <w:pPr>
              <w:pStyle w:val="44"/>
              <w:rPr>
                <w:color w:val="auto"/>
              </w:rPr>
            </w:pPr>
            <w:r>
              <w:rPr>
                <w:color w:val="auto"/>
              </w:rPr>
              <w:t>合计</w:t>
            </w:r>
          </w:p>
        </w:tc>
        <w:tc>
          <w:tcPr>
            <w:tcW w:w="530" w:type="pct"/>
            <w:vMerge w:val="continue"/>
            <w:vAlign w:val="center"/>
          </w:tcPr>
          <w:p w14:paraId="4AA5B31D">
            <w:pPr>
              <w:pStyle w:val="44"/>
              <w:rPr>
                <w:color w:val="auto"/>
              </w:rPr>
            </w:pPr>
          </w:p>
        </w:tc>
        <w:tc>
          <w:tcPr>
            <w:tcW w:w="751" w:type="pct"/>
            <w:noWrap/>
            <w:vAlign w:val="center"/>
          </w:tcPr>
          <w:p w14:paraId="2F78A263">
            <w:pPr>
              <w:pStyle w:val="44"/>
              <w:rPr>
                <w:color w:val="auto"/>
              </w:rPr>
            </w:pPr>
            <w:r>
              <w:rPr>
                <w:color w:val="auto"/>
              </w:rPr>
              <w:t>　</w:t>
            </w:r>
          </w:p>
        </w:tc>
        <w:tc>
          <w:tcPr>
            <w:tcW w:w="1844" w:type="pct"/>
            <w:noWrap/>
            <w:vAlign w:val="center"/>
          </w:tcPr>
          <w:p w14:paraId="4F62FD64">
            <w:pPr>
              <w:pStyle w:val="44"/>
              <w:rPr>
                <w:color w:val="auto"/>
              </w:rPr>
            </w:pPr>
            <w:r>
              <w:rPr>
                <w:color w:val="auto"/>
              </w:rPr>
              <w:t>　</w:t>
            </w:r>
          </w:p>
        </w:tc>
        <w:tc>
          <w:tcPr>
            <w:tcW w:w="915" w:type="pct"/>
            <w:noWrap/>
            <w:vAlign w:val="center"/>
          </w:tcPr>
          <w:p w14:paraId="39F7C923">
            <w:pPr>
              <w:pStyle w:val="44"/>
              <w:rPr>
                <w:color w:val="auto"/>
              </w:rPr>
            </w:pPr>
            <w:r>
              <w:rPr>
                <w:color w:val="auto"/>
              </w:rPr>
              <w:t xml:space="preserve">64.28 </w:t>
            </w:r>
          </w:p>
        </w:tc>
        <w:tc>
          <w:tcPr>
            <w:tcW w:w="592" w:type="pct"/>
            <w:noWrap/>
            <w:vAlign w:val="center"/>
          </w:tcPr>
          <w:p w14:paraId="7EF01646">
            <w:pPr>
              <w:pStyle w:val="44"/>
              <w:rPr>
                <w:color w:val="auto"/>
              </w:rPr>
            </w:pPr>
            <w:r>
              <w:rPr>
                <w:color w:val="auto"/>
              </w:rPr>
              <w:t>　</w:t>
            </w:r>
          </w:p>
        </w:tc>
      </w:tr>
      <w:tr w14:paraId="29807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C9826B1">
            <w:pPr>
              <w:pStyle w:val="44"/>
              <w:rPr>
                <w:color w:val="auto"/>
              </w:rPr>
            </w:pPr>
            <w:r>
              <w:rPr>
                <w:color w:val="auto"/>
              </w:rPr>
              <w:t>1</w:t>
            </w:r>
          </w:p>
        </w:tc>
        <w:tc>
          <w:tcPr>
            <w:tcW w:w="530" w:type="pct"/>
            <w:vMerge w:val="restart"/>
            <w:vAlign w:val="center"/>
          </w:tcPr>
          <w:p w14:paraId="668F6302">
            <w:pPr>
              <w:pStyle w:val="44"/>
              <w:rPr>
                <w:color w:val="auto"/>
              </w:rPr>
            </w:pPr>
            <w:r>
              <w:rPr>
                <w:color w:val="auto"/>
              </w:rPr>
              <w:t>大渡口D标准分区</w:t>
            </w:r>
          </w:p>
        </w:tc>
        <w:tc>
          <w:tcPr>
            <w:tcW w:w="751" w:type="pct"/>
            <w:noWrap/>
            <w:vAlign w:val="center"/>
          </w:tcPr>
          <w:p w14:paraId="4A9B1543">
            <w:pPr>
              <w:pStyle w:val="44"/>
              <w:rPr>
                <w:color w:val="auto"/>
              </w:rPr>
            </w:pPr>
            <w:r>
              <w:rPr>
                <w:color w:val="auto"/>
              </w:rPr>
              <w:t>D1-3/05</w:t>
            </w:r>
          </w:p>
        </w:tc>
        <w:tc>
          <w:tcPr>
            <w:tcW w:w="1844" w:type="pct"/>
            <w:noWrap/>
            <w:vAlign w:val="center"/>
          </w:tcPr>
          <w:p w14:paraId="0A532EF2">
            <w:pPr>
              <w:pStyle w:val="44"/>
              <w:rPr>
                <w:color w:val="auto"/>
              </w:rPr>
            </w:pPr>
            <w:r>
              <w:rPr>
                <w:color w:val="auto"/>
              </w:rPr>
              <w:t>双山世家小区</w:t>
            </w:r>
          </w:p>
        </w:tc>
        <w:tc>
          <w:tcPr>
            <w:tcW w:w="915" w:type="pct"/>
            <w:noWrap/>
            <w:vAlign w:val="center"/>
          </w:tcPr>
          <w:p w14:paraId="4CDC347A">
            <w:pPr>
              <w:pStyle w:val="44"/>
              <w:rPr>
                <w:color w:val="auto"/>
              </w:rPr>
            </w:pPr>
            <w:r>
              <w:rPr>
                <w:color w:val="auto"/>
              </w:rPr>
              <w:t xml:space="preserve">0.80 </w:t>
            </w:r>
          </w:p>
        </w:tc>
        <w:tc>
          <w:tcPr>
            <w:tcW w:w="592" w:type="pct"/>
            <w:noWrap/>
            <w:vAlign w:val="center"/>
          </w:tcPr>
          <w:p w14:paraId="5FC8136C">
            <w:pPr>
              <w:pStyle w:val="44"/>
              <w:rPr>
                <w:color w:val="auto"/>
              </w:rPr>
            </w:pPr>
            <w:r>
              <w:rPr>
                <w:color w:val="auto"/>
              </w:rPr>
              <w:t>2002年</w:t>
            </w:r>
          </w:p>
        </w:tc>
      </w:tr>
      <w:tr w14:paraId="27C46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0D2B508">
            <w:pPr>
              <w:pStyle w:val="44"/>
              <w:rPr>
                <w:color w:val="auto"/>
              </w:rPr>
            </w:pPr>
            <w:r>
              <w:rPr>
                <w:color w:val="auto"/>
              </w:rPr>
              <w:t>2</w:t>
            </w:r>
          </w:p>
        </w:tc>
        <w:tc>
          <w:tcPr>
            <w:tcW w:w="530" w:type="pct"/>
            <w:vMerge w:val="continue"/>
            <w:vAlign w:val="center"/>
          </w:tcPr>
          <w:p w14:paraId="406DDFB6">
            <w:pPr>
              <w:pStyle w:val="44"/>
              <w:rPr>
                <w:color w:val="auto"/>
              </w:rPr>
            </w:pPr>
          </w:p>
        </w:tc>
        <w:tc>
          <w:tcPr>
            <w:tcW w:w="751" w:type="pct"/>
            <w:noWrap/>
            <w:vAlign w:val="center"/>
          </w:tcPr>
          <w:p w14:paraId="0B3D2AA8">
            <w:pPr>
              <w:pStyle w:val="44"/>
              <w:rPr>
                <w:color w:val="auto"/>
              </w:rPr>
            </w:pPr>
            <w:r>
              <w:rPr>
                <w:color w:val="auto"/>
              </w:rPr>
              <w:t>D2-2-2/03</w:t>
            </w:r>
          </w:p>
        </w:tc>
        <w:tc>
          <w:tcPr>
            <w:tcW w:w="1844" w:type="pct"/>
            <w:noWrap/>
            <w:vAlign w:val="center"/>
          </w:tcPr>
          <w:p w14:paraId="6AB23AFF">
            <w:pPr>
              <w:pStyle w:val="44"/>
              <w:rPr>
                <w:color w:val="auto"/>
              </w:rPr>
            </w:pPr>
            <w:r>
              <w:rPr>
                <w:color w:val="auto"/>
              </w:rPr>
              <w:t>云飞.九龙香山</w:t>
            </w:r>
          </w:p>
        </w:tc>
        <w:tc>
          <w:tcPr>
            <w:tcW w:w="915" w:type="pct"/>
            <w:noWrap/>
            <w:vAlign w:val="center"/>
          </w:tcPr>
          <w:p w14:paraId="246C9DB1">
            <w:pPr>
              <w:pStyle w:val="44"/>
              <w:rPr>
                <w:color w:val="auto"/>
              </w:rPr>
            </w:pPr>
            <w:r>
              <w:rPr>
                <w:color w:val="auto"/>
              </w:rPr>
              <w:t xml:space="preserve">1.59 </w:t>
            </w:r>
          </w:p>
        </w:tc>
        <w:tc>
          <w:tcPr>
            <w:tcW w:w="592" w:type="pct"/>
            <w:noWrap/>
            <w:vAlign w:val="center"/>
          </w:tcPr>
          <w:p w14:paraId="67571CD0">
            <w:pPr>
              <w:pStyle w:val="44"/>
              <w:rPr>
                <w:color w:val="auto"/>
              </w:rPr>
            </w:pPr>
            <w:r>
              <w:rPr>
                <w:color w:val="auto"/>
              </w:rPr>
              <w:t>2014年</w:t>
            </w:r>
          </w:p>
        </w:tc>
      </w:tr>
      <w:tr w14:paraId="6155B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04C9A35">
            <w:pPr>
              <w:pStyle w:val="44"/>
              <w:rPr>
                <w:color w:val="auto"/>
              </w:rPr>
            </w:pPr>
            <w:r>
              <w:rPr>
                <w:color w:val="auto"/>
              </w:rPr>
              <w:t>3</w:t>
            </w:r>
          </w:p>
        </w:tc>
        <w:tc>
          <w:tcPr>
            <w:tcW w:w="530" w:type="pct"/>
            <w:vMerge w:val="continue"/>
            <w:vAlign w:val="center"/>
          </w:tcPr>
          <w:p w14:paraId="09CA6FE1">
            <w:pPr>
              <w:pStyle w:val="44"/>
              <w:rPr>
                <w:color w:val="auto"/>
              </w:rPr>
            </w:pPr>
          </w:p>
        </w:tc>
        <w:tc>
          <w:tcPr>
            <w:tcW w:w="751" w:type="pct"/>
            <w:noWrap/>
            <w:vAlign w:val="center"/>
          </w:tcPr>
          <w:p w14:paraId="0CB4698A">
            <w:pPr>
              <w:pStyle w:val="44"/>
              <w:rPr>
                <w:color w:val="auto"/>
              </w:rPr>
            </w:pPr>
            <w:r>
              <w:rPr>
                <w:color w:val="auto"/>
              </w:rPr>
              <w:t>D2-2-3/03</w:t>
            </w:r>
          </w:p>
        </w:tc>
        <w:tc>
          <w:tcPr>
            <w:tcW w:w="1844" w:type="pct"/>
            <w:noWrap/>
            <w:vAlign w:val="center"/>
          </w:tcPr>
          <w:p w14:paraId="15282EE9">
            <w:pPr>
              <w:pStyle w:val="44"/>
              <w:rPr>
                <w:color w:val="auto"/>
              </w:rPr>
            </w:pPr>
            <w:r>
              <w:rPr>
                <w:color w:val="auto"/>
              </w:rPr>
              <w:t>云飞.九龙香山</w:t>
            </w:r>
          </w:p>
        </w:tc>
        <w:tc>
          <w:tcPr>
            <w:tcW w:w="915" w:type="pct"/>
            <w:noWrap/>
            <w:vAlign w:val="center"/>
          </w:tcPr>
          <w:p w14:paraId="3AB76EB6">
            <w:pPr>
              <w:pStyle w:val="44"/>
              <w:rPr>
                <w:color w:val="auto"/>
              </w:rPr>
            </w:pPr>
            <w:r>
              <w:rPr>
                <w:color w:val="auto"/>
              </w:rPr>
              <w:t xml:space="preserve">0.39 </w:t>
            </w:r>
          </w:p>
        </w:tc>
        <w:tc>
          <w:tcPr>
            <w:tcW w:w="592" w:type="pct"/>
            <w:noWrap/>
            <w:vAlign w:val="center"/>
          </w:tcPr>
          <w:p w14:paraId="6D934C17">
            <w:pPr>
              <w:pStyle w:val="44"/>
              <w:rPr>
                <w:color w:val="auto"/>
              </w:rPr>
            </w:pPr>
            <w:r>
              <w:rPr>
                <w:color w:val="auto"/>
              </w:rPr>
              <w:t>2014年</w:t>
            </w:r>
          </w:p>
        </w:tc>
      </w:tr>
      <w:tr w14:paraId="505A7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835E75B">
            <w:pPr>
              <w:pStyle w:val="44"/>
              <w:rPr>
                <w:color w:val="auto"/>
              </w:rPr>
            </w:pPr>
            <w:r>
              <w:rPr>
                <w:color w:val="auto"/>
              </w:rPr>
              <w:t>4</w:t>
            </w:r>
          </w:p>
        </w:tc>
        <w:tc>
          <w:tcPr>
            <w:tcW w:w="530" w:type="pct"/>
            <w:vMerge w:val="continue"/>
            <w:vAlign w:val="center"/>
          </w:tcPr>
          <w:p w14:paraId="6C528872">
            <w:pPr>
              <w:pStyle w:val="44"/>
              <w:rPr>
                <w:color w:val="auto"/>
              </w:rPr>
            </w:pPr>
          </w:p>
        </w:tc>
        <w:tc>
          <w:tcPr>
            <w:tcW w:w="751" w:type="pct"/>
            <w:noWrap/>
            <w:vAlign w:val="center"/>
          </w:tcPr>
          <w:p w14:paraId="3E4730C2">
            <w:pPr>
              <w:pStyle w:val="44"/>
              <w:rPr>
                <w:color w:val="auto"/>
              </w:rPr>
            </w:pPr>
            <w:r>
              <w:rPr>
                <w:color w:val="auto"/>
              </w:rPr>
              <w:t>D1-7-2/06</w:t>
            </w:r>
          </w:p>
        </w:tc>
        <w:tc>
          <w:tcPr>
            <w:tcW w:w="1844" w:type="pct"/>
            <w:noWrap/>
            <w:vAlign w:val="center"/>
          </w:tcPr>
          <w:p w14:paraId="2C2D2B08">
            <w:pPr>
              <w:pStyle w:val="44"/>
              <w:rPr>
                <w:color w:val="auto"/>
              </w:rPr>
            </w:pPr>
            <w:r>
              <w:rPr>
                <w:color w:val="auto"/>
              </w:rPr>
              <w:t>云飞.九龙香山</w:t>
            </w:r>
          </w:p>
        </w:tc>
        <w:tc>
          <w:tcPr>
            <w:tcW w:w="915" w:type="pct"/>
            <w:noWrap/>
            <w:vAlign w:val="center"/>
          </w:tcPr>
          <w:p w14:paraId="76EF64BD">
            <w:pPr>
              <w:pStyle w:val="44"/>
              <w:rPr>
                <w:color w:val="auto"/>
              </w:rPr>
            </w:pPr>
            <w:r>
              <w:rPr>
                <w:color w:val="auto"/>
              </w:rPr>
              <w:t xml:space="preserve">3.54 </w:t>
            </w:r>
          </w:p>
        </w:tc>
        <w:tc>
          <w:tcPr>
            <w:tcW w:w="592" w:type="pct"/>
            <w:noWrap/>
            <w:vAlign w:val="center"/>
          </w:tcPr>
          <w:p w14:paraId="3D11C63E">
            <w:pPr>
              <w:pStyle w:val="44"/>
              <w:rPr>
                <w:color w:val="auto"/>
              </w:rPr>
            </w:pPr>
            <w:r>
              <w:rPr>
                <w:color w:val="auto"/>
              </w:rPr>
              <w:t>2014年</w:t>
            </w:r>
          </w:p>
        </w:tc>
      </w:tr>
      <w:tr w14:paraId="0EA16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3B8ECAD">
            <w:pPr>
              <w:pStyle w:val="44"/>
              <w:rPr>
                <w:color w:val="auto"/>
              </w:rPr>
            </w:pPr>
            <w:r>
              <w:rPr>
                <w:color w:val="auto"/>
              </w:rPr>
              <w:t>5</w:t>
            </w:r>
          </w:p>
        </w:tc>
        <w:tc>
          <w:tcPr>
            <w:tcW w:w="530" w:type="pct"/>
            <w:vMerge w:val="continue"/>
            <w:vAlign w:val="center"/>
          </w:tcPr>
          <w:p w14:paraId="7D1544AB">
            <w:pPr>
              <w:pStyle w:val="44"/>
              <w:rPr>
                <w:color w:val="auto"/>
              </w:rPr>
            </w:pPr>
          </w:p>
        </w:tc>
        <w:tc>
          <w:tcPr>
            <w:tcW w:w="751" w:type="pct"/>
            <w:vMerge w:val="restart"/>
            <w:noWrap/>
            <w:vAlign w:val="center"/>
          </w:tcPr>
          <w:p w14:paraId="217006DB">
            <w:pPr>
              <w:pStyle w:val="44"/>
              <w:rPr>
                <w:color w:val="auto"/>
              </w:rPr>
            </w:pPr>
            <w:r>
              <w:rPr>
                <w:color w:val="auto"/>
              </w:rPr>
              <w:t>D1-7-1/06</w:t>
            </w:r>
          </w:p>
        </w:tc>
        <w:tc>
          <w:tcPr>
            <w:tcW w:w="1844" w:type="pct"/>
            <w:noWrap/>
            <w:vAlign w:val="center"/>
          </w:tcPr>
          <w:p w14:paraId="2F5DA7C9">
            <w:pPr>
              <w:pStyle w:val="44"/>
              <w:rPr>
                <w:color w:val="auto"/>
              </w:rPr>
            </w:pPr>
            <w:r>
              <w:rPr>
                <w:color w:val="auto"/>
              </w:rPr>
              <w:t xml:space="preserve">重庆先友科技开发有限公司   </w:t>
            </w:r>
          </w:p>
        </w:tc>
        <w:tc>
          <w:tcPr>
            <w:tcW w:w="915" w:type="pct"/>
            <w:vMerge w:val="restart"/>
            <w:noWrap/>
            <w:vAlign w:val="center"/>
          </w:tcPr>
          <w:p w14:paraId="1487F632">
            <w:pPr>
              <w:pStyle w:val="44"/>
              <w:rPr>
                <w:color w:val="auto"/>
              </w:rPr>
            </w:pPr>
            <w:r>
              <w:rPr>
                <w:color w:val="auto"/>
              </w:rPr>
              <w:t xml:space="preserve">6.79 </w:t>
            </w:r>
          </w:p>
        </w:tc>
        <w:tc>
          <w:tcPr>
            <w:tcW w:w="592" w:type="pct"/>
            <w:noWrap/>
            <w:vAlign w:val="center"/>
          </w:tcPr>
          <w:p w14:paraId="72AD9A42">
            <w:pPr>
              <w:pStyle w:val="44"/>
              <w:rPr>
                <w:color w:val="auto"/>
              </w:rPr>
            </w:pPr>
            <w:r>
              <w:rPr>
                <w:color w:val="auto"/>
              </w:rPr>
              <w:t>2004年</w:t>
            </w:r>
          </w:p>
        </w:tc>
      </w:tr>
      <w:tr w14:paraId="75E1C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BEED410">
            <w:pPr>
              <w:pStyle w:val="44"/>
              <w:rPr>
                <w:color w:val="auto"/>
              </w:rPr>
            </w:pPr>
            <w:r>
              <w:rPr>
                <w:color w:val="auto"/>
              </w:rPr>
              <w:t>6</w:t>
            </w:r>
          </w:p>
        </w:tc>
        <w:tc>
          <w:tcPr>
            <w:tcW w:w="530" w:type="pct"/>
            <w:vMerge w:val="continue"/>
            <w:vAlign w:val="center"/>
          </w:tcPr>
          <w:p w14:paraId="5794D8D1">
            <w:pPr>
              <w:pStyle w:val="44"/>
              <w:rPr>
                <w:color w:val="auto"/>
              </w:rPr>
            </w:pPr>
          </w:p>
        </w:tc>
        <w:tc>
          <w:tcPr>
            <w:tcW w:w="751" w:type="pct"/>
            <w:vMerge w:val="continue"/>
            <w:vAlign w:val="center"/>
          </w:tcPr>
          <w:p w14:paraId="03351789">
            <w:pPr>
              <w:pStyle w:val="44"/>
              <w:rPr>
                <w:color w:val="auto"/>
              </w:rPr>
            </w:pPr>
          </w:p>
        </w:tc>
        <w:tc>
          <w:tcPr>
            <w:tcW w:w="1844" w:type="pct"/>
            <w:noWrap/>
            <w:vAlign w:val="center"/>
          </w:tcPr>
          <w:p w14:paraId="5ABF0512">
            <w:pPr>
              <w:pStyle w:val="44"/>
              <w:rPr>
                <w:color w:val="auto"/>
              </w:rPr>
            </w:pPr>
            <w:r>
              <w:rPr>
                <w:color w:val="auto"/>
              </w:rPr>
              <w:t>华福家园</w:t>
            </w:r>
          </w:p>
        </w:tc>
        <w:tc>
          <w:tcPr>
            <w:tcW w:w="915" w:type="pct"/>
            <w:vMerge w:val="continue"/>
            <w:vAlign w:val="center"/>
          </w:tcPr>
          <w:p w14:paraId="2FB95197">
            <w:pPr>
              <w:pStyle w:val="44"/>
              <w:rPr>
                <w:color w:val="auto"/>
              </w:rPr>
            </w:pPr>
          </w:p>
        </w:tc>
        <w:tc>
          <w:tcPr>
            <w:tcW w:w="592" w:type="pct"/>
            <w:noWrap/>
            <w:vAlign w:val="center"/>
          </w:tcPr>
          <w:p w14:paraId="00996C25">
            <w:pPr>
              <w:pStyle w:val="44"/>
              <w:rPr>
                <w:color w:val="auto"/>
              </w:rPr>
            </w:pPr>
            <w:r>
              <w:rPr>
                <w:color w:val="auto"/>
              </w:rPr>
              <w:t>2008年</w:t>
            </w:r>
          </w:p>
        </w:tc>
      </w:tr>
      <w:tr w14:paraId="17F78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4A940C9">
            <w:pPr>
              <w:pStyle w:val="44"/>
              <w:rPr>
                <w:color w:val="auto"/>
              </w:rPr>
            </w:pPr>
            <w:r>
              <w:rPr>
                <w:color w:val="auto"/>
              </w:rPr>
              <w:t>7</w:t>
            </w:r>
          </w:p>
        </w:tc>
        <w:tc>
          <w:tcPr>
            <w:tcW w:w="530" w:type="pct"/>
            <w:vMerge w:val="continue"/>
            <w:vAlign w:val="center"/>
          </w:tcPr>
          <w:p w14:paraId="3D1FF487">
            <w:pPr>
              <w:pStyle w:val="44"/>
              <w:rPr>
                <w:color w:val="auto"/>
              </w:rPr>
            </w:pPr>
          </w:p>
        </w:tc>
        <w:tc>
          <w:tcPr>
            <w:tcW w:w="751" w:type="pct"/>
            <w:noWrap/>
            <w:vAlign w:val="center"/>
          </w:tcPr>
          <w:p w14:paraId="409E46C5">
            <w:pPr>
              <w:pStyle w:val="44"/>
              <w:rPr>
                <w:color w:val="auto"/>
              </w:rPr>
            </w:pPr>
            <w:r>
              <w:rPr>
                <w:color w:val="auto"/>
              </w:rPr>
              <w:t>D3-2/03</w:t>
            </w:r>
          </w:p>
        </w:tc>
        <w:tc>
          <w:tcPr>
            <w:tcW w:w="1844" w:type="pct"/>
            <w:noWrap/>
            <w:vAlign w:val="center"/>
          </w:tcPr>
          <w:p w14:paraId="002158F4">
            <w:pPr>
              <w:pStyle w:val="44"/>
              <w:rPr>
                <w:color w:val="auto"/>
              </w:rPr>
            </w:pPr>
            <w:r>
              <w:rPr>
                <w:color w:val="auto"/>
              </w:rPr>
              <w:t>　</w:t>
            </w:r>
          </w:p>
        </w:tc>
        <w:tc>
          <w:tcPr>
            <w:tcW w:w="915" w:type="pct"/>
            <w:noWrap/>
            <w:vAlign w:val="center"/>
          </w:tcPr>
          <w:p w14:paraId="41CC0243">
            <w:pPr>
              <w:pStyle w:val="44"/>
              <w:rPr>
                <w:color w:val="auto"/>
              </w:rPr>
            </w:pPr>
            <w:r>
              <w:rPr>
                <w:color w:val="auto"/>
              </w:rPr>
              <w:t xml:space="preserve">0.37 </w:t>
            </w:r>
          </w:p>
        </w:tc>
        <w:tc>
          <w:tcPr>
            <w:tcW w:w="592" w:type="pct"/>
            <w:noWrap/>
            <w:vAlign w:val="center"/>
          </w:tcPr>
          <w:p w14:paraId="39B678B2">
            <w:pPr>
              <w:pStyle w:val="44"/>
              <w:rPr>
                <w:color w:val="auto"/>
              </w:rPr>
            </w:pPr>
            <w:r>
              <w:rPr>
                <w:color w:val="auto"/>
              </w:rPr>
              <w:t>　</w:t>
            </w:r>
          </w:p>
        </w:tc>
      </w:tr>
      <w:tr w14:paraId="5C9DA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ABB15F8">
            <w:pPr>
              <w:pStyle w:val="44"/>
              <w:rPr>
                <w:color w:val="auto"/>
              </w:rPr>
            </w:pPr>
            <w:r>
              <w:rPr>
                <w:color w:val="auto"/>
              </w:rPr>
              <w:t>8</w:t>
            </w:r>
          </w:p>
        </w:tc>
        <w:tc>
          <w:tcPr>
            <w:tcW w:w="530" w:type="pct"/>
            <w:vMerge w:val="continue"/>
            <w:vAlign w:val="center"/>
          </w:tcPr>
          <w:p w14:paraId="38CF8724">
            <w:pPr>
              <w:pStyle w:val="44"/>
              <w:rPr>
                <w:color w:val="auto"/>
              </w:rPr>
            </w:pPr>
          </w:p>
        </w:tc>
        <w:tc>
          <w:tcPr>
            <w:tcW w:w="751" w:type="pct"/>
            <w:noWrap/>
            <w:vAlign w:val="center"/>
          </w:tcPr>
          <w:p w14:paraId="06BC9EF6">
            <w:pPr>
              <w:pStyle w:val="44"/>
              <w:rPr>
                <w:color w:val="auto"/>
              </w:rPr>
            </w:pPr>
            <w:r>
              <w:rPr>
                <w:color w:val="auto"/>
              </w:rPr>
              <w:t>D10-2/02</w:t>
            </w:r>
          </w:p>
        </w:tc>
        <w:tc>
          <w:tcPr>
            <w:tcW w:w="1844" w:type="pct"/>
            <w:noWrap/>
            <w:vAlign w:val="center"/>
          </w:tcPr>
          <w:p w14:paraId="319670DF">
            <w:pPr>
              <w:pStyle w:val="44"/>
              <w:rPr>
                <w:color w:val="auto"/>
              </w:rPr>
            </w:pPr>
            <w:r>
              <w:rPr>
                <w:color w:val="auto"/>
              </w:rPr>
              <w:t>　</w:t>
            </w:r>
          </w:p>
        </w:tc>
        <w:tc>
          <w:tcPr>
            <w:tcW w:w="915" w:type="pct"/>
            <w:noWrap/>
            <w:vAlign w:val="center"/>
          </w:tcPr>
          <w:p w14:paraId="3C8CF90A">
            <w:pPr>
              <w:pStyle w:val="44"/>
              <w:rPr>
                <w:color w:val="auto"/>
              </w:rPr>
            </w:pPr>
            <w:r>
              <w:rPr>
                <w:color w:val="auto"/>
              </w:rPr>
              <w:t xml:space="preserve">1.70 </w:t>
            </w:r>
          </w:p>
        </w:tc>
        <w:tc>
          <w:tcPr>
            <w:tcW w:w="592" w:type="pct"/>
            <w:noWrap/>
            <w:vAlign w:val="center"/>
          </w:tcPr>
          <w:p w14:paraId="377A0FC1">
            <w:pPr>
              <w:pStyle w:val="44"/>
              <w:rPr>
                <w:color w:val="auto"/>
              </w:rPr>
            </w:pPr>
            <w:r>
              <w:rPr>
                <w:color w:val="auto"/>
              </w:rPr>
              <w:t>　</w:t>
            </w:r>
          </w:p>
        </w:tc>
      </w:tr>
      <w:tr w14:paraId="3FC24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457E201">
            <w:pPr>
              <w:pStyle w:val="44"/>
              <w:rPr>
                <w:color w:val="auto"/>
              </w:rPr>
            </w:pPr>
            <w:r>
              <w:rPr>
                <w:color w:val="auto"/>
              </w:rPr>
              <w:t>9</w:t>
            </w:r>
          </w:p>
        </w:tc>
        <w:tc>
          <w:tcPr>
            <w:tcW w:w="530" w:type="pct"/>
            <w:vMerge w:val="continue"/>
            <w:vAlign w:val="center"/>
          </w:tcPr>
          <w:p w14:paraId="3B41C7D2">
            <w:pPr>
              <w:pStyle w:val="44"/>
              <w:rPr>
                <w:color w:val="auto"/>
              </w:rPr>
            </w:pPr>
          </w:p>
        </w:tc>
        <w:tc>
          <w:tcPr>
            <w:tcW w:w="751" w:type="pct"/>
            <w:noWrap/>
            <w:vAlign w:val="center"/>
          </w:tcPr>
          <w:p w14:paraId="7D846CA2">
            <w:pPr>
              <w:pStyle w:val="44"/>
              <w:rPr>
                <w:color w:val="auto"/>
              </w:rPr>
            </w:pPr>
            <w:r>
              <w:rPr>
                <w:color w:val="auto"/>
              </w:rPr>
              <w:t>D14-1/02</w:t>
            </w:r>
          </w:p>
        </w:tc>
        <w:tc>
          <w:tcPr>
            <w:tcW w:w="1844" w:type="pct"/>
            <w:noWrap/>
            <w:vAlign w:val="center"/>
          </w:tcPr>
          <w:p w14:paraId="5FE30240">
            <w:pPr>
              <w:pStyle w:val="44"/>
              <w:rPr>
                <w:color w:val="auto"/>
              </w:rPr>
            </w:pPr>
            <w:r>
              <w:rPr>
                <w:color w:val="auto"/>
              </w:rPr>
              <w:t>重庆秋霞食品餐饮有限公司</w:t>
            </w:r>
          </w:p>
        </w:tc>
        <w:tc>
          <w:tcPr>
            <w:tcW w:w="915" w:type="pct"/>
            <w:noWrap/>
            <w:vAlign w:val="center"/>
          </w:tcPr>
          <w:p w14:paraId="23773C7D">
            <w:pPr>
              <w:pStyle w:val="44"/>
              <w:rPr>
                <w:color w:val="auto"/>
              </w:rPr>
            </w:pPr>
            <w:r>
              <w:rPr>
                <w:color w:val="auto"/>
              </w:rPr>
              <w:t xml:space="preserve">2.68 </w:t>
            </w:r>
          </w:p>
        </w:tc>
        <w:tc>
          <w:tcPr>
            <w:tcW w:w="592" w:type="pct"/>
            <w:noWrap/>
            <w:vAlign w:val="center"/>
          </w:tcPr>
          <w:p w14:paraId="06F3D42E">
            <w:pPr>
              <w:pStyle w:val="44"/>
              <w:rPr>
                <w:color w:val="auto"/>
              </w:rPr>
            </w:pPr>
            <w:r>
              <w:rPr>
                <w:color w:val="auto"/>
              </w:rPr>
              <w:t>2005年</w:t>
            </w:r>
          </w:p>
        </w:tc>
      </w:tr>
      <w:tr w14:paraId="53D68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50623B2">
            <w:pPr>
              <w:pStyle w:val="44"/>
              <w:rPr>
                <w:color w:val="auto"/>
              </w:rPr>
            </w:pPr>
            <w:r>
              <w:rPr>
                <w:color w:val="auto"/>
              </w:rPr>
              <w:t>10</w:t>
            </w:r>
          </w:p>
        </w:tc>
        <w:tc>
          <w:tcPr>
            <w:tcW w:w="530" w:type="pct"/>
            <w:vMerge w:val="continue"/>
            <w:vAlign w:val="center"/>
          </w:tcPr>
          <w:p w14:paraId="2DFA897A">
            <w:pPr>
              <w:pStyle w:val="44"/>
              <w:rPr>
                <w:color w:val="auto"/>
              </w:rPr>
            </w:pPr>
          </w:p>
        </w:tc>
        <w:tc>
          <w:tcPr>
            <w:tcW w:w="751" w:type="pct"/>
            <w:noWrap/>
            <w:vAlign w:val="center"/>
          </w:tcPr>
          <w:p w14:paraId="55A5110A">
            <w:pPr>
              <w:pStyle w:val="44"/>
              <w:rPr>
                <w:color w:val="auto"/>
              </w:rPr>
            </w:pPr>
            <w:r>
              <w:rPr>
                <w:color w:val="auto"/>
              </w:rPr>
              <w:t>D6-1/04</w:t>
            </w:r>
          </w:p>
        </w:tc>
        <w:tc>
          <w:tcPr>
            <w:tcW w:w="1844" w:type="pct"/>
            <w:noWrap/>
            <w:vAlign w:val="center"/>
          </w:tcPr>
          <w:p w14:paraId="064E081E">
            <w:pPr>
              <w:pStyle w:val="44"/>
              <w:rPr>
                <w:color w:val="auto"/>
              </w:rPr>
            </w:pPr>
            <w:r>
              <w:rPr>
                <w:color w:val="auto"/>
              </w:rPr>
              <w:t>中建御湖一号</w:t>
            </w:r>
          </w:p>
        </w:tc>
        <w:tc>
          <w:tcPr>
            <w:tcW w:w="915" w:type="pct"/>
            <w:noWrap/>
            <w:vAlign w:val="center"/>
          </w:tcPr>
          <w:p w14:paraId="27E7B59B">
            <w:pPr>
              <w:pStyle w:val="44"/>
              <w:rPr>
                <w:color w:val="auto"/>
              </w:rPr>
            </w:pPr>
            <w:r>
              <w:rPr>
                <w:color w:val="auto"/>
              </w:rPr>
              <w:t xml:space="preserve">4.19 </w:t>
            </w:r>
          </w:p>
        </w:tc>
        <w:tc>
          <w:tcPr>
            <w:tcW w:w="592" w:type="pct"/>
            <w:noWrap/>
            <w:vAlign w:val="center"/>
          </w:tcPr>
          <w:p w14:paraId="12267FFB">
            <w:pPr>
              <w:pStyle w:val="44"/>
              <w:rPr>
                <w:color w:val="auto"/>
              </w:rPr>
            </w:pPr>
            <w:r>
              <w:rPr>
                <w:color w:val="auto"/>
              </w:rPr>
              <w:t>2010年</w:t>
            </w:r>
          </w:p>
        </w:tc>
      </w:tr>
      <w:tr w14:paraId="419D4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80814B8">
            <w:pPr>
              <w:pStyle w:val="44"/>
              <w:rPr>
                <w:color w:val="auto"/>
              </w:rPr>
            </w:pPr>
            <w:r>
              <w:rPr>
                <w:color w:val="auto"/>
              </w:rPr>
              <w:t>11</w:t>
            </w:r>
          </w:p>
        </w:tc>
        <w:tc>
          <w:tcPr>
            <w:tcW w:w="530" w:type="pct"/>
            <w:vMerge w:val="continue"/>
            <w:vAlign w:val="center"/>
          </w:tcPr>
          <w:p w14:paraId="1FB41A02">
            <w:pPr>
              <w:pStyle w:val="44"/>
              <w:rPr>
                <w:color w:val="auto"/>
              </w:rPr>
            </w:pPr>
          </w:p>
        </w:tc>
        <w:tc>
          <w:tcPr>
            <w:tcW w:w="751" w:type="pct"/>
            <w:noWrap/>
            <w:vAlign w:val="center"/>
          </w:tcPr>
          <w:p w14:paraId="09CC9AE4">
            <w:pPr>
              <w:pStyle w:val="44"/>
              <w:rPr>
                <w:color w:val="auto"/>
              </w:rPr>
            </w:pPr>
            <w:r>
              <w:rPr>
                <w:color w:val="auto"/>
              </w:rPr>
              <w:t>D10-1-1/04</w:t>
            </w:r>
          </w:p>
        </w:tc>
        <w:tc>
          <w:tcPr>
            <w:tcW w:w="1844" w:type="pct"/>
            <w:noWrap/>
            <w:vAlign w:val="center"/>
          </w:tcPr>
          <w:p w14:paraId="1734EFA5">
            <w:pPr>
              <w:pStyle w:val="44"/>
              <w:rPr>
                <w:color w:val="auto"/>
              </w:rPr>
            </w:pPr>
            <w:r>
              <w:rPr>
                <w:color w:val="auto"/>
              </w:rPr>
              <w:t>华梁学校</w:t>
            </w:r>
          </w:p>
        </w:tc>
        <w:tc>
          <w:tcPr>
            <w:tcW w:w="915" w:type="pct"/>
            <w:noWrap/>
            <w:vAlign w:val="center"/>
          </w:tcPr>
          <w:p w14:paraId="677363F1">
            <w:pPr>
              <w:pStyle w:val="44"/>
              <w:rPr>
                <w:color w:val="auto"/>
              </w:rPr>
            </w:pPr>
            <w:r>
              <w:rPr>
                <w:color w:val="auto"/>
              </w:rPr>
              <w:t xml:space="preserve">1.59 </w:t>
            </w:r>
          </w:p>
        </w:tc>
        <w:tc>
          <w:tcPr>
            <w:tcW w:w="592" w:type="pct"/>
            <w:noWrap/>
            <w:vAlign w:val="center"/>
          </w:tcPr>
          <w:p w14:paraId="14023DCF">
            <w:pPr>
              <w:pStyle w:val="44"/>
              <w:rPr>
                <w:color w:val="auto"/>
              </w:rPr>
            </w:pPr>
            <w:r>
              <w:rPr>
                <w:color w:val="auto"/>
              </w:rPr>
              <w:t>2005年</w:t>
            </w:r>
          </w:p>
        </w:tc>
      </w:tr>
      <w:tr w14:paraId="50080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C189BE6">
            <w:pPr>
              <w:pStyle w:val="44"/>
              <w:rPr>
                <w:color w:val="auto"/>
              </w:rPr>
            </w:pPr>
            <w:r>
              <w:rPr>
                <w:color w:val="auto"/>
              </w:rPr>
              <w:t>12</w:t>
            </w:r>
          </w:p>
        </w:tc>
        <w:tc>
          <w:tcPr>
            <w:tcW w:w="530" w:type="pct"/>
            <w:vMerge w:val="continue"/>
            <w:vAlign w:val="center"/>
          </w:tcPr>
          <w:p w14:paraId="79C274D4">
            <w:pPr>
              <w:pStyle w:val="44"/>
              <w:rPr>
                <w:color w:val="auto"/>
              </w:rPr>
            </w:pPr>
          </w:p>
        </w:tc>
        <w:tc>
          <w:tcPr>
            <w:tcW w:w="751" w:type="pct"/>
            <w:noWrap/>
            <w:vAlign w:val="center"/>
          </w:tcPr>
          <w:p w14:paraId="4904EFA8">
            <w:pPr>
              <w:pStyle w:val="44"/>
              <w:rPr>
                <w:color w:val="auto"/>
              </w:rPr>
            </w:pPr>
            <w:r>
              <w:rPr>
                <w:color w:val="auto"/>
              </w:rPr>
              <w:t>D10-1-2/04</w:t>
            </w:r>
          </w:p>
        </w:tc>
        <w:tc>
          <w:tcPr>
            <w:tcW w:w="1844" w:type="pct"/>
            <w:noWrap/>
            <w:vAlign w:val="center"/>
          </w:tcPr>
          <w:p w14:paraId="0131DAE7">
            <w:pPr>
              <w:pStyle w:val="44"/>
              <w:rPr>
                <w:color w:val="auto"/>
              </w:rPr>
            </w:pPr>
            <w:r>
              <w:rPr>
                <w:color w:val="auto"/>
              </w:rPr>
              <w:t>华梁学校</w:t>
            </w:r>
          </w:p>
        </w:tc>
        <w:tc>
          <w:tcPr>
            <w:tcW w:w="915" w:type="pct"/>
            <w:noWrap/>
            <w:vAlign w:val="center"/>
          </w:tcPr>
          <w:p w14:paraId="3B0FA6CE">
            <w:pPr>
              <w:pStyle w:val="44"/>
              <w:rPr>
                <w:color w:val="auto"/>
              </w:rPr>
            </w:pPr>
            <w:r>
              <w:rPr>
                <w:color w:val="auto"/>
              </w:rPr>
              <w:t xml:space="preserve">1.96 </w:t>
            </w:r>
          </w:p>
        </w:tc>
        <w:tc>
          <w:tcPr>
            <w:tcW w:w="592" w:type="pct"/>
            <w:noWrap/>
            <w:vAlign w:val="center"/>
          </w:tcPr>
          <w:p w14:paraId="5041DD25">
            <w:pPr>
              <w:pStyle w:val="44"/>
              <w:rPr>
                <w:color w:val="auto"/>
              </w:rPr>
            </w:pPr>
            <w:r>
              <w:rPr>
                <w:color w:val="auto"/>
              </w:rPr>
              <w:t>2005年</w:t>
            </w:r>
          </w:p>
        </w:tc>
      </w:tr>
      <w:tr w14:paraId="28648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EC3EE55">
            <w:pPr>
              <w:pStyle w:val="44"/>
              <w:rPr>
                <w:color w:val="auto"/>
              </w:rPr>
            </w:pPr>
            <w:r>
              <w:rPr>
                <w:color w:val="auto"/>
              </w:rPr>
              <w:t>合计</w:t>
            </w:r>
          </w:p>
        </w:tc>
        <w:tc>
          <w:tcPr>
            <w:tcW w:w="530" w:type="pct"/>
            <w:vMerge w:val="continue"/>
            <w:vAlign w:val="center"/>
          </w:tcPr>
          <w:p w14:paraId="3B8A0348">
            <w:pPr>
              <w:pStyle w:val="44"/>
              <w:rPr>
                <w:color w:val="auto"/>
              </w:rPr>
            </w:pPr>
          </w:p>
        </w:tc>
        <w:tc>
          <w:tcPr>
            <w:tcW w:w="751" w:type="pct"/>
            <w:noWrap/>
            <w:vAlign w:val="center"/>
          </w:tcPr>
          <w:p w14:paraId="01246EA5">
            <w:pPr>
              <w:pStyle w:val="44"/>
              <w:rPr>
                <w:color w:val="auto"/>
              </w:rPr>
            </w:pPr>
            <w:r>
              <w:rPr>
                <w:color w:val="auto"/>
              </w:rPr>
              <w:t>　</w:t>
            </w:r>
          </w:p>
        </w:tc>
        <w:tc>
          <w:tcPr>
            <w:tcW w:w="1844" w:type="pct"/>
            <w:noWrap/>
            <w:vAlign w:val="center"/>
          </w:tcPr>
          <w:p w14:paraId="17B0AB79">
            <w:pPr>
              <w:pStyle w:val="44"/>
              <w:rPr>
                <w:color w:val="auto"/>
              </w:rPr>
            </w:pPr>
            <w:r>
              <w:rPr>
                <w:color w:val="auto"/>
              </w:rPr>
              <w:t>　</w:t>
            </w:r>
          </w:p>
        </w:tc>
        <w:tc>
          <w:tcPr>
            <w:tcW w:w="915" w:type="pct"/>
            <w:noWrap/>
            <w:vAlign w:val="center"/>
          </w:tcPr>
          <w:p w14:paraId="54299D4A">
            <w:pPr>
              <w:pStyle w:val="44"/>
              <w:rPr>
                <w:color w:val="auto"/>
              </w:rPr>
            </w:pPr>
            <w:r>
              <w:rPr>
                <w:color w:val="auto"/>
              </w:rPr>
              <w:t xml:space="preserve">25.60 </w:t>
            </w:r>
          </w:p>
        </w:tc>
        <w:tc>
          <w:tcPr>
            <w:tcW w:w="592" w:type="pct"/>
            <w:noWrap/>
            <w:vAlign w:val="center"/>
          </w:tcPr>
          <w:p w14:paraId="405B4727">
            <w:pPr>
              <w:pStyle w:val="44"/>
              <w:rPr>
                <w:color w:val="auto"/>
              </w:rPr>
            </w:pPr>
            <w:r>
              <w:rPr>
                <w:color w:val="auto"/>
              </w:rPr>
              <w:t>　</w:t>
            </w:r>
          </w:p>
        </w:tc>
      </w:tr>
      <w:tr w14:paraId="5CE23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CA6907D">
            <w:pPr>
              <w:pStyle w:val="44"/>
              <w:rPr>
                <w:color w:val="auto"/>
              </w:rPr>
            </w:pPr>
            <w:r>
              <w:rPr>
                <w:color w:val="auto"/>
              </w:rPr>
              <w:t>1</w:t>
            </w:r>
          </w:p>
        </w:tc>
        <w:tc>
          <w:tcPr>
            <w:tcW w:w="530" w:type="pct"/>
            <w:vMerge w:val="restart"/>
            <w:vAlign w:val="center"/>
          </w:tcPr>
          <w:p w14:paraId="33E03917">
            <w:pPr>
              <w:pStyle w:val="44"/>
              <w:rPr>
                <w:color w:val="auto"/>
              </w:rPr>
            </w:pPr>
            <w:r>
              <w:rPr>
                <w:color w:val="auto"/>
              </w:rPr>
              <w:t>大渡口组团I标准分区</w:t>
            </w:r>
          </w:p>
        </w:tc>
        <w:tc>
          <w:tcPr>
            <w:tcW w:w="751" w:type="pct"/>
            <w:vMerge w:val="restart"/>
            <w:noWrap/>
            <w:vAlign w:val="center"/>
          </w:tcPr>
          <w:p w14:paraId="723F0A5F">
            <w:pPr>
              <w:pStyle w:val="44"/>
              <w:rPr>
                <w:color w:val="auto"/>
              </w:rPr>
            </w:pPr>
            <w:r>
              <w:rPr>
                <w:color w:val="auto"/>
              </w:rPr>
              <w:t>I01-1/01</w:t>
            </w:r>
          </w:p>
        </w:tc>
        <w:tc>
          <w:tcPr>
            <w:tcW w:w="1844" w:type="pct"/>
            <w:noWrap/>
            <w:vAlign w:val="center"/>
          </w:tcPr>
          <w:p w14:paraId="6546BB65">
            <w:pPr>
              <w:pStyle w:val="44"/>
              <w:rPr>
                <w:color w:val="auto"/>
              </w:rPr>
            </w:pPr>
            <w:r>
              <w:rPr>
                <w:color w:val="auto"/>
              </w:rPr>
              <w:t>华新师傅之家</w:t>
            </w:r>
          </w:p>
        </w:tc>
        <w:tc>
          <w:tcPr>
            <w:tcW w:w="915" w:type="pct"/>
            <w:vMerge w:val="restart"/>
            <w:noWrap/>
            <w:vAlign w:val="center"/>
          </w:tcPr>
          <w:p w14:paraId="1E42BB58">
            <w:pPr>
              <w:pStyle w:val="44"/>
              <w:rPr>
                <w:color w:val="auto"/>
              </w:rPr>
            </w:pPr>
            <w:r>
              <w:rPr>
                <w:color w:val="auto"/>
              </w:rPr>
              <w:t>4.63</w:t>
            </w:r>
          </w:p>
        </w:tc>
        <w:tc>
          <w:tcPr>
            <w:tcW w:w="592" w:type="pct"/>
            <w:noWrap/>
            <w:vAlign w:val="center"/>
          </w:tcPr>
          <w:p w14:paraId="6D826ED6">
            <w:pPr>
              <w:pStyle w:val="44"/>
              <w:rPr>
                <w:color w:val="auto"/>
              </w:rPr>
            </w:pPr>
            <w:r>
              <w:rPr>
                <w:color w:val="auto"/>
              </w:rPr>
              <w:t>2002年</w:t>
            </w:r>
          </w:p>
        </w:tc>
      </w:tr>
      <w:tr w14:paraId="0131C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1C75862">
            <w:pPr>
              <w:pStyle w:val="44"/>
              <w:rPr>
                <w:color w:val="auto"/>
              </w:rPr>
            </w:pPr>
            <w:r>
              <w:rPr>
                <w:color w:val="auto"/>
              </w:rPr>
              <w:t>2</w:t>
            </w:r>
          </w:p>
        </w:tc>
        <w:tc>
          <w:tcPr>
            <w:tcW w:w="530" w:type="pct"/>
            <w:vMerge w:val="continue"/>
            <w:vAlign w:val="center"/>
          </w:tcPr>
          <w:p w14:paraId="272EE4EB">
            <w:pPr>
              <w:pStyle w:val="44"/>
              <w:rPr>
                <w:color w:val="auto"/>
              </w:rPr>
            </w:pPr>
          </w:p>
        </w:tc>
        <w:tc>
          <w:tcPr>
            <w:tcW w:w="751" w:type="pct"/>
            <w:vMerge w:val="continue"/>
            <w:vAlign w:val="center"/>
          </w:tcPr>
          <w:p w14:paraId="743A1D0D">
            <w:pPr>
              <w:pStyle w:val="44"/>
              <w:rPr>
                <w:color w:val="auto"/>
              </w:rPr>
            </w:pPr>
          </w:p>
        </w:tc>
        <w:tc>
          <w:tcPr>
            <w:tcW w:w="1844" w:type="pct"/>
            <w:noWrap/>
            <w:vAlign w:val="center"/>
          </w:tcPr>
          <w:p w14:paraId="3C07E126">
            <w:pPr>
              <w:pStyle w:val="44"/>
              <w:rPr>
                <w:color w:val="auto"/>
              </w:rPr>
            </w:pPr>
            <w:r>
              <w:rPr>
                <w:color w:val="auto"/>
              </w:rPr>
              <w:t>锋利纸业</w:t>
            </w:r>
          </w:p>
        </w:tc>
        <w:tc>
          <w:tcPr>
            <w:tcW w:w="915" w:type="pct"/>
            <w:vMerge w:val="continue"/>
            <w:vAlign w:val="center"/>
          </w:tcPr>
          <w:p w14:paraId="07CF34D3">
            <w:pPr>
              <w:pStyle w:val="44"/>
              <w:rPr>
                <w:color w:val="auto"/>
              </w:rPr>
            </w:pPr>
          </w:p>
        </w:tc>
        <w:tc>
          <w:tcPr>
            <w:tcW w:w="592" w:type="pct"/>
            <w:noWrap/>
            <w:vAlign w:val="center"/>
          </w:tcPr>
          <w:p w14:paraId="78278678">
            <w:pPr>
              <w:pStyle w:val="44"/>
              <w:rPr>
                <w:color w:val="auto"/>
              </w:rPr>
            </w:pPr>
            <w:r>
              <w:rPr>
                <w:color w:val="auto"/>
              </w:rPr>
              <w:t>2002年</w:t>
            </w:r>
          </w:p>
        </w:tc>
      </w:tr>
      <w:tr w14:paraId="27C20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BFE41DD">
            <w:pPr>
              <w:pStyle w:val="44"/>
              <w:rPr>
                <w:color w:val="auto"/>
              </w:rPr>
            </w:pPr>
            <w:r>
              <w:rPr>
                <w:color w:val="auto"/>
              </w:rPr>
              <w:t>3</w:t>
            </w:r>
          </w:p>
        </w:tc>
        <w:tc>
          <w:tcPr>
            <w:tcW w:w="530" w:type="pct"/>
            <w:vMerge w:val="continue"/>
            <w:vAlign w:val="center"/>
          </w:tcPr>
          <w:p w14:paraId="591AAE54">
            <w:pPr>
              <w:pStyle w:val="44"/>
              <w:rPr>
                <w:color w:val="auto"/>
              </w:rPr>
            </w:pPr>
          </w:p>
        </w:tc>
        <w:tc>
          <w:tcPr>
            <w:tcW w:w="751" w:type="pct"/>
            <w:vMerge w:val="continue"/>
            <w:vAlign w:val="center"/>
          </w:tcPr>
          <w:p w14:paraId="7260872F">
            <w:pPr>
              <w:pStyle w:val="44"/>
              <w:rPr>
                <w:color w:val="auto"/>
              </w:rPr>
            </w:pPr>
          </w:p>
        </w:tc>
        <w:tc>
          <w:tcPr>
            <w:tcW w:w="1844" w:type="pct"/>
            <w:noWrap/>
            <w:vAlign w:val="center"/>
          </w:tcPr>
          <w:p w14:paraId="26BD16E1">
            <w:pPr>
              <w:pStyle w:val="44"/>
              <w:rPr>
                <w:color w:val="auto"/>
              </w:rPr>
            </w:pPr>
            <w:r>
              <w:rPr>
                <w:color w:val="auto"/>
              </w:rPr>
              <w:t>城远通风管道</w:t>
            </w:r>
          </w:p>
        </w:tc>
        <w:tc>
          <w:tcPr>
            <w:tcW w:w="915" w:type="pct"/>
            <w:vMerge w:val="continue"/>
            <w:vAlign w:val="center"/>
          </w:tcPr>
          <w:p w14:paraId="157A0993">
            <w:pPr>
              <w:pStyle w:val="44"/>
              <w:rPr>
                <w:color w:val="auto"/>
              </w:rPr>
            </w:pPr>
          </w:p>
        </w:tc>
        <w:tc>
          <w:tcPr>
            <w:tcW w:w="592" w:type="pct"/>
            <w:noWrap/>
            <w:vAlign w:val="center"/>
          </w:tcPr>
          <w:p w14:paraId="40F31200">
            <w:pPr>
              <w:pStyle w:val="44"/>
              <w:rPr>
                <w:color w:val="auto"/>
              </w:rPr>
            </w:pPr>
            <w:r>
              <w:rPr>
                <w:color w:val="auto"/>
              </w:rPr>
              <w:t>2002年</w:t>
            </w:r>
          </w:p>
        </w:tc>
      </w:tr>
      <w:tr w14:paraId="2BE98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7EA8BD4">
            <w:pPr>
              <w:pStyle w:val="44"/>
              <w:rPr>
                <w:color w:val="auto"/>
              </w:rPr>
            </w:pPr>
            <w:r>
              <w:rPr>
                <w:color w:val="auto"/>
              </w:rPr>
              <w:t>4</w:t>
            </w:r>
          </w:p>
        </w:tc>
        <w:tc>
          <w:tcPr>
            <w:tcW w:w="530" w:type="pct"/>
            <w:vMerge w:val="continue"/>
            <w:vAlign w:val="center"/>
          </w:tcPr>
          <w:p w14:paraId="2C899341">
            <w:pPr>
              <w:pStyle w:val="44"/>
              <w:rPr>
                <w:color w:val="auto"/>
              </w:rPr>
            </w:pPr>
          </w:p>
        </w:tc>
        <w:tc>
          <w:tcPr>
            <w:tcW w:w="751" w:type="pct"/>
            <w:noWrap/>
            <w:vAlign w:val="center"/>
          </w:tcPr>
          <w:p w14:paraId="26DA1D6E">
            <w:pPr>
              <w:pStyle w:val="44"/>
              <w:rPr>
                <w:color w:val="auto"/>
              </w:rPr>
            </w:pPr>
            <w:r>
              <w:rPr>
                <w:color w:val="auto"/>
              </w:rPr>
              <w:t>I01-3/01</w:t>
            </w:r>
          </w:p>
        </w:tc>
        <w:tc>
          <w:tcPr>
            <w:tcW w:w="1844" w:type="pct"/>
            <w:noWrap/>
            <w:vAlign w:val="center"/>
          </w:tcPr>
          <w:p w14:paraId="689AE008">
            <w:pPr>
              <w:pStyle w:val="44"/>
              <w:rPr>
                <w:color w:val="auto"/>
              </w:rPr>
            </w:pPr>
            <w:r>
              <w:rPr>
                <w:color w:val="auto"/>
              </w:rPr>
              <w:t>城宇物流</w:t>
            </w:r>
          </w:p>
        </w:tc>
        <w:tc>
          <w:tcPr>
            <w:tcW w:w="915" w:type="pct"/>
            <w:noWrap/>
            <w:vAlign w:val="center"/>
          </w:tcPr>
          <w:p w14:paraId="21B6B524">
            <w:pPr>
              <w:pStyle w:val="44"/>
              <w:rPr>
                <w:color w:val="auto"/>
              </w:rPr>
            </w:pPr>
            <w:r>
              <w:rPr>
                <w:color w:val="auto"/>
              </w:rPr>
              <w:t>16.99</w:t>
            </w:r>
          </w:p>
        </w:tc>
        <w:tc>
          <w:tcPr>
            <w:tcW w:w="592" w:type="pct"/>
            <w:noWrap/>
            <w:vAlign w:val="center"/>
          </w:tcPr>
          <w:p w14:paraId="766B9274">
            <w:pPr>
              <w:pStyle w:val="44"/>
              <w:rPr>
                <w:color w:val="auto"/>
              </w:rPr>
            </w:pPr>
            <w:r>
              <w:rPr>
                <w:color w:val="auto"/>
              </w:rPr>
              <w:t>2003年</w:t>
            </w:r>
          </w:p>
        </w:tc>
      </w:tr>
      <w:tr w14:paraId="73E05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AF2928A">
            <w:pPr>
              <w:pStyle w:val="44"/>
              <w:rPr>
                <w:color w:val="auto"/>
              </w:rPr>
            </w:pPr>
            <w:r>
              <w:rPr>
                <w:color w:val="auto"/>
              </w:rPr>
              <w:t>合计</w:t>
            </w:r>
          </w:p>
        </w:tc>
        <w:tc>
          <w:tcPr>
            <w:tcW w:w="530" w:type="pct"/>
            <w:vMerge w:val="continue"/>
            <w:vAlign w:val="center"/>
          </w:tcPr>
          <w:p w14:paraId="18D2A55A">
            <w:pPr>
              <w:pStyle w:val="44"/>
              <w:rPr>
                <w:color w:val="auto"/>
              </w:rPr>
            </w:pPr>
          </w:p>
        </w:tc>
        <w:tc>
          <w:tcPr>
            <w:tcW w:w="751" w:type="pct"/>
            <w:noWrap/>
            <w:vAlign w:val="center"/>
          </w:tcPr>
          <w:p w14:paraId="0420DE9B">
            <w:pPr>
              <w:pStyle w:val="44"/>
              <w:rPr>
                <w:color w:val="auto"/>
              </w:rPr>
            </w:pPr>
            <w:r>
              <w:rPr>
                <w:color w:val="auto"/>
              </w:rPr>
              <w:t>　</w:t>
            </w:r>
          </w:p>
        </w:tc>
        <w:tc>
          <w:tcPr>
            <w:tcW w:w="1844" w:type="pct"/>
            <w:noWrap/>
            <w:vAlign w:val="center"/>
          </w:tcPr>
          <w:p w14:paraId="17AE587C">
            <w:pPr>
              <w:pStyle w:val="44"/>
              <w:rPr>
                <w:color w:val="auto"/>
              </w:rPr>
            </w:pPr>
            <w:r>
              <w:rPr>
                <w:color w:val="auto"/>
              </w:rPr>
              <w:t>　</w:t>
            </w:r>
          </w:p>
        </w:tc>
        <w:tc>
          <w:tcPr>
            <w:tcW w:w="915" w:type="pct"/>
            <w:noWrap/>
            <w:vAlign w:val="center"/>
          </w:tcPr>
          <w:p w14:paraId="46CB88CA">
            <w:pPr>
              <w:pStyle w:val="44"/>
              <w:rPr>
                <w:color w:val="auto"/>
              </w:rPr>
            </w:pPr>
            <w:r>
              <w:rPr>
                <w:color w:val="auto"/>
              </w:rPr>
              <w:t>21.62</w:t>
            </w:r>
          </w:p>
        </w:tc>
        <w:tc>
          <w:tcPr>
            <w:tcW w:w="592" w:type="pct"/>
            <w:noWrap/>
            <w:vAlign w:val="center"/>
          </w:tcPr>
          <w:p w14:paraId="2F67F39F">
            <w:pPr>
              <w:pStyle w:val="44"/>
              <w:rPr>
                <w:color w:val="auto"/>
              </w:rPr>
            </w:pPr>
            <w:r>
              <w:rPr>
                <w:color w:val="auto"/>
              </w:rPr>
              <w:t>　</w:t>
            </w:r>
          </w:p>
        </w:tc>
      </w:tr>
      <w:tr w14:paraId="2DCEA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A896180">
            <w:pPr>
              <w:pStyle w:val="44"/>
              <w:rPr>
                <w:color w:val="auto"/>
              </w:rPr>
            </w:pPr>
            <w:r>
              <w:rPr>
                <w:color w:val="auto"/>
              </w:rPr>
              <w:t>1</w:t>
            </w:r>
          </w:p>
        </w:tc>
        <w:tc>
          <w:tcPr>
            <w:tcW w:w="530" w:type="pct"/>
            <w:vMerge w:val="restart"/>
            <w:vAlign w:val="center"/>
          </w:tcPr>
          <w:p w14:paraId="027539B5">
            <w:pPr>
              <w:pStyle w:val="44"/>
              <w:rPr>
                <w:color w:val="auto"/>
              </w:rPr>
            </w:pPr>
            <w:r>
              <w:rPr>
                <w:color w:val="auto"/>
              </w:rPr>
              <w:t>中梁山组团IKL标准分区及大渡口组团KO标准分区</w:t>
            </w:r>
          </w:p>
        </w:tc>
        <w:tc>
          <w:tcPr>
            <w:tcW w:w="751" w:type="pct"/>
            <w:vMerge w:val="restart"/>
            <w:noWrap/>
            <w:vAlign w:val="center"/>
          </w:tcPr>
          <w:p w14:paraId="7AF3817B">
            <w:pPr>
              <w:pStyle w:val="44"/>
              <w:rPr>
                <w:color w:val="auto"/>
              </w:rPr>
            </w:pPr>
            <w:r>
              <w:rPr>
                <w:color w:val="auto"/>
              </w:rPr>
              <w:t>I04-2/05</w:t>
            </w:r>
          </w:p>
        </w:tc>
        <w:tc>
          <w:tcPr>
            <w:tcW w:w="1844" w:type="pct"/>
            <w:vAlign w:val="center"/>
          </w:tcPr>
          <w:p w14:paraId="22E7E2F8">
            <w:pPr>
              <w:pStyle w:val="44"/>
              <w:rPr>
                <w:color w:val="auto"/>
              </w:rPr>
            </w:pPr>
            <w:r>
              <w:rPr>
                <w:color w:val="auto"/>
              </w:rPr>
              <w:t>重庆云益达机械配件有限公司生产厂房</w:t>
            </w:r>
          </w:p>
        </w:tc>
        <w:tc>
          <w:tcPr>
            <w:tcW w:w="915" w:type="pct"/>
            <w:vMerge w:val="restart"/>
            <w:noWrap/>
            <w:vAlign w:val="center"/>
          </w:tcPr>
          <w:p w14:paraId="70C2F706">
            <w:pPr>
              <w:pStyle w:val="44"/>
              <w:rPr>
                <w:color w:val="auto"/>
              </w:rPr>
            </w:pPr>
            <w:r>
              <w:rPr>
                <w:color w:val="auto"/>
              </w:rPr>
              <w:t xml:space="preserve">9.81 </w:t>
            </w:r>
          </w:p>
        </w:tc>
        <w:tc>
          <w:tcPr>
            <w:tcW w:w="592" w:type="pct"/>
            <w:noWrap/>
            <w:vAlign w:val="center"/>
          </w:tcPr>
          <w:p w14:paraId="336E8A03">
            <w:pPr>
              <w:pStyle w:val="44"/>
              <w:rPr>
                <w:color w:val="auto"/>
              </w:rPr>
            </w:pPr>
            <w:r>
              <w:rPr>
                <w:color w:val="auto"/>
              </w:rPr>
              <w:t>2019年</w:t>
            </w:r>
          </w:p>
        </w:tc>
      </w:tr>
      <w:tr w14:paraId="1CAA6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6CE9777">
            <w:pPr>
              <w:pStyle w:val="44"/>
              <w:rPr>
                <w:color w:val="auto"/>
              </w:rPr>
            </w:pPr>
            <w:r>
              <w:rPr>
                <w:color w:val="auto"/>
              </w:rPr>
              <w:t>2</w:t>
            </w:r>
          </w:p>
        </w:tc>
        <w:tc>
          <w:tcPr>
            <w:tcW w:w="530" w:type="pct"/>
            <w:vMerge w:val="continue"/>
            <w:vAlign w:val="center"/>
          </w:tcPr>
          <w:p w14:paraId="26A9836C">
            <w:pPr>
              <w:pStyle w:val="44"/>
              <w:rPr>
                <w:color w:val="auto"/>
              </w:rPr>
            </w:pPr>
          </w:p>
        </w:tc>
        <w:tc>
          <w:tcPr>
            <w:tcW w:w="751" w:type="pct"/>
            <w:vMerge w:val="continue"/>
            <w:vAlign w:val="center"/>
          </w:tcPr>
          <w:p w14:paraId="75EDB36C">
            <w:pPr>
              <w:pStyle w:val="44"/>
              <w:rPr>
                <w:color w:val="auto"/>
              </w:rPr>
            </w:pPr>
          </w:p>
        </w:tc>
        <w:tc>
          <w:tcPr>
            <w:tcW w:w="1844" w:type="pct"/>
            <w:vAlign w:val="center"/>
          </w:tcPr>
          <w:p w14:paraId="6265D73C">
            <w:pPr>
              <w:pStyle w:val="44"/>
              <w:rPr>
                <w:color w:val="auto"/>
              </w:rPr>
            </w:pPr>
            <w:r>
              <w:rPr>
                <w:color w:val="auto"/>
              </w:rPr>
              <w:t>九鼎升辉钢结构有限公司</w:t>
            </w:r>
          </w:p>
        </w:tc>
        <w:tc>
          <w:tcPr>
            <w:tcW w:w="915" w:type="pct"/>
            <w:vMerge w:val="continue"/>
            <w:vAlign w:val="center"/>
          </w:tcPr>
          <w:p w14:paraId="3B1348D1">
            <w:pPr>
              <w:pStyle w:val="44"/>
              <w:rPr>
                <w:color w:val="auto"/>
              </w:rPr>
            </w:pPr>
          </w:p>
        </w:tc>
        <w:tc>
          <w:tcPr>
            <w:tcW w:w="592" w:type="pct"/>
            <w:noWrap/>
            <w:vAlign w:val="center"/>
          </w:tcPr>
          <w:p w14:paraId="56EFB72D">
            <w:pPr>
              <w:pStyle w:val="44"/>
              <w:rPr>
                <w:color w:val="auto"/>
              </w:rPr>
            </w:pPr>
            <w:r>
              <w:rPr>
                <w:color w:val="auto"/>
              </w:rPr>
              <w:t>2019年</w:t>
            </w:r>
          </w:p>
        </w:tc>
      </w:tr>
      <w:tr w14:paraId="7C8DD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FD926DD">
            <w:pPr>
              <w:pStyle w:val="44"/>
              <w:rPr>
                <w:color w:val="auto"/>
              </w:rPr>
            </w:pPr>
            <w:r>
              <w:rPr>
                <w:color w:val="auto"/>
              </w:rPr>
              <w:t>3</w:t>
            </w:r>
          </w:p>
        </w:tc>
        <w:tc>
          <w:tcPr>
            <w:tcW w:w="530" w:type="pct"/>
            <w:vMerge w:val="continue"/>
            <w:vAlign w:val="center"/>
          </w:tcPr>
          <w:p w14:paraId="6DAC1720">
            <w:pPr>
              <w:pStyle w:val="44"/>
              <w:rPr>
                <w:color w:val="auto"/>
              </w:rPr>
            </w:pPr>
          </w:p>
        </w:tc>
        <w:tc>
          <w:tcPr>
            <w:tcW w:w="751" w:type="pct"/>
            <w:vMerge w:val="continue"/>
            <w:vAlign w:val="center"/>
          </w:tcPr>
          <w:p w14:paraId="46B0A2EB">
            <w:pPr>
              <w:pStyle w:val="44"/>
              <w:rPr>
                <w:color w:val="auto"/>
              </w:rPr>
            </w:pPr>
          </w:p>
        </w:tc>
        <w:tc>
          <w:tcPr>
            <w:tcW w:w="1844" w:type="pct"/>
            <w:vAlign w:val="center"/>
          </w:tcPr>
          <w:p w14:paraId="35238E9C">
            <w:pPr>
              <w:pStyle w:val="44"/>
              <w:rPr>
                <w:color w:val="auto"/>
              </w:rPr>
            </w:pPr>
            <w:r>
              <w:rPr>
                <w:color w:val="auto"/>
              </w:rPr>
              <w:t>华膜环保商场</w:t>
            </w:r>
          </w:p>
        </w:tc>
        <w:tc>
          <w:tcPr>
            <w:tcW w:w="915" w:type="pct"/>
            <w:vMerge w:val="continue"/>
            <w:vAlign w:val="center"/>
          </w:tcPr>
          <w:p w14:paraId="77D2F822">
            <w:pPr>
              <w:pStyle w:val="44"/>
              <w:rPr>
                <w:color w:val="auto"/>
              </w:rPr>
            </w:pPr>
          </w:p>
        </w:tc>
        <w:tc>
          <w:tcPr>
            <w:tcW w:w="592" w:type="pct"/>
            <w:noWrap/>
            <w:vAlign w:val="center"/>
          </w:tcPr>
          <w:p w14:paraId="7DF1FD61">
            <w:pPr>
              <w:pStyle w:val="44"/>
              <w:rPr>
                <w:color w:val="auto"/>
              </w:rPr>
            </w:pPr>
            <w:r>
              <w:rPr>
                <w:color w:val="auto"/>
              </w:rPr>
              <w:t>2019年</w:t>
            </w:r>
          </w:p>
        </w:tc>
      </w:tr>
      <w:tr w14:paraId="28D9F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390FFA3">
            <w:pPr>
              <w:pStyle w:val="44"/>
              <w:rPr>
                <w:color w:val="auto"/>
              </w:rPr>
            </w:pPr>
            <w:r>
              <w:rPr>
                <w:color w:val="auto"/>
              </w:rPr>
              <w:t>4</w:t>
            </w:r>
          </w:p>
        </w:tc>
        <w:tc>
          <w:tcPr>
            <w:tcW w:w="530" w:type="pct"/>
            <w:vMerge w:val="continue"/>
            <w:vAlign w:val="center"/>
          </w:tcPr>
          <w:p w14:paraId="6CF0113B">
            <w:pPr>
              <w:pStyle w:val="44"/>
              <w:rPr>
                <w:color w:val="auto"/>
              </w:rPr>
            </w:pPr>
          </w:p>
        </w:tc>
        <w:tc>
          <w:tcPr>
            <w:tcW w:w="751" w:type="pct"/>
            <w:vMerge w:val="continue"/>
            <w:vAlign w:val="center"/>
          </w:tcPr>
          <w:p w14:paraId="7E61FA98">
            <w:pPr>
              <w:pStyle w:val="44"/>
              <w:rPr>
                <w:color w:val="auto"/>
              </w:rPr>
            </w:pPr>
          </w:p>
        </w:tc>
        <w:tc>
          <w:tcPr>
            <w:tcW w:w="1844" w:type="pct"/>
            <w:vAlign w:val="center"/>
          </w:tcPr>
          <w:p w14:paraId="714F323F">
            <w:pPr>
              <w:pStyle w:val="44"/>
              <w:rPr>
                <w:color w:val="auto"/>
              </w:rPr>
            </w:pPr>
            <w:r>
              <w:rPr>
                <w:color w:val="auto"/>
              </w:rPr>
              <w:t>重庆科库商贸有限公司</w:t>
            </w:r>
          </w:p>
        </w:tc>
        <w:tc>
          <w:tcPr>
            <w:tcW w:w="915" w:type="pct"/>
            <w:vMerge w:val="continue"/>
            <w:vAlign w:val="center"/>
          </w:tcPr>
          <w:p w14:paraId="4F6B0E3C">
            <w:pPr>
              <w:pStyle w:val="44"/>
              <w:rPr>
                <w:color w:val="auto"/>
              </w:rPr>
            </w:pPr>
          </w:p>
        </w:tc>
        <w:tc>
          <w:tcPr>
            <w:tcW w:w="592" w:type="pct"/>
            <w:noWrap/>
            <w:vAlign w:val="center"/>
          </w:tcPr>
          <w:p w14:paraId="280299E2">
            <w:pPr>
              <w:pStyle w:val="44"/>
              <w:rPr>
                <w:color w:val="auto"/>
              </w:rPr>
            </w:pPr>
            <w:r>
              <w:rPr>
                <w:color w:val="auto"/>
              </w:rPr>
              <w:t>2019年</w:t>
            </w:r>
          </w:p>
        </w:tc>
      </w:tr>
      <w:tr w14:paraId="0C70B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6BF5E22">
            <w:pPr>
              <w:pStyle w:val="44"/>
              <w:rPr>
                <w:color w:val="auto"/>
              </w:rPr>
            </w:pPr>
            <w:r>
              <w:rPr>
                <w:color w:val="auto"/>
              </w:rPr>
              <w:t>5</w:t>
            </w:r>
          </w:p>
        </w:tc>
        <w:tc>
          <w:tcPr>
            <w:tcW w:w="530" w:type="pct"/>
            <w:vMerge w:val="continue"/>
            <w:vAlign w:val="center"/>
          </w:tcPr>
          <w:p w14:paraId="199861A2">
            <w:pPr>
              <w:pStyle w:val="44"/>
              <w:rPr>
                <w:color w:val="auto"/>
              </w:rPr>
            </w:pPr>
          </w:p>
        </w:tc>
        <w:tc>
          <w:tcPr>
            <w:tcW w:w="751" w:type="pct"/>
            <w:vMerge w:val="continue"/>
            <w:vAlign w:val="center"/>
          </w:tcPr>
          <w:p w14:paraId="6A396699">
            <w:pPr>
              <w:pStyle w:val="44"/>
              <w:rPr>
                <w:color w:val="auto"/>
              </w:rPr>
            </w:pPr>
          </w:p>
        </w:tc>
        <w:tc>
          <w:tcPr>
            <w:tcW w:w="1844" w:type="pct"/>
            <w:vAlign w:val="center"/>
          </w:tcPr>
          <w:p w14:paraId="50F06E26">
            <w:pPr>
              <w:pStyle w:val="44"/>
              <w:rPr>
                <w:color w:val="auto"/>
              </w:rPr>
            </w:pPr>
            <w:r>
              <w:rPr>
                <w:color w:val="auto"/>
              </w:rPr>
              <w:t>重庆新韵家具有限公司</w:t>
            </w:r>
          </w:p>
        </w:tc>
        <w:tc>
          <w:tcPr>
            <w:tcW w:w="915" w:type="pct"/>
            <w:vMerge w:val="continue"/>
            <w:vAlign w:val="center"/>
          </w:tcPr>
          <w:p w14:paraId="1B6287A3">
            <w:pPr>
              <w:pStyle w:val="44"/>
              <w:rPr>
                <w:color w:val="auto"/>
              </w:rPr>
            </w:pPr>
          </w:p>
        </w:tc>
        <w:tc>
          <w:tcPr>
            <w:tcW w:w="592" w:type="pct"/>
            <w:noWrap/>
            <w:vAlign w:val="center"/>
          </w:tcPr>
          <w:p w14:paraId="3CB126F7">
            <w:pPr>
              <w:pStyle w:val="44"/>
              <w:rPr>
                <w:color w:val="auto"/>
              </w:rPr>
            </w:pPr>
            <w:r>
              <w:rPr>
                <w:color w:val="auto"/>
              </w:rPr>
              <w:t>2019年</w:t>
            </w:r>
          </w:p>
        </w:tc>
      </w:tr>
      <w:tr w14:paraId="56544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DB7C885">
            <w:pPr>
              <w:pStyle w:val="44"/>
              <w:rPr>
                <w:color w:val="auto"/>
              </w:rPr>
            </w:pPr>
            <w:r>
              <w:rPr>
                <w:color w:val="auto"/>
              </w:rPr>
              <w:t>6</w:t>
            </w:r>
          </w:p>
        </w:tc>
        <w:tc>
          <w:tcPr>
            <w:tcW w:w="530" w:type="pct"/>
            <w:vMerge w:val="continue"/>
            <w:vAlign w:val="center"/>
          </w:tcPr>
          <w:p w14:paraId="328ED58A">
            <w:pPr>
              <w:pStyle w:val="44"/>
              <w:rPr>
                <w:color w:val="auto"/>
              </w:rPr>
            </w:pPr>
          </w:p>
        </w:tc>
        <w:tc>
          <w:tcPr>
            <w:tcW w:w="751" w:type="pct"/>
            <w:vMerge w:val="continue"/>
            <w:vAlign w:val="center"/>
          </w:tcPr>
          <w:p w14:paraId="33199A48">
            <w:pPr>
              <w:pStyle w:val="44"/>
              <w:rPr>
                <w:color w:val="auto"/>
              </w:rPr>
            </w:pPr>
          </w:p>
        </w:tc>
        <w:tc>
          <w:tcPr>
            <w:tcW w:w="1844" w:type="pct"/>
            <w:vAlign w:val="center"/>
          </w:tcPr>
          <w:p w14:paraId="2D52D650">
            <w:pPr>
              <w:pStyle w:val="44"/>
              <w:rPr>
                <w:color w:val="auto"/>
              </w:rPr>
            </w:pPr>
            <w:r>
              <w:rPr>
                <w:color w:val="auto"/>
              </w:rPr>
              <w:t>蓝庆彩钢</w:t>
            </w:r>
          </w:p>
        </w:tc>
        <w:tc>
          <w:tcPr>
            <w:tcW w:w="915" w:type="pct"/>
            <w:vMerge w:val="continue"/>
            <w:vAlign w:val="center"/>
          </w:tcPr>
          <w:p w14:paraId="3C08499B">
            <w:pPr>
              <w:pStyle w:val="44"/>
              <w:rPr>
                <w:color w:val="auto"/>
              </w:rPr>
            </w:pPr>
          </w:p>
        </w:tc>
        <w:tc>
          <w:tcPr>
            <w:tcW w:w="592" w:type="pct"/>
            <w:noWrap/>
            <w:vAlign w:val="center"/>
          </w:tcPr>
          <w:p w14:paraId="19C0AB9F">
            <w:pPr>
              <w:pStyle w:val="44"/>
              <w:rPr>
                <w:color w:val="auto"/>
              </w:rPr>
            </w:pPr>
            <w:r>
              <w:rPr>
                <w:color w:val="auto"/>
              </w:rPr>
              <w:t>2019年</w:t>
            </w:r>
          </w:p>
        </w:tc>
      </w:tr>
      <w:tr w14:paraId="5B3A6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4937836">
            <w:pPr>
              <w:pStyle w:val="44"/>
              <w:rPr>
                <w:color w:val="auto"/>
              </w:rPr>
            </w:pPr>
            <w:r>
              <w:rPr>
                <w:color w:val="auto"/>
              </w:rPr>
              <w:t>7</w:t>
            </w:r>
          </w:p>
        </w:tc>
        <w:tc>
          <w:tcPr>
            <w:tcW w:w="530" w:type="pct"/>
            <w:vMerge w:val="continue"/>
            <w:vAlign w:val="center"/>
          </w:tcPr>
          <w:p w14:paraId="1BB44CE9">
            <w:pPr>
              <w:pStyle w:val="44"/>
              <w:rPr>
                <w:color w:val="auto"/>
              </w:rPr>
            </w:pPr>
          </w:p>
        </w:tc>
        <w:tc>
          <w:tcPr>
            <w:tcW w:w="751" w:type="pct"/>
            <w:noWrap/>
            <w:vAlign w:val="center"/>
          </w:tcPr>
          <w:p w14:paraId="5E28F88B">
            <w:pPr>
              <w:pStyle w:val="44"/>
              <w:rPr>
                <w:color w:val="auto"/>
              </w:rPr>
            </w:pPr>
            <w:r>
              <w:rPr>
                <w:color w:val="auto"/>
              </w:rPr>
              <w:t>I05-1/04</w:t>
            </w:r>
          </w:p>
        </w:tc>
        <w:tc>
          <w:tcPr>
            <w:tcW w:w="1844" w:type="pct"/>
            <w:vAlign w:val="center"/>
          </w:tcPr>
          <w:p w14:paraId="6F6E6514">
            <w:pPr>
              <w:pStyle w:val="44"/>
              <w:rPr>
                <w:color w:val="auto"/>
              </w:rPr>
            </w:pPr>
            <w:r>
              <w:rPr>
                <w:color w:val="auto"/>
              </w:rPr>
              <w:t>壹本科工城</w:t>
            </w:r>
          </w:p>
        </w:tc>
        <w:tc>
          <w:tcPr>
            <w:tcW w:w="915" w:type="pct"/>
            <w:noWrap/>
            <w:vAlign w:val="center"/>
          </w:tcPr>
          <w:p w14:paraId="767A84F3">
            <w:pPr>
              <w:pStyle w:val="44"/>
              <w:rPr>
                <w:color w:val="auto"/>
              </w:rPr>
            </w:pPr>
            <w:r>
              <w:rPr>
                <w:color w:val="auto"/>
              </w:rPr>
              <w:t xml:space="preserve">7.50 </w:t>
            </w:r>
          </w:p>
        </w:tc>
        <w:tc>
          <w:tcPr>
            <w:tcW w:w="592" w:type="pct"/>
            <w:noWrap/>
            <w:vAlign w:val="center"/>
          </w:tcPr>
          <w:p w14:paraId="41ADDD64">
            <w:pPr>
              <w:pStyle w:val="44"/>
              <w:rPr>
                <w:color w:val="auto"/>
              </w:rPr>
            </w:pPr>
            <w:r>
              <w:rPr>
                <w:color w:val="auto"/>
              </w:rPr>
              <w:t>2017年</w:t>
            </w:r>
          </w:p>
        </w:tc>
      </w:tr>
      <w:tr w14:paraId="47FD2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FF7D8BA">
            <w:pPr>
              <w:pStyle w:val="44"/>
              <w:rPr>
                <w:color w:val="auto"/>
              </w:rPr>
            </w:pPr>
            <w:r>
              <w:rPr>
                <w:color w:val="auto"/>
              </w:rPr>
              <w:t>8</w:t>
            </w:r>
          </w:p>
        </w:tc>
        <w:tc>
          <w:tcPr>
            <w:tcW w:w="530" w:type="pct"/>
            <w:vMerge w:val="continue"/>
            <w:vAlign w:val="center"/>
          </w:tcPr>
          <w:p w14:paraId="155D328A">
            <w:pPr>
              <w:pStyle w:val="44"/>
              <w:rPr>
                <w:color w:val="auto"/>
              </w:rPr>
            </w:pPr>
          </w:p>
        </w:tc>
        <w:tc>
          <w:tcPr>
            <w:tcW w:w="751" w:type="pct"/>
            <w:noWrap/>
            <w:vAlign w:val="center"/>
          </w:tcPr>
          <w:p w14:paraId="4EE3A523">
            <w:pPr>
              <w:pStyle w:val="44"/>
              <w:rPr>
                <w:color w:val="auto"/>
              </w:rPr>
            </w:pPr>
            <w:r>
              <w:rPr>
                <w:color w:val="auto"/>
              </w:rPr>
              <w:t>I06-1/05</w:t>
            </w:r>
          </w:p>
        </w:tc>
        <w:tc>
          <w:tcPr>
            <w:tcW w:w="1844" w:type="pct"/>
            <w:noWrap/>
            <w:vAlign w:val="center"/>
          </w:tcPr>
          <w:p w14:paraId="6400DEDD">
            <w:pPr>
              <w:pStyle w:val="44"/>
              <w:rPr>
                <w:color w:val="auto"/>
              </w:rPr>
            </w:pPr>
            <w:r>
              <w:rPr>
                <w:color w:val="auto"/>
              </w:rPr>
              <w:t>壹本科工城</w:t>
            </w:r>
          </w:p>
        </w:tc>
        <w:tc>
          <w:tcPr>
            <w:tcW w:w="915" w:type="pct"/>
            <w:noWrap/>
            <w:vAlign w:val="center"/>
          </w:tcPr>
          <w:p w14:paraId="0B8BF143">
            <w:pPr>
              <w:pStyle w:val="44"/>
              <w:rPr>
                <w:color w:val="auto"/>
              </w:rPr>
            </w:pPr>
            <w:r>
              <w:rPr>
                <w:color w:val="auto"/>
              </w:rPr>
              <w:t xml:space="preserve">3.49 </w:t>
            </w:r>
          </w:p>
        </w:tc>
        <w:tc>
          <w:tcPr>
            <w:tcW w:w="592" w:type="pct"/>
            <w:noWrap/>
            <w:vAlign w:val="center"/>
          </w:tcPr>
          <w:p w14:paraId="582935EC">
            <w:pPr>
              <w:pStyle w:val="44"/>
              <w:rPr>
                <w:color w:val="auto"/>
              </w:rPr>
            </w:pPr>
            <w:r>
              <w:rPr>
                <w:color w:val="auto"/>
              </w:rPr>
              <w:t>2017年</w:t>
            </w:r>
          </w:p>
        </w:tc>
      </w:tr>
      <w:tr w14:paraId="45283E5B">
        <w:tblPrEx>
          <w:tblCellMar>
            <w:top w:w="0" w:type="dxa"/>
            <w:left w:w="108" w:type="dxa"/>
            <w:bottom w:w="0" w:type="dxa"/>
            <w:right w:w="108" w:type="dxa"/>
          </w:tblCellMar>
        </w:tblPrEx>
        <w:trPr>
          <w:trHeight w:val="227" w:hRule="atLeast"/>
        </w:trPr>
        <w:tc>
          <w:tcPr>
            <w:tcW w:w="368" w:type="pct"/>
            <w:noWrap/>
            <w:vAlign w:val="center"/>
          </w:tcPr>
          <w:p w14:paraId="5664F288">
            <w:pPr>
              <w:pStyle w:val="44"/>
              <w:rPr>
                <w:color w:val="auto"/>
              </w:rPr>
            </w:pPr>
            <w:r>
              <w:rPr>
                <w:color w:val="auto"/>
              </w:rPr>
              <w:t>9</w:t>
            </w:r>
          </w:p>
        </w:tc>
        <w:tc>
          <w:tcPr>
            <w:tcW w:w="530" w:type="pct"/>
            <w:vMerge w:val="continue"/>
            <w:vAlign w:val="center"/>
          </w:tcPr>
          <w:p w14:paraId="329D2BDA">
            <w:pPr>
              <w:pStyle w:val="44"/>
              <w:rPr>
                <w:color w:val="auto"/>
              </w:rPr>
            </w:pPr>
          </w:p>
        </w:tc>
        <w:tc>
          <w:tcPr>
            <w:tcW w:w="751" w:type="pct"/>
            <w:vMerge w:val="restart"/>
            <w:noWrap/>
            <w:vAlign w:val="center"/>
          </w:tcPr>
          <w:p w14:paraId="4C9C3094">
            <w:pPr>
              <w:pStyle w:val="44"/>
              <w:rPr>
                <w:color w:val="auto"/>
              </w:rPr>
            </w:pPr>
            <w:r>
              <w:rPr>
                <w:color w:val="auto"/>
              </w:rPr>
              <w:t>I08-1/04</w:t>
            </w:r>
          </w:p>
        </w:tc>
        <w:tc>
          <w:tcPr>
            <w:tcW w:w="1844" w:type="pct"/>
            <w:noWrap/>
            <w:vAlign w:val="center"/>
          </w:tcPr>
          <w:p w14:paraId="3E47D6C0">
            <w:pPr>
              <w:pStyle w:val="44"/>
              <w:rPr>
                <w:color w:val="auto"/>
              </w:rPr>
            </w:pPr>
            <w:r>
              <w:rPr>
                <w:color w:val="auto"/>
              </w:rPr>
              <w:t>重庆蟠龙印务有限公司</w:t>
            </w:r>
          </w:p>
        </w:tc>
        <w:tc>
          <w:tcPr>
            <w:tcW w:w="915" w:type="pct"/>
            <w:vMerge w:val="restart"/>
            <w:noWrap/>
            <w:vAlign w:val="center"/>
          </w:tcPr>
          <w:p w14:paraId="58884618">
            <w:pPr>
              <w:pStyle w:val="44"/>
              <w:rPr>
                <w:color w:val="auto"/>
              </w:rPr>
            </w:pPr>
            <w:r>
              <w:rPr>
                <w:color w:val="auto"/>
              </w:rPr>
              <w:t xml:space="preserve">7.53 </w:t>
            </w:r>
          </w:p>
        </w:tc>
        <w:tc>
          <w:tcPr>
            <w:tcW w:w="592" w:type="pct"/>
            <w:noWrap/>
            <w:vAlign w:val="center"/>
          </w:tcPr>
          <w:p w14:paraId="34EB61E1">
            <w:pPr>
              <w:pStyle w:val="44"/>
              <w:rPr>
                <w:color w:val="auto"/>
              </w:rPr>
            </w:pPr>
            <w:r>
              <w:rPr>
                <w:color w:val="auto"/>
              </w:rPr>
              <w:t>2013年</w:t>
            </w:r>
          </w:p>
        </w:tc>
      </w:tr>
      <w:tr w14:paraId="16F8B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BBBD0BD">
            <w:pPr>
              <w:pStyle w:val="44"/>
              <w:rPr>
                <w:color w:val="auto"/>
              </w:rPr>
            </w:pPr>
            <w:r>
              <w:rPr>
                <w:color w:val="auto"/>
              </w:rPr>
              <w:t>10</w:t>
            </w:r>
          </w:p>
        </w:tc>
        <w:tc>
          <w:tcPr>
            <w:tcW w:w="530" w:type="pct"/>
            <w:vMerge w:val="continue"/>
            <w:vAlign w:val="center"/>
          </w:tcPr>
          <w:p w14:paraId="0E22FFC4">
            <w:pPr>
              <w:pStyle w:val="44"/>
              <w:rPr>
                <w:color w:val="auto"/>
              </w:rPr>
            </w:pPr>
          </w:p>
        </w:tc>
        <w:tc>
          <w:tcPr>
            <w:tcW w:w="751" w:type="pct"/>
            <w:vMerge w:val="continue"/>
            <w:vAlign w:val="center"/>
          </w:tcPr>
          <w:p w14:paraId="796C4D24">
            <w:pPr>
              <w:pStyle w:val="44"/>
              <w:rPr>
                <w:color w:val="auto"/>
              </w:rPr>
            </w:pPr>
          </w:p>
        </w:tc>
        <w:tc>
          <w:tcPr>
            <w:tcW w:w="1844" w:type="pct"/>
            <w:noWrap/>
            <w:vAlign w:val="center"/>
          </w:tcPr>
          <w:p w14:paraId="378F6DF8">
            <w:pPr>
              <w:pStyle w:val="44"/>
              <w:rPr>
                <w:color w:val="auto"/>
              </w:rPr>
            </w:pPr>
            <w:r>
              <w:rPr>
                <w:color w:val="auto"/>
              </w:rPr>
              <w:t>澜璟板材</w:t>
            </w:r>
          </w:p>
        </w:tc>
        <w:tc>
          <w:tcPr>
            <w:tcW w:w="915" w:type="pct"/>
            <w:vMerge w:val="continue"/>
            <w:vAlign w:val="center"/>
          </w:tcPr>
          <w:p w14:paraId="2198D635">
            <w:pPr>
              <w:pStyle w:val="44"/>
              <w:rPr>
                <w:color w:val="auto"/>
              </w:rPr>
            </w:pPr>
          </w:p>
        </w:tc>
        <w:tc>
          <w:tcPr>
            <w:tcW w:w="592" w:type="pct"/>
            <w:noWrap/>
            <w:vAlign w:val="center"/>
          </w:tcPr>
          <w:p w14:paraId="202DFABE">
            <w:pPr>
              <w:pStyle w:val="44"/>
              <w:rPr>
                <w:color w:val="auto"/>
              </w:rPr>
            </w:pPr>
            <w:r>
              <w:rPr>
                <w:color w:val="auto"/>
              </w:rPr>
              <w:t>2013年</w:t>
            </w:r>
          </w:p>
        </w:tc>
      </w:tr>
      <w:tr w14:paraId="68E15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A45E25B">
            <w:pPr>
              <w:pStyle w:val="44"/>
              <w:rPr>
                <w:color w:val="auto"/>
              </w:rPr>
            </w:pPr>
            <w:r>
              <w:rPr>
                <w:color w:val="auto"/>
              </w:rPr>
              <w:t>11</w:t>
            </w:r>
          </w:p>
        </w:tc>
        <w:tc>
          <w:tcPr>
            <w:tcW w:w="530" w:type="pct"/>
            <w:vMerge w:val="continue"/>
            <w:vAlign w:val="center"/>
          </w:tcPr>
          <w:p w14:paraId="417F5293">
            <w:pPr>
              <w:pStyle w:val="44"/>
              <w:rPr>
                <w:color w:val="auto"/>
              </w:rPr>
            </w:pPr>
          </w:p>
        </w:tc>
        <w:tc>
          <w:tcPr>
            <w:tcW w:w="751" w:type="pct"/>
            <w:vMerge w:val="continue"/>
            <w:vAlign w:val="center"/>
          </w:tcPr>
          <w:p w14:paraId="5CA1E3BF">
            <w:pPr>
              <w:pStyle w:val="44"/>
              <w:rPr>
                <w:color w:val="auto"/>
              </w:rPr>
            </w:pPr>
          </w:p>
        </w:tc>
        <w:tc>
          <w:tcPr>
            <w:tcW w:w="1844" w:type="pct"/>
            <w:noWrap/>
            <w:vAlign w:val="center"/>
          </w:tcPr>
          <w:p w14:paraId="621CE20A">
            <w:pPr>
              <w:pStyle w:val="44"/>
              <w:rPr>
                <w:color w:val="auto"/>
              </w:rPr>
            </w:pPr>
            <w:r>
              <w:rPr>
                <w:color w:val="auto"/>
              </w:rPr>
              <w:t>鸿兴钢材加工</w:t>
            </w:r>
          </w:p>
        </w:tc>
        <w:tc>
          <w:tcPr>
            <w:tcW w:w="915" w:type="pct"/>
            <w:vMerge w:val="continue"/>
            <w:vAlign w:val="center"/>
          </w:tcPr>
          <w:p w14:paraId="579AFB3F">
            <w:pPr>
              <w:pStyle w:val="44"/>
              <w:rPr>
                <w:color w:val="auto"/>
              </w:rPr>
            </w:pPr>
          </w:p>
        </w:tc>
        <w:tc>
          <w:tcPr>
            <w:tcW w:w="592" w:type="pct"/>
            <w:noWrap/>
            <w:vAlign w:val="center"/>
          </w:tcPr>
          <w:p w14:paraId="68F748CF">
            <w:pPr>
              <w:pStyle w:val="44"/>
              <w:rPr>
                <w:color w:val="auto"/>
              </w:rPr>
            </w:pPr>
            <w:r>
              <w:rPr>
                <w:color w:val="auto"/>
              </w:rPr>
              <w:t>2013年</w:t>
            </w:r>
          </w:p>
        </w:tc>
      </w:tr>
      <w:tr w14:paraId="7A0E6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BC9246C">
            <w:pPr>
              <w:pStyle w:val="44"/>
              <w:rPr>
                <w:color w:val="auto"/>
              </w:rPr>
            </w:pPr>
            <w:r>
              <w:rPr>
                <w:color w:val="auto"/>
              </w:rPr>
              <w:t>12</w:t>
            </w:r>
          </w:p>
        </w:tc>
        <w:tc>
          <w:tcPr>
            <w:tcW w:w="530" w:type="pct"/>
            <w:vMerge w:val="continue"/>
            <w:vAlign w:val="center"/>
          </w:tcPr>
          <w:p w14:paraId="49819317">
            <w:pPr>
              <w:pStyle w:val="44"/>
              <w:rPr>
                <w:color w:val="auto"/>
              </w:rPr>
            </w:pPr>
          </w:p>
        </w:tc>
        <w:tc>
          <w:tcPr>
            <w:tcW w:w="751" w:type="pct"/>
            <w:vMerge w:val="continue"/>
            <w:vAlign w:val="center"/>
          </w:tcPr>
          <w:p w14:paraId="0569AFC5">
            <w:pPr>
              <w:pStyle w:val="44"/>
              <w:rPr>
                <w:color w:val="auto"/>
              </w:rPr>
            </w:pPr>
          </w:p>
        </w:tc>
        <w:tc>
          <w:tcPr>
            <w:tcW w:w="1844" w:type="pct"/>
            <w:noWrap/>
            <w:vAlign w:val="center"/>
          </w:tcPr>
          <w:p w14:paraId="23A066AE">
            <w:pPr>
              <w:pStyle w:val="44"/>
              <w:rPr>
                <w:color w:val="auto"/>
              </w:rPr>
            </w:pPr>
            <w:r>
              <w:rPr>
                <w:color w:val="auto"/>
              </w:rPr>
              <w:t>重庆鑫磊机械制造有限公司</w:t>
            </w:r>
          </w:p>
        </w:tc>
        <w:tc>
          <w:tcPr>
            <w:tcW w:w="915" w:type="pct"/>
            <w:vMerge w:val="continue"/>
            <w:vAlign w:val="center"/>
          </w:tcPr>
          <w:p w14:paraId="1D5B43C6">
            <w:pPr>
              <w:pStyle w:val="44"/>
              <w:rPr>
                <w:color w:val="auto"/>
              </w:rPr>
            </w:pPr>
          </w:p>
        </w:tc>
        <w:tc>
          <w:tcPr>
            <w:tcW w:w="592" w:type="pct"/>
            <w:noWrap/>
            <w:vAlign w:val="center"/>
          </w:tcPr>
          <w:p w14:paraId="1F4DC153">
            <w:pPr>
              <w:pStyle w:val="44"/>
              <w:rPr>
                <w:color w:val="auto"/>
              </w:rPr>
            </w:pPr>
            <w:r>
              <w:rPr>
                <w:color w:val="auto"/>
              </w:rPr>
              <w:t>2013年</w:t>
            </w:r>
          </w:p>
        </w:tc>
      </w:tr>
      <w:tr w14:paraId="0B3E4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02C5B2F">
            <w:pPr>
              <w:pStyle w:val="44"/>
              <w:rPr>
                <w:color w:val="auto"/>
              </w:rPr>
            </w:pPr>
            <w:r>
              <w:rPr>
                <w:color w:val="auto"/>
              </w:rPr>
              <w:t>13</w:t>
            </w:r>
          </w:p>
        </w:tc>
        <w:tc>
          <w:tcPr>
            <w:tcW w:w="530" w:type="pct"/>
            <w:vMerge w:val="continue"/>
            <w:vAlign w:val="center"/>
          </w:tcPr>
          <w:p w14:paraId="17232311">
            <w:pPr>
              <w:pStyle w:val="44"/>
              <w:rPr>
                <w:color w:val="auto"/>
              </w:rPr>
            </w:pPr>
          </w:p>
        </w:tc>
        <w:tc>
          <w:tcPr>
            <w:tcW w:w="751" w:type="pct"/>
            <w:noWrap/>
            <w:vAlign w:val="center"/>
          </w:tcPr>
          <w:p w14:paraId="47A0E6C0">
            <w:pPr>
              <w:pStyle w:val="44"/>
              <w:rPr>
                <w:color w:val="auto"/>
              </w:rPr>
            </w:pPr>
            <w:r>
              <w:rPr>
                <w:color w:val="auto"/>
              </w:rPr>
              <w:t>I09-2/04</w:t>
            </w:r>
          </w:p>
        </w:tc>
        <w:tc>
          <w:tcPr>
            <w:tcW w:w="1844" w:type="pct"/>
            <w:vAlign w:val="center"/>
          </w:tcPr>
          <w:p w14:paraId="7F137ADC">
            <w:pPr>
              <w:pStyle w:val="44"/>
              <w:rPr>
                <w:color w:val="auto"/>
              </w:rPr>
            </w:pPr>
            <w:r>
              <w:rPr>
                <w:color w:val="auto"/>
              </w:rPr>
              <w:t>壹本科工城</w:t>
            </w:r>
          </w:p>
        </w:tc>
        <w:tc>
          <w:tcPr>
            <w:tcW w:w="915" w:type="pct"/>
            <w:noWrap/>
            <w:vAlign w:val="center"/>
          </w:tcPr>
          <w:p w14:paraId="1835D4B3">
            <w:pPr>
              <w:pStyle w:val="44"/>
              <w:rPr>
                <w:color w:val="auto"/>
              </w:rPr>
            </w:pPr>
            <w:r>
              <w:rPr>
                <w:color w:val="auto"/>
              </w:rPr>
              <w:t xml:space="preserve">4.93 </w:t>
            </w:r>
          </w:p>
        </w:tc>
        <w:tc>
          <w:tcPr>
            <w:tcW w:w="592" w:type="pct"/>
            <w:noWrap/>
            <w:vAlign w:val="center"/>
          </w:tcPr>
          <w:p w14:paraId="66AC6264">
            <w:pPr>
              <w:pStyle w:val="44"/>
              <w:rPr>
                <w:color w:val="auto"/>
              </w:rPr>
            </w:pPr>
            <w:r>
              <w:rPr>
                <w:color w:val="auto"/>
              </w:rPr>
              <w:t>2015年</w:t>
            </w:r>
          </w:p>
        </w:tc>
      </w:tr>
      <w:tr w14:paraId="37D10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457E7B8">
            <w:pPr>
              <w:pStyle w:val="44"/>
              <w:rPr>
                <w:color w:val="auto"/>
              </w:rPr>
            </w:pPr>
            <w:r>
              <w:rPr>
                <w:color w:val="auto"/>
              </w:rPr>
              <w:t>14</w:t>
            </w:r>
          </w:p>
        </w:tc>
        <w:tc>
          <w:tcPr>
            <w:tcW w:w="530" w:type="pct"/>
            <w:vMerge w:val="continue"/>
            <w:vAlign w:val="center"/>
          </w:tcPr>
          <w:p w14:paraId="38D719D7">
            <w:pPr>
              <w:pStyle w:val="44"/>
              <w:rPr>
                <w:color w:val="auto"/>
              </w:rPr>
            </w:pPr>
          </w:p>
        </w:tc>
        <w:tc>
          <w:tcPr>
            <w:tcW w:w="751" w:type="pct"/>
            <w:vMerge w:val="restart"/>
            <w:noWrap/>
            <w:vAlign w:val="center"/>
          </w:tcPr>
          <w:p w14:paraId="04DF6D9C">
            <w:pPr>
              <w:pStyle w:val="44"/>
              <w:rPr>
                <w:color w:val="auto"/>
              </w:rPr>
            </w:pPr>
            <w:r>
              <w:rPr>
                <w:color w:val="auto"/>
              </w:rPr>
              <w:t>I11-1/04</w:t>
            </w:r>
          </w:p>
        </w:tc>
        <w:tc>
          <w:tcPr>
            <w:tcW w:w="1844" w:type="pct"/>
            <w:noWrap/>
            <w:vAlign w:val="center"/>
          </w:tcPr>
          <w:p w14:paraId="6F6F6B91">
            <w:pPr>
              <w:pStyle w:val="44"/>
              <w:rPr>
                <w:color w:val="auto"/>
              </w:rPr>
            </w:pPr>
            <w:r>
              <w:rPr>
                <w:color w:val="auto"/>
              </w:rPr>
              <w:t>壹本科工城D区</w:t>
            </w:r>
          </w:p>
        </w:tc>
        <w:tc>
          <w:tcPr>
            <w:tcW w:w="915" w:type="pct"/>
            <w:vMerge w:val="restart"/>
            <w:noWrap/>
            <w:vAlign w:val="center"/>
          </w:tcPr>
          <w:p w14:paraId="725FF43D">
            <w:pPr>
              <w:pStyle w:val="44"/>
              <w:rPr>
                <w:color w:val="auto"/>
              </w:rPr>
            </w:pPr>
            <w:r>
              <w:rPr>
                <w:color w:val="auto"/>
              </w:rPr>
              <w:t xml:space="preserve">12.15 </w:t>
            </w:r>
          </w:p>
        </w:tc>
        <w:tc>
          <w:tcPr>
            <w:tcW w:w="592" w:type="pct"/>
            <w:noWrap/>
            <w:vAlign w:val="center"/>
          </w:tcPr>
          <w:p w14:paraId="78B99C5E">
            <w:pPr>
              <w:pStyle w:val="44"/>
              <w:rPr>
                <w:color w:val="auto"/>
              </w:rPr>
            </w:pPr>
            <w:r>
              <w:rPr>
                <w:color w:val="auto"/>
              </w:rPr>
              <w:t>2017年</w:t>
            </w:r>
          </w:p>
        </w:tc>
      </w:tr>
      <w:tr w14:paraId="61040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1627B09">
            <w:pPr>
              <w:pStyle w:val="44"/>
              <w:rPr>
                <w:color w:val="auto"/>
              </w:rPr>
            </w:pPr>
            <w:r>
              <w:rPr>
                <w:color w:val="auto"/>
              </w:rPr>
              <w:t>15</w:t>
            </w:r>
          </w:p>
        </w:tc>
        <w:tc>
          <w:tcPr>
            <w:tcW w:w="530" w:type="pct"/>
            <w:vMerge w:val="continue"/>
            <w:vAlign w:val="center"/>
          </w:tcPr>
          <w:p w14:paraId="5E72B2CD">
            <w:pPr>
              <w:pStyle w:val="44"/>
              <w:rPr>
                <w:color w:val="auto"/>
              </w:rPr>
            </w:pPr>
          </w:p>
        </w:tc>
        <w:tc>
          <w:tcPr>
            <w:tcW w:w="751" w:type="pct"/>
            <w:vMerge w:val="continue"/>
            <w:vAlign w:val="center"/>
          </w:tcPr>
          <w:p w14:paraId="53ADB37A">
            <w:pPr>
              <w:pStyle w:val="44"/>
              <w:rPr>
                <w:color w:val="auto"/>
              </w:rPr>
            </w:pPr>
          </w:p>
        </w:tc>
        <w:tc>
          <w:tcPr>
            <w:tcW w:w="1844" w:type="pct"/>
            <w:noWrap/>
            <w:vAlign w:val="center"/>
          </w:tcPr>
          <w:p w14:paraId="49926B5A">
            <w:pPr>
              <w:pStyle w:val="44"/>
              <w:rPr>
                <w:color w:val="auto"/>
              </w:rPr>
            </w:pPr>
            <w:r>
              <w:rPr>
                <w:color w:val="auto"/>
              </w:rPr>
              <w:t>智能门窗产业园</w:t>
            </w:r>
          </w:p>
        </w:tc>
        <w:tc>
          <w:tcPr>
            <w:tcW w:w="915" w:type="pct"/>
            <w:vMerge w:val="continue"/>
            <w:vAlign w:val="center"/>
          </w:tcPr>
          <w:p w14:paraId="299C2574">
            <w:pPr>
              <w:pStyle w:val="44"/>
              <w:rPr>
                <w:color w:val="auto"/>
              </w:rPr>
            </w:pPr>
          </w:p>
        </w:tc>
        <w:tc>
          <w:tcPr>
            <w:tcW w:w="592" w:type="pct"/>
            <w:noWrap/>
            <w:vAlign w:val="center"/>
          </w:tcPr>
          <w:p w14:paraId="58F9036E">
            <w:pPr>
              <w:pStyle w:val="44"/>
              <w:rPr>
                <w:color w:val="auto"/>
              </w:rPr>
            </w:pPr>
            <w:r>
              <w:rPr>
                <w:color w:val="auto"/>
              </w:rPr>
              <w:t>2014年</w:t>
            </w:r>
          </w:p>
        </w:tc>
      </w:tr>
      <w:tr w14:paraId="4AAB8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7489255">
            <w:pPr>
              <w:pStyle w:val="44"/>
              <w:rPr>
                <w:color w:val="auto"/>
              </w:rPr>
            </w:pPr>
            <w:r>
              <w:rPr>
                <w:color w:val="auto"/>
              </w:rPr>
              <w:t>16</w:t>
            </w:r>
          </w:p>
        </w:tc>
        <w:tc>
          <w:tcPr>
            <w:tcW w:w="530" w:type="pct"/>
            <w:vMerge w:val="continue"/>
            <w:vAlign w:val="center"/>
          </w:tcPr>
          <w:p w14:paraId="73706729">
            <w:pPr>
              <w:pStyle w:val="44"/>
              <w:rPr>
                <w:color w:val="auto"/>
              </w:rPr>
            </w:pPr>
          </w:p>
        </w:tc>
        <w:tc>
          <w:tcPr>
            <w:tcW w:w="751" w:type="pct"/>
            <w:vMerge w:val="continue"/>
            <w:vAlign w:val="center"/>
          </w:tcPr>
          <w:p w14:paraId="6BFD2BC7">
            <w:pPr>
              <w:pStyle w:val="44"/>
              <w:rPr>
                <w:color w:val="auto"/>
              </w:rPr>
            </w:pPr>
          </w:p>
        </w:tc>
        <w:tc>
          <w:tcPr>
            <w:tcW w:w="1844" w:type="pct"/>
            <w:noWrap/>
            <w:vAlign w:val="center"/>
          </w:tcPr>
          <w:p w14:paraId="3C8BF0BC">
            <w:pPr>
              <w:pStyle w:val="44"/>
              <w:rPr>
                <w:color w:val="auto"/>
              </w:rPr>
            </w:pPr>
            <w:r>
              <w:rPr>
                <w:color w:val="auto"/>
              </w:rPr>
              <w:t>重庆天巨铝业有限公司</w:t>
            </w:r>
          </w:p>
        </w:tc>
        <w:tc>
          <w:tcPr>
            <w:tcW w:w="915" w:type="pct"/>
            <w:vMerge w:val="continue"/>
            <w:vAlign w:val="center"/>
          </w:tcPr>
          <w:p w14:paraId="7C35DBB1">
            <w:pPr>
              <w:pStyle w:val="44"/>
              <w:rPr>
                <w:color w:val="auto"/>
              </w:rPr>
            </w:pPr>
          </w:p>
        </w:tc>
        <w:tc>
          <w:tcPr>
            <w:tcW w:w="592" w:type="pct"/>
            <w:noWrap/>
            <w:vAlign w:val="center"/>
          </w:tcPr>
          <w:p w14:paraId="01B925CE">
            <w:pPr>
              <w:pStyle w:val="44"/>
              <w:rPr>
                <w:color w:val="auto"/>
              </w:rPr>
            </w:pPr>
            <w:r>
              <w:rPr>
                <w:color w:val="auto"/>
              </w:rPr>
              <w:t>2013年</w:t>
            </w:r>
          </w:p>
        </w:tc>
      </w:tr>
      <w:tr w14:paraId="5BD30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9FB496F">
            <w:pPr>
              <w:pStyle w:val="44"/>
              <w:rPr>
                <w:color w:val="auto"/>
              </w:rPr>
            </w:pPr>
            <w:r>
              <w:rPr>
                <w:color w:val="auto"/>
              </w:rPr>
              <w:t>17</w:t>
            </w:r>
          </w:p>
        </w:tc>
        <w:tc>
          <w:tcPr>
            <w:tcW w:w="530" w:type="pct"/>
            <w:vMerge w:val="continue"/>
            <w:vAlign w:val="center"/>
          </w:tcPr>
          <w:p w14:paraId="3226A666">
            <w:pPr>
              <w:pStyle w:val="44"/>
              <w:rPr>
                <w:color w:val="auto"/>
              </w:rPr>
            </w:pPr>
          </w:p>
        </w:tc>
        <w:tc>
          <w:tcPr>
            <w:tcW w:w="751" w:type="pct"/>
            <w:vMerge w:val="continue"/>
            <w:vAlign w:val="center"/>
          </w:tcPr>
          <w:p w14:paraId="5E796D0D">
            <w:pPr>
              <w:pStyle w:val="44"/>
              <w:rPr>
                <w:color w:val="auto"/>
              </w:rPr>
            </w:pPr>
          </w:p>
        </w:tc>
        <w:tc>
          <w:tcPr>
            <w:tcW w:w="1844" w:type="pct"/>
            <w:noWrap/>
            <w:vAlign w:val="center"/>
          </w:tcPr>
          <w:p w14:paraId="32338F8F">
            <w:pPr>
              <w:pStyle w:val="44"/>
              <w:rPr>
                <w:color w:val="auto"/>
              </w:rPr>
            </w:pPr>
            <w:r>
              <w:rPr>
                <w:color w:val="auto"/>
              </w:rPr>
              <w:t>捷运车检</w:t>
            </w:r>
          </w:p>
        </w:tc>
        <w:tc>
          <w:tcPr>
            <w:tcW w:w="915" w:type="pct"/>
            <w:vMerge w:val="continue"/>
            <w:vAlign w:val="center"/>
          </w:tcPr>
          <w:p w14:paraId="461F6B75">
            <w:pPr>
              <w:pStyle w:val="44"/>
              <w:rPr>
                <w:color w:val="auto"/>
              </w:rPr>
            </w:pPr>
          </w:p>
        </w:tc>
        <w:tc>
          <w:tcPr>
            <w:tcW w:w="592" w:type="pct"/>
            <w:noWrap/>
            <w:vAlign w:val="center"/>
          </w:tcPr>
          <w:p w14:paraId="691DBBF3">
            <w:pPr>
              <w:pStyle w:val="44"/>
              <w:rPr>
                <w:color w:val="auto"/>
              </w:rPr>
            </w:pPr>
            <w:r>
              <w:rPr>
                <w:color w:val="auto"/>
              </w:rPr>
              <w:t>2013年</w:t>
            </w:r>
          </w:p>
        </w:tc>
      </w:tr>
      <w:tr w14:paraId="2F01E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BD4D791">
            <w:pPr>
              <w:pStyle w:val="44"/>
              <w:rPr>
                <w:color w:val="auto"/>
              </w:rPr>
            </w:pPr>
            <w:r>
              <w:rPr>
                <w:color w:val="auto"/>
              </w:rPr>
              <w:t>18</w:t>
            </w:r>
          </w:p>
        </w:tc>
        <w:tc>
          <w:tcPr>
            <w:tcW w:w="530" w:type="pct"/>
            <w:vMerge w:val="continue"/>
            <w:vAlign w:val="center"/>
          </w:tcPr>
          <w:p w14:paraId="259F6666">
            <w:pPr>
              <w:pStyle w:val="44"/>
              <w:rPr>
                <w:color w:val="auto"/>
              </w:rPr>
            </w:pPr>
          </w:p>
        </w:tc>
        <w:tc>
          <w:tcPr>
            <w:tcW w:w="751" w:type="pct"/>
            <w:noWrap/>
            <w:vAlign w:val="center"/>
          </w:tcPr>
          <w:p w14:paraId="5A0501D4">
            <w:pPr>
              <w:pStyle w:val="44"/>
              <w:rPr>
                <w:color w:val="auto"/>
              </w:rPr>
            </w:pPr>
            <w:r>
              <w:rPr>
                <w:color w:val="auto"/>
              </w:rPr>
              <w:t>I12-1/04</w:t>
            </w:r>
          </w:p>
        </w:tc>
        <w:tc>
          <w:tcPr>
            <w:tcW w:w="1844" w:type="pct"/>
            <w:noWrap/>
            <w:vAlign w:val="center"/>
          </w:tcPr>
          <w:p w14:paraId="5198AE79">
            <w:pPr>
              <w:pStyle w:val="44"/>
              <w:rPr>
                <w:color w:val="auto"/>
              </w:rPr>
            </w:pPr>
            <w:r>
              <w:rPr>
                <w:color w:val="auto"/>
              </w:rPr>
              <w:t>義发石材集团</w:t>
            </w:r>
          </w:p>
        </w:tc>
        <w:tc>
          <w:tcPr>
            <w:tcW w:w="915" w:type="pct"/>
            <w:noWrap/>
            <w:vAlign w:val="center"/>
          </w:tcPr>
          <w:p w14:paraId="6A06D05C">
            <w:pPr>
              <w:pStyle w:val="44"/>
              <w:rPr>
                <w:color w:val="auto"/>
              </w:rPr>
            </w:pPr>
            <w:r>
              <w:rPr>
                <w:color w:val="auto"/>
              </w:rPr>
              <w:t xml:space="preserve">2.67 </w:t>
            </w:r>
          </w:p>
        </w:tc>
        <w:tc>
          <w:tcPr>
            <w:tcW w:w="592" w:type="pct"/>
            <w:noWrap/>
            <w:vAlign w:val="center"/>
          </w:tcPr>
          <w:p w14:paraId="4B982D6A">
            <w:pPr>
              <w:pStyle w:val="44"/>
              <w:rPr>
                <w:color w:val="auto"/>
              </w:rPr>
            </w:pPr>
            <w:r>
              <w:rPr>
                <w:color w:val="auto"/>
              </w:rPr>
              <w:t>2013年</w:t>
            </w:r>
          </w:p>
        </w:tc>
      </w:tr>
      <w:tr w14:paraId="2497C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4F66B3D">
            <w:pPr>
              <w:pStyle w:val="44"/>
              <w:rPr>
                <w:color w:val="auto"/>
              </w:rPr>
            </w:pPr>
            <w:r>
              <w:rPr>
                <w:color w:val="auto"/>
              </w:rPr>
              <w:t>19</w:t>
            </w:r>
          </w:p>
        </w:tc>
        <w:tc>
          <w:tcPr>
            <w:tcW w:w="530" w:type="pct"/>
            <w:vMerge w:val="continue"/>
            <w:vAlign w:val="center"/>
          </w:tcPr>
          <w:p w14:paraId="43B2FF57">
            <w:pPr>
              <w:pStyle w:val="44"/>
              <w:rPr>
                <w:color w:val="auto"/>
              </w:rPr>
            </w:pPr>
          </w:p>
        </w:tc>
        <w:tc>
          <w:tcPr>
            <w:tcW w:w="751" w:type="pct"/>
            <w:vMerge w:val="restart"/>
            <w:noWrap/>
            <w:vAlign w:val="center"/>
          </w:tcPr>
          <w:p w14:paraId="3795AECF">
            <w:pPr>
              <w:pStyle w:val="44"/>
              <w:rPr>
                <w:color w:val="auto"/>
              </w:rPr>
            </w:pPr>
            <w:r>
              <w:rPr>
                <w:color w:val="auto"/>
              </w:rPr>
              <w:t>I13-2/05</w:t>
            </w:r>
          </w:p>
        </w:tc>
        <w:tc>
          <w:tcPr>
            <w:tcW w:w="1844" w:type="pct"/>
            <w:noWrap/>
            <w:vAlign w:val="center"/>
          </w:tcPr>
          <w:p w14:paraId="0590F677">
            <w:pPr>
              <w:pStyle w:val="44"/>
              <w:rPr>
                <w:color w:val="auto"/>
              </w:rPr>
            </w:pPr>
            <w:r>
              <w:rPr>
                <w:color w:val="auto"/>
              </w:rPr>
              <w:t>永丹消防产业中心</w:t>
            </w:r>
          </w:p>
        </w:tc>
        <w:tc>
          <w:tcPr>
            <w:tcW w:w="915" w:type="pct"/>
            <w:vMerge w:val="restart"/>
            <w:noWrap/>
            <w:vAlign w:val="center"/>
          </w:tcPr>
          <w:p w14:paraId="589443EC">
            <w:pPr>
              <w:pStyle w:val="44"/>
              <w:rPr>
                <w:color w:val="auto"/>
              </w:rPr>
            </w:pPr>
            <w:r>
              <w:rPr>
                <w:color w:val="auto"/>
              </w:rPr>
              <w:t xml:space="preserve">4.44 </w:t>
            </w:r>
          </w:p>
        </w:tc>
        <w:tc>
          <w:tcPr>
            <w:tcW w:w="592" w:type="pct"/>
            <w:noWrap/>
            <w:vAlign w:val="center"/>
          </w:tcPr>
          <w:p w14:paraId="5E97C955">
            <w:pPr>
              <w:pStyle w:val="44"/>
              <w:rPr>
                <w:color w:val="auto"/>
              </w:rPr>
            </w:pPr>
            <w:r>
              <w:rPr>
                <w:color w:val="auto"/>
              </w:rPr>
              <w:t>2014年</w:t>
            </w:r>
          </w:p>
        </w:tc>
      </w:tr>
      <w:tr w14:paraId="18088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489EB96">
            <w:pPr>
              <w:pStyle w:val="44"/>
              <w:rPr>
                <w:color w:val="auto"/>
              </w:rPr>
            </w:pPr>
            <w:r>
              <w:rPr>
                <w:color w:val="auto"/>
              </w:rPr>
              <w:t>20</w:t>
            </w:r>
          </w:p>
        </w:tc>
        <w:tc>
          <w:tcPr>
            <w:tcW w:w="530" w:type="pct"/>
            <w:vMerge w:val="continue"/>
            <w:vAlign w:val="center"/>
          </w:tcPr>
          <w:p w14:paraId="1F91D172">
            <w:pPr>
              <w:pStyle w:val="44"/>
              <w:rPr>
                <w:color w:val="auto"/>
              </w:rPr>
            </w:pPr>
          </w:p>
        </w:tc>
        <w:tc>
          <w:tcPr>
            <w:tcW w:w="751" w:type="pct"/>
            <w:vMerge w:val="continue"/>
            <w:vAlign w:val="center"/>
          </w:tcPr>
          <w:p w14:paraId="4C719E61">
            <w:pPr>
              <w:pStyle w:val="44"/>
              <w:rPr>
                <w:color w:val="auto"/>
              </w:rPr>
            </w:pPr>
          </w:p>
        </w:tc>
        <w:tc>
          <w:tcPr>
            <w:tcW w:w="1844" w:type="pct"/>
            <w:noWrap/>
            <w:vAlign w:val="center"/>
          </w:tcPr>
          <w:p w14:paraId="204EA209">
            <w:pPr>
              <w:pStyle w:val="44"/>
              <w:rPr>
                <w:color w:val="auto"/>
              </w:rPr>
            </w:pPr>
            <w:r>
              <w:rPr>
                <w:color w:val="auto"/>
              </w:rPr>
              <w:t>永丹实业</w:t>
            </w:r>
          </w:p>
        </w:tc>
        <w:tc>
          <w:tcPr>
            <w:tcW w:w="915" w:type="pct"/>
            <w:vMerge w:val="continue"/>
            <w:vAlign w:val="center"/>
          </w:tcPr>
          <w:p w14:paraId="0188CAFB">
            <w:pPr>
              <w:pStyle w:val="44"/>
              <w:rPr>
                <w:color w:val="auto"/>
              </w:rPr>
            </w:pPr>
          </w:p>
        </w:tc>
        <w:tc>
          <w:tcPr>
            <w:tcW w:w="592" w:type="pct"/>
            <w:noWrap/>
            <w:vAlign w:val="center"/>
          </w:tcPr>
          <w:p w14:paraId="125ABC6E">
            <w:pPr>
              <w:pStyle w:val="44"/>
              <w:rPr>
                <w:color w:val="auto"/>
              </w:rPr>
            </w:pPr>
            <w:r>
              <w:rPr>
                <w:color w:val="auto"/>
              </w:rPr>
              <w:t>2014年</w:t>
            </w:r>
          </w:p>
        </w:tc>
      </w:tr>
      <w:tr w14:paraId="08019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E154BBB">
            <w:pPr>
              <w:pStyle w:val="44"/>
              <w:rPr>
                <w:color w:val="auto"/>
              </w:rPr>
            </w:pPr>
            <w:r>
              <w:rPr>
                <w:color w:val="auto"/>
              </w:rPr>
              <w:t>21</w:t>
            </w:r>
          </w:p>
        </w:tc>
        <w:tc>
          <w:tcPr>
            <w:tcW w:w="530" w:type="pct"/>
            <w:vMerge w:val="continue"/>
            <w:vAlign w:val="center"/>
          </w:tcPr>
          <w:p w14:paraId="76BE899C">
            <w:pPr>
              <w:pStyle w:val="44"/>
              <w:rPr>
                <w:color w:val="auto"/>
              </w:rPr>
            </w:pPr>
          </w:p>
        </w:tc>
        <w:tc>
          <w:tcPr>
            <w:tcW w:w="751" w:type="pct"/>
            <w:vMerge w:val="continue"/>
            <w:vAlign w:val="center"/>
          </w:tcPr>
          <w:p w14:paraId="41234DEF">
            <w:pPr>
              <w:pStyle w:val="44"/>
              <w:rPr>
                <w:color w:val="auto"/>
              </w:rPr>
            </w:pPr>
          </w:p>
        </w:tc>
        <w:tc>
          <w:tcPr>
            <w:tcW w:w="1844" w:type="pct"/>
            <w:noWrap/>
            <w:vAlign w:val="center"/>
          </w:tcPr>
          <w:p w14:paraId="74CB8B00">
            <w:pPr>
              <w:pStyle w:val="44"/>
              <w:rPr>
                <w:color w:val="auto"/>
              </w:rPr>
            </w:pPr>
            <w:r>
              <w:rPr>
                <w:color w:val="auto"/>
              </w:rPr>
              <w:t>重庆物资有限公司</w:t>
            </w:r>
          </w:p>
        </w:tc>
        <w:tc>
          <w:tcPr>
            <w:tcW w:w="915" w:type="pct"/>
            <w:vMerge w:val="continue"/>
            <w:vAlign w:val="center"/>
          </w:tcPr>
          <w:p w14:paraId="599D83F9">
            <w:pPr>
              <w:pStyle w:val="44"/>
              <w:rPr>
                <w:color w:val="auto"/>
              </w:rPr>
            </w:pPr>
          </w:p>
        </w:tc>
        <w:tc>
          <w:tcPr>
            <w:tcW w:w="592" w:type="pct"/>
            <w:noWrap/>
            <w:vAlign w:val="center"/>
          </w:tcPr>
          <w:p w14:paraId="7299E7BB">
            <w:pPr>
              <w:pStyle w:val="44"/>
              <w:rPr>
                <w:color w:val="auto"/>
              </w:rPr>
            </w:pPr>
            <w:r>
              <w:rPr>
                <w:color w:val="auto"/>
              </w:rPr>
              <w:t>2015年</w:t>
            </w:r>
          </w:p>
        </w:tc>
      </w:tr>
      <w:tr w14:paraId="19C4D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76E35E5">
            <w:pPr>
              <w:pStyle w:val="44"/>
              <w:rPr>
                <w:color w:val="auto"/>
              </w:rPr>
            </w:pPr>
            <w:r>
              <w:rPr>
                <w:color w:val="auto"/>
              </w:rPr>
              <w:t>22</w:t>
            </w:r>
          </w:p>
        </w:tc>
        <w:tc>
          <w:tcPr>
            <w:tcW w:w="530" w:type="pct"/>
            <w:vMerge w:val="continue"/>
            <w:vAlign w:val="center"/>
          </w:tcPr>
          <w:p w14:paraId="5B61D84A">
            <w:pPr>
              <w:pStyle w:val="44"/>
              <w:rPr>
                <w:color w:val="auto"/>
              </w:rPr>
            </w:pPr>
          </w:p>
        </w:tc>
        <w:tc>
          <w:tcPr>
            <w:tcW w:w="751" w:type="pct"/>
            <w:vMerge w:val="continue"/>
            <w:vAlign w:val="center"/>
          </w:tcPr>
          <w:p w14:paraId="0AEE5FA9">
            <w:pPr>
              <w:pStyle w:val="44"/>
              <w:rPr>
                <w:color w:val="auto"/>
              </w:rPr>
            </w:pPr>
          </w:p>
        </w:tc>
        <w:tc>
          <w:tcPr>
            <w:tcW w:w="1844" w:type="pct"/>
            <w:noWrap/>
            <w:vAlign w:val="center"/>
          </w:tcPr>
          <w:p w14:paraId="43883E46">
            <w:pPr>
              <w:pStyle w:val="44"/>
              <w:rPr>
                <w:color w:val="auto"/>
              </w:rPr>
            </w:pPr>
            <w:r>
              <w:rPr>
                <w:color w:val="auto"/>
              </w:rPr>
              <w:t>今朝物流有限公司修建厂房、库房及配套用房</w:t>
            </w:r>
          </w:p>
        </w:tc>
        <w:tc>
          <w:tcPr>
            <w:tcW w:w="915" w:type="pct"/>
            <w:vMerge w:val="continue"/>
            <w:vAlign w:val="center"/>
          </w:tcPr>
          <w:p w14:paraId="2DB9BB69">
            <w:pPr>
              <w:pStyle w:val="44"/>
              <w:rPr>
                <w:color w:val="auto"/>
              </w:rPr>
            </w:pPr>
          </w:p>
        </w:tc>
        <w:tc>
          <w:tcPr>
            <w:tcW w:w="592" w:type="pct"/>
            <w:noWrap/>
            <w:vAlign w:val="center"/>
          </w:tcPr>
          <w:p w14:paraId="217A3D84">
            <w:pPr>
              <w:pStyle w:val="44"/>
              <w:rPr>
                <w:color w:val="auto"/>
              </w:rPr>
            </w:pPr>
            <w:r>
              <w:rPr>
                <w:color w:val="auto"/>
              </w:rPr>
              <w:t>2014年</w:t>
            </w:r>
          </w:p>
        </w:tc>
      </w:tr>
      <w:tr w14:paraId="4C40F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64BD1AD">
            <w:pPr>
              <w:pStyle w:val="44"/>
              <w:rPr>
                <w:color w:val="auto"/>
              </w:rPr>
            </w:pPr>
            <w:r>
              <w:rPr>
                <w:color w:val="auto"/>
              </w:rPr>
              <w:t>23</w:t>
            </w:r>
          </w:p>
        </w:tc>
        <w:tc>
          <w:tcPr>
            <w:tcW w:w="530" w:type="pct"/>
            <w:vMerge w:val="continue"/>
            <w:vAlign w:val="center"/>
          </w:tcPr>
          <w:p w14:paraId="24F457DA">
            <w:pPr>
              <w:pStyle w:val="44"/>
              <w:rPr>
                <w:color w:val="auto"/>
              </w:rPr>
            </w:pPr>
          </w:p>
        </w:tc>
        <w:tc>
          <w:tcPr>
            <w:tcW w:w="751" w:type="pct"/>
            <w:vMerge w:val="restart"/>
            <w:noWrap/>
            <w:vAlign w:val="center"/>
          </w:tcPr>
          <w:p w14:paraId="192D80CF">
            <w:pPr>
              <w:pStyle w:val="44"/>
              <w:rPr>
                <w:color w:val="auto"/>
              </w:rPr>
            </w:pPr>
            <w:r>
              <w:rPr>
                <w:color w:val="auto"/>
              </w:rPr>
              <w:t>K04-1/05</w:t>
            </w:r>
          </w:p>
        </w:tc>
        <w:tc>
          <w:tcPr>
            <w:tcW w:w="1844" w:type="pct"/>
            <w:noWrap/>
            <w:vAlign w:val="center"/>
          </w:tcPr>
          <w:p w14:paraId="6478353B">
            <w:pPr>
              <w:pStyle w:val="44"/>
              <w:rPr>
                <w:color w:val="auto"/>
              </w:rPr>
            </w:pPr>
            <w:r>
              <w:rPr>
                <w:color w:val="auto"/>
              </w:rPr>
              <w:t xml:space="preserve">美每家月星建材市场  </w:t>
            </w:r>
          </w:p>
        </w:tc>
        <w:tc>
          <w:tcPr>
            <w:tcW w:w="915" w:type="pct"/>
            <w:vMerge w:val="restart"/>
            <w:noWrap/>
            <w:vAlign w:val="center"/>
          </w:tcPr>
          <w:p w14:paraId="39E80F6F">
            <w:pPr>
              <w:pStyle w:val="44"/>
              <w:rPr>
                <w:color w:val="auto"/>
              </w:rPr>
            </w:pPr>
            <w:r>
              <w:rPr>
                <w:color w:val="auto"/>
              </w:rPr>
              <w:t xml:space="preserve">18.48 </w:t>
            </w:r>
          </w:p>
        </w:tc>
        <w:tc>
          <w:tcPr>
            <w:tcW w:w="592" w:type="pct"/>
            <w:noWrap/>
            <w:vAlign w:val="center"/>
          </w:tcPr>
          <w:p w14:paraId="5EB7F554">
            <w:pPr>
              <w:pStyle w:val="44"/>
              <w:rPr>
                <w:color w:val="auto"/>
              </w:rPr>
            </w:pPr>
            <w:r>
              <w:rPr>
                <w:color w:val="auto"/>
              </w:rPr>
              <w:t>2007年</w:t>
            </w:r>
          </w:p>
        </w:tc>
      </w:tr>
      <w:tr w14:paraId="326F5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C0AE60C">
            <w:pPr>
              <w:pStyle w:val="44"/>
              <w:rPr>
                <w:color w:val="auto"/>
              </w:rPr>
            </w:pPr>
            <w:r>
              <w:rPr>
                <w:color w:val="auto"/>
              </w:rPr>
              <w:t>24</w:t>
            </w:r>
          </w:p>
        </w:tc>
        <w:tc>
          <w:tcPr>
            <w:tcW w:w="530" w:type="pct"/>
            <w:vMerge w:val="continue"/>
            <w:vAlign w:val="center"/>
          </w:tcPr>
          <w:p w14:paraId="0AFDA34B">
            <w:pPr>
              <w:pStyle w:val="44"/>
              <w:rPr>
                <w:color w:val="auto"/>
              </w:rPr>
            </w:pPr>
          </w:p>
        </w:tc>
        <w:tc>
          <w:tcPr>
            <w:tcW w:w="751" w:type="pct"/>
            <w:vMerge w:val="continue"/>
            <w:vAlign w:val="center"/>
          </w:tcPr>
          <w:p w14:paraId="2A0E2A63">
            <w:pPr>
              <w:pStyle w:val="44"/>
              <w:rPr>
                <w:color w:val="auto"/>
              </w:rPr>
            </w:pPr>
          </w:p>
        </w:tc>
        <w:tc>
          <w:tcPr>
            <w:tcW w:w="1844" w:type="pct"/>
            <w:noWrap/>
            <w:vAlign w:val="center"/>
          </w:tcPr>
          <w:p w14:paraId="7499929D">
            <w:pPr>
              <w:pStyle w:val="44"/>
              <w:rPr>
                <w:color w:val="auto"/>
              </w:rPr>
            </w:pPr>
            <w:r>
              <w:rPr>
                <w:color w:val="auto"/>
              </w:rPr>
              <w:t>华岩镇人民政府</w:t>
            </w:r>
          </w:p>
        </w:tc>
        <w:tc>
          <w:tcPr>
            <w:tcW w:w="915" w:type="pct"/>
            <w:vMerge w:val="continue"/>
            <w:vAlign w:val="center"/>
          </w:tcPr>
          <w:p w14:paraId="52F631BD">
            <w:pPr>
              <w:pStyle w:val="44"/>
              <w:rPr>
                <w:color w:val="auto"/>
              </w:rPr>
            </w:pPr>
          </w:p>
        </w:tc>
        <w:tc>
          <w:tcPr>
            <w:tcW w:w="592" w:type="pct"/>
            <w:noWrap/>
            <w:vAlign w:val="center"/>
          </w:tcPr>
          <w:p w14:paraId="795F900F">
            <w:pPr>
              <w:pStyle w:val="44"/>
              <w:rPr>
                <w:color w:val="auto"/>
              </w:rPr>
            </w:pPr>
            <w:r>
              <w:rPr>
                <w:color w:val="auto"/>
              </w:rPr>
              <w:t>2007年</w:t>
            </w:r>
          </w:p>
        </w:tc>
      </w:tr>
      <w:tr w14:paraId="08F1F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F97C25A">
            <w:pPr>
              <w:pStyle w:val="44"/>
              <w:rPr>
                <w:color w:val="auto"/>
              </w:rPr>
            </w:pPr>
            <w:r>
              <w:rPr>
                <w:color w:val="auto"/>
              </w:rPr>
              <w:t>25</w:t>
            </w:r>
          </w:p>
        </w:tc>
        <w:tc>
          <w:tcPr>
            <w:tcW w:w="530" w:type="pct"/>
            <w:vMerge w:val="continue"/>
            <w:vAlign w:val="center"/>
          </w:tcPr>
          <w:p w14:paraId="72FACD9A">
            <w:pPr>
              <w:pStyle w:val="44"/>
              <w:rPr>
                <w:color w:val="auto"/>
              </w:rPr>
            </w:pPr>
          </w:p>
        </w:tc>
        <w:tc>
          <w:tcPr>
            <w:tcW w:w="751" w:type="pct"/>
            <w:vMerge w:val="restart"/>
            <w:noWrap/>
            <w:vAlign w:val="center"/>
          </w:tcPr>
          <w:p w14:paraId="7BD71086">
            <w:pPr>
              <w:pStyle w:val="44"/>
              <w:rPr>
                <w:color w:val="auto"/>
              </w:rPr>
            </w:pPr>
            <w:r>
              <w:rPr>
                <w:color w:val="auto"/>
              </w:rPr>
              <w:t>K05-1/03</w:t>
            </w:r>
          </w:p>
        </w:tc>
        <w:tc>
          <w:tcPr>
            <w:tcW w:w="1844" w:type="pct"/>
            <w:vAlign w:val="center"/>
          </w:tcPr>
          <w:p w14:paraId="6E6FCEBD">
            <w:pPr>
              <w:pStyle w:val="44"/>
              <w:rPr>
                <w:color w:val="auto"/>
              </w:rPr>
            </w:pPr>
            <w:r>
              <w:rPr>
                <w:color w:val="auto"/>
              </w:rPr>
              <w:t>易初明通CAT</w:t>
            </w:r>
          </w:p>
        </w:tc>
        <w:tc>
          <w:tcPr>
            <w:tcW w:w="915" w:type="pct"/>
            <w:vMerge w:val="restart"/>
            <w:noWrap/>
            <w:vAlign w:val="center"/>
          </w:tcPr>
          <w:p w14:paraId="3B5FBFB0">
            <w:pPr>
              <w:pStyle w:val="44"/>
              <w:rPr>
                <w:color w:val="auto"/>
              </w:rPr>
            </w:pPr>
            <w:r>
              <w:rPr>
                <w:color w:val="auto"/>
              </w:rPr>
              <w:t xml:space="preserve">12.52 </w:t>
            </w:r>
          </w:p>
        </w:tc>
        <w:tc>
          <w:tcPr>
            <w:tcW w:w="592" w:type="pct"/>
            <w:noWrap/>
            <w:vAlign w:val="center"/>
          </w:tcPr>
          <w:p w14:paraId="4B629EA1">
            <w:pPr>
              <w:pStyle w:val="44"/>
              <w:rPr>
                <w:color w:val="auto"/>
              </w:rPr>
            </w:pPr>
            <w:r>
              <w:rPr>
                <w:color w:val="auto"/>
              </w:rPr>
              <w:t>2005年</w:t>
            </w:r>
          </w:p>
        </w:tc>
      </w:tr>
      <w:tr w14:paraId="49C71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81AAF77">
            <w:pPr>
              <w:pStyle w:val="44"/>
              <w:rPr>
                <w:color w:val="auto"/>
              </w:rPr>
            </w:pPr>
            <w:r>
              <w:rPr>
                <w:color w:val="auto"/>
              </w:rPr>
              <w:t>26</w:t>
            </w:r>
          </w:p>
        </w:tc>
        <w:tc>
          <w:tcPr>
            <w:tcW w:w="530" w:type="pct"/>
            <w:vMerge w:val="continue"/>
            <w:vAlign w:val="center"/>
          </w:tcPr>
          <w:p w14:paraId="69739C12">
            <w:pPr>
              <w:pStyle w:val="44"/>
              <w:rPr>
                <w:color w:val="auto"/>
              </w:rPr>
            </w:pPr>
          </w:p>
        </w:tc>
        <w:tc>
          <w:tcPr>
            <w:tcW w:w="751" w:type="pct"/>
            <w:vMerge w:val="continue"/>
            <w:vAlign w:val="center"/>
          </w:tcPr>
          <w:p w14:paraId="6ADB7451">
            <w:pPr>
              <w:pStyle w:val="44"/>
              <w:rPr>
                <w:color w:val="auto"/>
              </w:rPr>
            </w:pPr>
          </w:p>
        </w:tc>
        <w:tc>
          <w:tcPr>
            <w:tcW w:w="1844" w:type="pct"/>
            <w:vAlign w:val="center"/>
          </w:tcPr>
          <w:p w14:paraId="1237DA00">
            <w:pPr>
              <w:pStyle w:val="44"/>
              <w:rPr>
                <w:color w:val="auto"/>
              </w:rPr>
            </w:pPr>
            <w:r>
              <w:rPr>
                <w:color w:val="auto"/>
              </w:rPr>
              <w:t>重庆博昂科技有限公司</w:t>
            </w:r>
          </w:p>
        </w:tc>
        <w:tc>
          <w:tcPr>
            <w:tcW w:w="915" w:type="pct"/>
            <w:vMerge w:val="continue"/>
            <w:vAlign w:val="center"/>
          </w:tcPr>
          <w:p w14:paraId="7C602411">
            <w:pPr>
              <w:pStyle w:val="44"/>
              <w:rPr>
                <w:color w:val="auto"/>
              </w:rPr>
            </w:pPr>
          </w:p>
        </w:tc>
        <w:tc>
          <w:tcPr>
            <w:tcW w:w="592" w:type="pct"/>
            <w:noWrap/>
            <w:vAlign w:val="center"/>
          </w:tcPr>
          <w:p w14:paraId="5A569305">
            <w:pPr>
              <w:pStyle w:val="44"/>
              <w:rPr>
                <w:color w:val="auto"/>
              </w:rPr>
            </w:pPr>
            <w:r>
              <w:rPr>
                <w:color w:val="auto"/>
              </w:rPr>
              <w:t>2006年</w:t>
            </w:r>
          </w:p>
        </w:tc>
      </w:tr>
      <w:tr w14:paraId="3126D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564215DE">
            <w:pPr>
              <w:pStyle w:val="44"/>
              <w:rPr>
                <w:color w:val="auto"/>
              </w:rPr>
            </w:pPr>
            <w:r>
              <w:rPr>
                <w:color w:val="auto"/>
              </w:rPr>
              <w:t>27</w:t>
            </w:r>
          </w:p>
        </w:tc>
        <w:tc>
          <w:tcPr>
            <w:tcW w:w="530" w:type="pct"/>
            <w:vMerge w:val="continue"/>
            <w:vAlign w:val="center"/>
          </w:tcPr>
          <w:p w14:paraId="2A08788F">
            <w:pPr>
              <w:pStyle w:val="44"/>
              <w:rPr>
                <w:color w:val="auto"/>
              </w:rPr>
            </w:pPr>
          </w:p>
        </w:tc>
        <w:tc>
          <w:tcPr>
            <w:tcW w:w="751" w:type="pct"/>
            <w:vMerge w:val="continue"/>
            <w:vAlign w:val="center"/>
          </w:tcPr>
          <w:p w14:paraId="0078B66E">
            <w:pPr>
              <w:pStyle w:val="44"/>
              <w:rPr>
                <w:color w:val="auto"/>
              </w:rPr>
            </w:pPr>
          </w:p>
        </w:tc>
        <w:tc>
          <w:tcPr>
            <w:tcW w:w="1844" w:type="pct"/>
            <w:vAlign w:val="center"/>
          </w:tcPr>
          <w:p w14:paraId="3ABA623B">
            <w:pPr>
              <w:pStyle w:val="44"/>
              <w:rPr>
                <w:color w:val="auto"/>
              </w:rPr>
            </w:pPr>
            <w:r>
              <w:rPr>
                <w:color w:val="auto"/>
              </w:rPr>
              <w:t>博奥电气</w:t>
            </w:r>
          </w:p>
        </w:tc>
        <w:tc>
          <w:tcPr>
            <w:tcW w:w="915" w:type="pct"/>
            <w:vMerge w:val="continue"/>
            <w:vAlign w:val="center"/>
          </w:tcPr>
          <w:p w14:paraId="21999074">
            <w:pPr>
              <w:pStyle w:val="44"/>
              <w:rPr>
                <w:color w:val="auto"/>
              </w:rPr>
            </w:pPr>
          </w:p>
        </w:tc>
        <w:tc>
          <w:tcPr>
            <w:tcW w:w="592" w:type="pct"/>
            <w:noWrap/>
            <w:vAlign w:val="center"/>
          </w:tcPr>
          <w:p w14:paraId="01F5DB63">
            <w:pPr>
              <w:pStyle w:val="44"/>
              <w:rPr>
                <w:color w:val="auto"/>
              </w:rPr>
            </w:pPr>
            <w:r>
              <w:rPr>
                <w:color w:val="auto"/>
              </w:rPr>
              <w:t>2006年</w:t>
            </w:r>
          </w:p>
        </w:tc>
      </w:tr>
      <w:tr w14:paraId="6075E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5A4E892">
            <w:pPr>
              <w:pStyle w:val="44"/>
              <w:rPr>
                <w:color w:val="auto"/>
              </w:rPr>
            </w:pPr>
            <w:r>
              <w:rPr>
                <w:color w:val="auto"/>
              </w:rPr>
              <w:t>28</w:t>
            </w:r>
          </w:p>
        </w:tc>
        <w:tc>
          <w:tcPr>
            <w:tcW w:w="530" w:type="pct"/>
            <w:vMerge w:val="continue"/>
            <w:vAlign w:val="center"/>
          </w:tcPr>
          <w:p w14:paraId="34CB4CC9">
            <w:pPr>
              <w:pStyle w:val="44"/>
              <w:rPr>
                <w:color w:val="auto"/>
              </w:rPr>
            </w:pPr>
          </w:p>
        </w:tc>
        <w:tc>
          <w:tcPr>
            <w:tcW w:w="751" w:type="pct"/>
            <w:vMerge w:val="continue"/>
            <w:vAlign w:val="center"/>
          </w:tcPr>
          <w:p w14:paraId="1401FDCD">
            <w:pPr>
              <w:pStyle w:val="44"/>
              <w:rPr>
                <w:color w:val="auto"/>
              </w:rPr>
            </w:pPr>
          </w:p>
        </w:tc>
        <w:tc>
          <w:tcPr>
            <w:tcW w:w="1844" w:type="pct"/>
            <w:vAlign w:val="center"/>
          </w:tcPr>
          <w:p w14:paraId="59CD3931">
            <w:pPr>
              <w:pStyle w:val="44"/>
              <w:rPr>
                <w:color w:val="auto"/>
              </w:rPr>
            </w:pPr>
            <w:r>
              <w:rPr>
                <w:color w:val="auto"/>
              </w:rPr>
              <w:t>瑞驰物流</w:t>
            </w:r>
          </w:p>
        </w:tc>
        <w:tc>
          <w:tcPr>
            <w:tcW w:w="915" w:type="pct"/>
            <w:vMerge w:val="continue"/>
            <w:vAlign w:val="center"/>
          </w:tcPr>
          <w:p w14:paraId="78A8B431">
            <w:pPr>
              <w:pStyle w:val="44"/>
              <w:rPr>
                <w:color w:val="auto"/>
              </w:rPr>
            </w:pPr>
          </w:p>
        </w:tc>
        <w:tc>
          <w:tcPr>
            <w:tcW w:w="592" w:type="pct"/>
            <w:noWrap/>
            <w:vAlign w:val="center"/>
          </w:tcPr>
          <w:p w14:paraId="7B280A5A">
            <w:pPr>
              <w:pStyle w:val="44"/>
              <w:rPr>
                <w:color w:val="auto"/>
              </w:rPr>
            </w:pPr>
            <w:r>
              <w:rPr>
                <w:color w:val="auto"/>
              </w:rPr>
              <w:t>2005年</w:t>
            </w:r>
          </w:p>
        </w:tc>
      </w:tr>
      <w:tr w14:paraId="65BEE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C402F00">
            <w:pPr>
              <w:pStyle w:val="44"/>
              <w:rPr>
                <w:color w:val="auto"/>
              </w:rPr>
            </w:pPr>
            <w:r>
              <w:rPr>
                <w:color w:val="auto"/>
              </w:rPr>
              <w:t>29</w:t>
            </w:r>
          </w:p>
        </w:tc>
        <w:tc>
          <w:tcPr>
            <w:tcW w:w="530" w:type="pct"/>
            <w:vMerge w:val="continue"/>
            <w:vAlign w:val="center"/>
          </w:tcPr>
          <w:p w14:paraId="74A33C54">
            <w:pPr>
              <w:pStyle w:val="44"/>
              <w:rPr>
                <w:color w:val="auto"/>
              </w:rPr>
            </w:pPr>
          </w:p>
        </w:tc>
        <w:tc>
          <w:tcPr>
            <w:tcW w:w="751" w:type="pct"/>
            <w:vMerge w:val="continue"/>
            <w:vAlign w:val="center"/>
          </w:tcPr>
          <w:p w14:paraId="5373CFEF">
            <w:pPr>
              <w:pStyle w:val="44"/>
              <w:rPr>
                <w:color w:val="auto"/>
              </w:rPr>
            </w:pPr>
          </w:p>
        </w:tc>
        <w:tc>
          <w:tcPr>
            <w:tcW w:w="1844" w:type="pct"/>
            <w:vAlign w:val="center"/>
          </w:tcPr>
          <w:p w14:paraId="21EA652B">
            <w:pPr>
              <w:pStyle w:val="44"/>
              <w:rPr>
                <w:color w:val="auto"/>
              </w:rPr>
            </w:pPr>
            <w:r>
              <w:rPr>
                <w:color w:val="auto"/>
              </w:rPr>
              <w:t>重庆利邦物资回收有限公司</w:t>
            </w:r>
          </w:p>
        </w:tc>
        <w:tc>
          <w:tcPr>
            <w:tcW w:w="915" w:type="pct"/>
            <w:vMerge w:val="continue"/>
            <w:vAlign w:val="center"/>
          </w:tcPr>
          <w:p w14:paraId="7A502679">
            <w:pPr>
              <w:pStyle w:val="44"/>
              <w:rPr>
                <w:color w:val="auto"/>
              </w:rPr>
            </w:pPr>
          </w:p>
        </w:tc>
        <w:tc>
          <w:tcPr>
            <w:tcW w:w="592" w:type="pct"/>
            <w:noWrap/>
            <w:vAlign w:val="center"/>
          </w:tcPr>
          <w:p w14:paraId="68B5AA12">
            <w:pPr>
              <w:pStyle w:val="44"/>
              <w:rPr>
                <w:color w:val="auto"/>
              </w:rPr>
            </w:pPr>
            <w:r>
              <w:rPr>
                <w:color w:val="auto"/>
              </w:rPr>
              <w:t>2005年</w:t>
            </w:r>
          </w:p>
        </w:tc>
      </w:tr>
      <w:tr w14:paraId="56FE5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61DC900">
            <w:pPr>
              <w:pStyle w:val="44"/>
              <w:rPr>
                <w:color w:val="auto"/>
              </w:rPr>
            </w:pPr>
            <w:r>
              <w:rPr>
                <w:color w:val="auto"/>
              </w:rPr>
              <w:t>30</w:t>
            </w:r>
          </w:p>
        </w:tc>
        <w:tc>
          <w:tcPr>
            <w:tcW w:w="530" w:type="pct"/>
            <w:vMerge w:val="continue"/>
            <w:vAlign w:val="center"/>
          </w:tcPr>
          <w:p w14:paraId="3B4645A6">
            <w:pPr>
              <w:pStyle w:val="44"/>
              <w:rPr>
                <w:color w:val="auto"/>
              </w:rPr>
            </w:pPr>
          </w:p>
        </w:tc>
        <w:tc>
          <w:tcPr>
            <w:tcW w:w="751" w:type="pct"/>
            <w:vMerge w:val="continue"/>
            <w:vAlign w:val="center"/>
          </w:tcPr>
          <w:p w14:paraId="10D2C3E7">
            <w:pPr>
              <w:pStyle w:val="44"/>
              <w:rPr>
                <w:color w:val="auto"/>
              </w:rPr>
            </w:pPr>
          </w:p>
        </w:tc>
        <w:tc>
          <w:tcPr>
            <w:tcW w:w="1844" w:type="pct"/>
            <w:vAlign w:val="center"/>
          </w:tcPr>
          <w:p w14:paraId="2EEB6171">
            <w:pPr>
              <w:pStyle w:val="44"/>
              <w:rPr>
                <w:color w:val="auto"/>
              </w:rPr>
            </w:pPr>
            <w:r>
              <w:rPr>
                <w:color w:val="auto"/>
              </w:rPr>
              <w:t>重庆梅安森科技股份有限公司</w:t>
            </w:r>
          </w:p>
        </w:tc>
        <w:tc>
          <w:tcPr>
            <w:tcW w:w="915" w:type="pct"/>
            <w:vMerge w:val="continue"/>
            <w:vAlign w:val="center"/>
          </w:tcPr>
          <w:p w14:paraId="77B980D7">
            <w:pPr>
              <w:pStyle w:val="44"/>
              <w:rPr>
                <w:color w:val="auto"/>
              </w:rPr>
            </w:pPr>
          </w:p>
        </w:tc>
        <w:tc>
          <w:tcPr>
            <w:tcW w:w="592" w:type="pct"/>
            <w:noWrap/>
            <w:vAlign w:val="center"/>
          </w:tcPr>
          <w:p w14:paraId="2BC01A77">
            <w:pPr>
              <w:pStyle w:val="44"/>
              <w:rPr>
                <w:color w:val="auto"/>
              </w:rPr>
            </w:pPr>
            <w:r>
              <w:rPr>
                <w:color w:val="auto"/>
              </w:rPr>
              <w:t>2007年</w:t>
            </w:r>
          </w:p>
        </w:tc>
      </w:tr>
      <w:tr w14:paraId="18FC8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6C35F2C">
            <w:pPr>
              <w:pStyle w:val="44"/>
              <w:rPr>
                <w:color w:val="auto"/>
              </w:rPr>
            </w:pPr>
            <w:r>
              <w:rPr>
                <w:color w:val="auto"/>
              </w:rPr>
              <w:t>31</w:t>
            </w:r>
          </w:p>
        </w:tc>
        <w:tc>
          <w:tcPr>
            <w:tcW w:w="530" w:type="pct"/>
            <w:vMerge w:val="continue"/>
            <w:vAlign w:val="center"/>
          </w:tcPr>
          <w:p w14:paraId="42BFF7F2">
            <w:pPr>
              <w:pStyle w:val="44"/>
              <w:rPr>
                <w:color w:val="auto"/>
              </w:rPr>
            </w:pPr>
          </w:p>
        </w:tc>
        <w:tc>
          <w:tcPr>
            <w:tcW w:w="751" w:type="pct"/>
            <w:vMerge w:val="continue"/>
            <w:vAlign w:val="center"/>
          </w:tcPr>
          <w:p w14:paraId="2D97141B">
            <w:pPr>
              <w:pStyle w:val="44"/>
              <w:rPr>
                <w:color w:val="auto"/>
              </w:rPr>
            </w:pPr>
          </w:p>
        </w:tc>
        <w:tc>
          <w:tcPr>
            <w:tcW w:w="1844" w:type="pct"/>
            <w:vAlign w:val="center"/>
          </w:tcPr>
          <w:p w14:paraId="5E3AFD2C">
            <w:pPr>
              <w:pStyle w:val="44"/>
              <w:rPr>
                <w:color w:val="auto"/>
              </w:rPr>
            </w:pPr>
            <w:r>
              <w:rPr>
                <w:color w:val="auto"/>
              </w:rPr>
              <w:t>塑料编织加工基地</w:t>
            </w:r>
          </w:p>
        </w:tc>
        <w:tc>
          <w:tcPr>
            <w:tcW w:w="915" w:type="pct"/>
            <w:vMerge w:val="continue"/>
            <w:vAlign w:val="center"/>
          </w:tcPr>
          <w:p w14:paraId="0156689F">
            <w:pPr>
              <w:pStyle w:val="44"/>
              <w:rPr>
                <w:color w:val="auto"/>
              </w:rPr>
            </w:pPr>
          </w:p>
        </w:tc>
        <w:tc>
          <w:tcPr>
            <w:tcW w:w="592" w:type="pct"/>
            <w:noWrap/>
            <w:vAlign w:val="center"/>
          </w:tcPr>
          <w:p w14:paraId="486EE5D1">
            <w:pPr>
              <w:pStyle w:val="44"/>
              <w:rPr>
                <w:color w:val="auto"/>
              </w:rPr>
            </w:pPr>
            <w:r>
              <w:rPr>
                <w:color w:val="auto"/>
              </w:rPr>
              <w:t>2018年</w:t>
            </w:r>
          </w:p>
        </w:tc>
      </w:tr>
      <w:tr w14:paraId="41F02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5D27FA7">
            <w:pPr>
              <w:pStyle w:val="44"/>
              <w:rPr>
                <w:color w:val="auto"/>
              </w:rPr>
            </w:pPr>
            <w:r>
              <w:rPr>
                <w:color w:val="auto"/>
              </w:rPr>
              <w:t>32</w:t>
            </w:r>
          </w:p>
        </w:tc>
        <w:tc>
          <w:tcPr>
            <w:tcW w:w="530" w:type="pct"/>
            <w:vMerge w:val="continue"/>
            <w:vAlign w:val="center"/>
          </w:tcPr>
          <w:p w14:paraId="06C531F1">
            <w:pPr>
              <w:pStyle w:val="44"/>
              <w:rPr>
                <w:color w:val="auto"/>
              </w:rPr>
            </w:pPr>
          </w:p>
        </w:tc>
        <w:tc>
          <w:tcPr>
            <w:tcW w:w="751" w:type="pct"/>
            <w:vMerge w:val="continue"/>
            <w:vAlign w:val="center"/>
          </w:tcPr>
          <w:p w14:paraId="5F012FF0">
            <w:pPr>
              <w:pStyle w:val="44"/>
              <w:rPr>
                <w:color w:val="auto"/>
              </w:rPr>
            </w:pPr>
          </w:p>
        </w:tc>
        <w:tc>
          <w:tcPr>
            <w:tcW w:w="1844" w:type="pct"/>
            <w:vAlign w:val="center"/>
          </w:tcPr>
          <w:p w14:paraId="3F1FC017">
            <w:pPr>
              <w:pStyle w:val="44"/>
              <w:rPr>
                <w:color w:val="auto"/>
              </w:rPr>
            </w:pPr>
            <w:r>
              <w:rPr>
                <w:color w:val="auto"/>
              </w:rPr>
              <w:t xml:space="preserve">八桥木材市场 </w:t>
            </w:r>
          </w:p>
        </w:tc>
        <w:tc>
          <w:tcPr>
            <w:tcW w:w="915" w:type="pct"/>
            <w:vMerge w:val="continue"/>
            <w:vAlign w:val="center"/>
          </w:tcPr>
          <w:p w14:paraId="17245EC0">
            <w:pPr>
              <w:pStyle w:val="44"/>
              <w:rPr>
                <w:color w:val="auto"/>
              </w:rPr>
            </w:pPr>
          </w:p>
        </w:tc>
        <w:tc>
          <w:tcPr>
            <w:tcW w:w="592" w:type="pct"/>
            <w:noWrap/>
            <w:vAlign w:val="center"/>
          </w:tcPr>
          <w:p w14:paraId="66C4630B">
            <w:pPr>
              <w:pStyle w:val="44"/>
              <w:rPr>
                <w:color w:val="auto"/>
              </w:rPr>
            </w:pPr>
            <w:r>
              <w:rPr>
                <w:color w:val="auto"/>
              </w:rPr>
              <w:t>2018年</w:t>
            </w:r>
          </w:p>
        </w:tc>
      </w:tr>
      <w:tr w14:paraId="7F5766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0AE3E96">
            <w:pPr>
              <w:pStyle w:val="44"/>
              <w:rPr>
                <w:color w:val="auto"/>
              </w:rPr>
            </w:pPr>
            <w:r>
              <w:rPr>
                <w:color w:val="auto"/>
              </w:rPr>
              <w:t>33</w:t>
            </w:r>
          </w:p>
        </w:tc>
        <w:tc>
          <w:tcPr>
            <w:tcW w:w="530" w:type="pct"/>
            <w:vMerge w:val="continue"/>
            <w:vAlign w:val="center"/>
          </w:tcPr>
          <w:p w14:paraId="6E86E112">
            <w:pPr>
              <w:pStyle w:val="44"/>
              <w:rPr>
                <w:color w:val="auto"/>
              </w:rPr>
            </w:pPr>
          </w:p>
        </w:tc>
        <w:tc>
          <w:tcPr>
            <w:tcW w:w="751" w:type="pct"/>
            <w:noWrap/>
            <w:vAlign w:val="center"/>
          </w:tcPr>
          <w:p w14:paraId="18A8F58C">
            <w:pPr>
              <w:pStyle w:val="44"/>
              <w:rPr>
                <w:color w:val="auto"/>
              </w:rPr>
            </w:pPr>
            <w:r>
              <w:rPr>
                <w:color w:val="auto"/>
              </w:rPr>
              <w:t>K06-1/02</w:t>
            </w:r>
          </w:p>
        </w:tc>
        <w:tc>
          <w:tcPr>
            <w:tcW w:w="1844" w:type="pct"/>
            <w:noWrap/>
            <w:vAlign w:val="center"/>
          </w:tcPr>
          <w:p w14:paraId="3D201843">
            <w:pPr>
              <w:pStyle w:val="44"/>
              <w:rPr>
                <w:color w:val="auto"/>
              </w:rPr>
            </w:pPr>
            <w:r>
              <w:rPr>
                <w:color w:val="auto"/>
              </w:rPr>
              <w:t>重庆西部机电机械有限公司</w:t>
            </w:r>
          </w:p>
        </w:tc>
        <w:tc>
          <w:tcPr>
            <w:tcW w:w="915" w:type="pct"/>
            <w:noWrap/>
            <w:vAlign w:val="center"/>
          </w:tcPr>
          <w:p w14:paraId="1BDB1CBF">
            <w:pPr>
              <w:pStyle w:val="44"/>
              <w:rPr>
                <w:color w:val="auto"/>
              </w:rPr>
            </w:pPr>
            <w:r>
              <w:rPr>
                <w:color w:val="auto"/>
              </w:rPr>
              <w:t xml:space="preserve">2.97 </w:t>
            </w:r>
          </w:p>
        </w:tc>
        <w:tc>
          <w:tcPr>
            <w:tcW w:w="592" w:type="pct"/>
            <w:noWrap/>
            <w:vAlign w:val="center"/>
          </w:tcPr>
          <w:p w14:paraId="153A7DD4">
            <w:pPr>
              <w:pStyle w:val="44"/>
              <w:rPr>
                <w:color w:val="auto"/>
              </w:rPr>
            </w:pPr>
            <w:r>
              <w:rPr>
                <w:color w:val="auto"/>
              </w:rPr>
              <w:t>2005年</w:t>
            </w:r>
          </w:p>
        </w:tc>
      </w:tr>
      <w:tr w14:paraId="104E8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ECC792B">
            <w:pPr>
              <w:pStyle w:val="44"/>
              <w:rPr>
                <w:color w:val="auto"/>
              </w:rPr>
            </w:pPr>
            <w:r>
              <w:rPr>
                <w:color w:val="auto"/>
              </w:rPr>
              <w:t>34</w:t>
            </w:r>
          </w:p>
        </w:tc>
        <w:tc>
          <w:tcPr>
            <w:tcW w:w="530" w:type="pct"/>
            <w:vMerge w:val="continue"/>
            <w:vAlign w:val="center"/>
          </w:tcPr>
          <w:p w14:paraId="3B60935A">
            <w:pPr>
              <w:pStyle w:val="44"/>
              <w:rPr>
                <w:color w:val="auto"/>
              </w:rPr>
            </w:pPr>
          </w:p>
        </w:tc>
        <w:tc>
          <w:tcPr>
            <w:tcW w:w="751" w:type="pct"/>
            <w:noWrap/>
            <w:vAlign w:val="center"/>
          </w:tcPr>
          <w:p w14:paraId="3BDD4673">
            <w:pPr>
              <w:pStyle w:val="44"/>
              <w:rPr>
                <w:color w:val="auto"/>
              </w:rPr>
            </w:pPr>
            <w:r>
              <w:rPr>
                <w:color w:val="auto"/>
              </w:rPr>
              <w:t>K07-1/02</w:t>
            </w:r>
          </w:p>
        </w:tc>
        <w:tc>
          <w:tcPr>
            <w:tcW w:w="1844" w:type="pct"/>
            <w:noWrap/>
            <w:vAlign w:val="center"/>
          </w:tcPr>
          <w:p w14:paraId="40C5197B">
            <w:pPr>
              <w:pStyle w:val="44"/>
              <w:rPr>
                <w:color w:val="auto"/>
              </w:rPr>
            </w:pPr>
            <w:r>
              <w:rPr>
                <w:color w:val="auto"/>
              </w:rPr>
              <w:t>椿中岛机械（重庆）有限公司</w:t>
            </w:r>
          </w:p>
        </w:tc>
        <w:tc>
          <w:tcPr>
            <w:tcW w:w="915" w:type="pct"/>
            <w:noWrap/>
            <w:vAlign w:val="center"/>
          </w:tcPr>
          <w:p w14:paraId="4F829E43">
            <w:pPr>
              <w:pStyle w:val="44"/>
              <w:rPr>
                <w:color w:val="auto"/>
              </w:rPr>
            </w:pPr>
            <w:r>
              <w:rPr>
                <w:color w:val="auto"/>
              </w:rPr>
              <w:t xml:space="preserve">3.02 </w:t>
            </w:r>
          </w:p>
        </w:tc>
        <w:tc>
          <w:tcPr>
            <w:tcW w:w="592" w:type="pct"/>
            <w:noWrap/>
            <w:vAlign w:val="center"/>
          </w:tcPr>
          <w:p w14:paraId="7DBB5985">
            <w:pPr>
              <w:pStyle w:val="44"/>
              <w:rPr>
                <w:color w:val="auto"/>
              </w:rPr>
            </w:pPr>
            <w:r>
              <w:rPr>
                <w:color w:val="auto"/>
              </w:rPr>
              <w:t>2007年</w:t>
            </w:r>
          </w:p>
        </w:tc>
      </w:tr>
      <w:tr w14:paraId="02955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9732C12">
            <w:pPr>
              <w:pStyle w:val="44"/>
              <w:rPr>
                <w:color w:val="auto"/>
              </w:rPr>
            </w:pPr>
            <w:r>
              <w:rPr>
                <w:color w:val="auto"/>
              </w:rPr>
              <w:t>35</w:t>
            </w:r>
          </w:p>
        </w:tc>
        <w:tc>
          <w:tcPr>
            <w:tcW w:w="530" w:type="pct"/>
            <w:vMerge w:val="continue"/>
            <w:vAlign w:val="center"/>
          </w:tcPr>
          <w:p w14:paraId="0A2AC633">
            <w:pPr>
              <w:pStyle w:val="44"/>
              <w:rPr>
                <w:color w:val="auto"/>
              </w:rPr>
            </w:pPr>
          </w:p>
        </w:tc>
        <w:tc>
          <w:tcPr>
            <w:tcW w:w="751" w:type="pct"/>
            <w:vMerge w:val="restart"/>
            <w:noWrap/>
            <w:vAlign w:val="center"/>
          </w:tcPr>
          <w:p w14:paraId="2C796776">
            <w:pPr>
              <w:pStyle w:val="44"/>
              <w:rPr>
                <w:color w:val="auto"/>
              </w:rPr>
            </w:pPr>
            <w:r>
              <w:rPr>
                <w:color w:val="auto"/>
              </w:rPr>
              <w:t>K02-9/04</w:t>
            </w:r>
          </w:p>
        </w:tc>
        <w:tc>
          <w:tcPr>
            <w:tcW w:w="1844" w:type="pct"/>
            <w:vAlign w:val="center"/>
          </w:tcPr>
          <w:p w14:paraId="22CE1236">
            <w:pPr>
              <w:pStyle w:val="44"/>
              <w:rPr>
                <w:color w:val="auto"/>
              </w:rPr>
            </w:pPr>
            <w:r>
              <w:rPr>
                <w:color w:val="auto"/>
              </w:rPr>
              <w:t>中共三五世全食品有限公司</w:t>
            </w:r>
          </w:p>
        </w:tc>
        <w:tc>
          <w:tcPr>
            <w:tcW w:w="915" w:type="pct"/>
            <w:vMerge w:val="restart"/>
            <w:noWrap/>
            <w:vAlign w:val="center"/>
          </w:tcPr>
          <w:p w14:paraId="51A3525F">
            <w:pPr>
              <w:pStyle w:val="44"/>
              <w:rPr>
                <w:color w:val="auto"/>
              </w:rPr>
            </w:pPr>
            <w:r>
              <w:rPr>
                <w:color w:val="auto"/>
              </w:rPr>
              <w:t xml:space="preserve">7.26 </w:t>
            </w:r>
          </w:p>
        </w:tc>
        <w:tc>
          <w:tcPr>
            <w:tcW w:w="592" w:type="pct"/>
            <w:noWrap/>
            <w:vAlign w:val="center"/>
          </w:tcPr>
          <w:p w14:paraId="35D7A381">
            <w:pPr>
              <w:pStyle w:val="44"/>
              <w:rPr>
                <w:color w:val="auto"/>
              </w:rPr>
            </w:pPr>
            <w:r>
              <w:rPr>
                <w:color w:val="auto"/>
              </w:rPr>
              <w:t>2008年</w:t>
            </w:r>
          </w:p>
        </w:tc>
      </w:tr>
      <w:tr w14:paraId="627AD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9F2BAF0">
            <w:pPr>
              <w:pStyle w:val="44"/>
              <w:rPr>
                <w:color w:val="auto"/>
              </w:rPr>
            </w:pPr>
            <w:r>
              <w:rPr>
                <w:color w:val="auto"/>
              </w:rPr>
              <w:t>36</w:t>
            </w:r>
          </w:p>
        </w:tc>
        <w:tc>
          <w:tcPr>
            <w:tcW w:w="530" w:type="pct"/>
            <w:vMerge w:val="continue"/>
            <w:vAlign w:val="center"/>
          </w:tcPr>
          <w:p w14:paraId="035BC4AA">
            <w:pPr>
              <w:pStyle w:val="44"/>
              <w:rPr>
                <w:color w:val="auto"/>
              </w:rPr>
            </w:pPr>
          </w:p>
        </w:tc>
        <w:tc>
          <w:tcPr>
            <w:tcW w:w="751" w:type="pct"/>
            <w:vMerge w:val="continue"/>
            <w:vAlign w:val="center"/>
          </w:tcPr>
          <w:p w14:paraId="0897FE8E">
            <w:pPr>
              <w:pStyle w:val="44"/>
              <w:rPr>
                <w:color w:val="auto"/>
              </w:rPr>
            </w:pPr>
          </w:p>
        </w:tc>
        <w:tc>
          <w:tcPr>
            <w:tcW w:w="1844" w:type="pct"/>
            <w:vAlign w:val="center"/>
          </w:tcPr>
          <w:p w14:paraId="6BA44CC5">
            <w:pPr>
              <w:pStyle w:val="44"/>
              <w:rPr>
                <w:color w:val="auto"/>
              </w:rPr>
            </w:pPr>
            <w:r>
              <w:rPr>
                <w:color w:val="auto"/>
              </w:rPr>
              <w:t>重庆纽尚机电</w:t>
            </w:r>
          </w:p>
        </w:tc>
        <w:tc>
          <w:tcPr>
            <w:tcW w:w="915" w:type="pct"/>
            <w:vMerge w:val="continue"/>
            <w:vAlign w:val="center"/>
          </w:tcPr>
          <w:p w14:paraId="7A495D86">
            <w:pPr>
              <w:pStyle w:val="44"/>
              <w:rPr>
                <w:color w:val="auto"/>
              </w:rPr>
            </w:pPr>
          </w:p>
        </w:tc>
        <w:tc>
          <w:tcPr>
            <w:tcW w:w="592" w:type="pct"/>
            <w:noWrap/>
            <w:vAlign w:val="center"/>
          </w:tcPr>
          <w:p w14:paraId="74F413A3">
            <w:pPr>
              <w:pStyle w:val="44"/>
              <w:rPr>
                <w:color w:val="auto"/>
              </w:rPr>
            </w:pPr>
            <w:r>
              <w:rPr>
                <w:color w:val="auto"/>
              </w:rPr>
              <w:t>2008年</w:t>
            </w:r>
          </w:p>
        </w:tc>
      </w:tr>
      <w:tr w14:paraId="7C8DB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A19E2E9">
            <w:pPr>
              <w:pStyle w:val="44"/>
              <w:rPr>
                <w:color w:val="auto"/>
              </w:rPr>
            </w:pPr>
            <w:r>
              <w:rPr>
                <w:color w:val="auto"/>
              </w:rPr>
              <w:t>37</w:t>
            </w:r>
          </w:p>
        </w:tc>
        <w:tc>
          <w:tcPr>
            <w:tcW w:w="530" w:type="pct"/>
            <w:vMerge w:val="continue"/>
            <w:vAlign w:val="center"/>
          </w:tcPr>
          <w:p w14:paraId="55DD71DE">
            <w:pPr>
              <w:pStyle w:val="44"/>
              <w:rPr>
                <w:color w:val="auto"/>
              </w:rPr>
            </w:pPr>
          </w:p>
        </w:tc>
        <w:tc>
          <w:tcPr>
            <w:tcW w:w="751" w:type="pct"/>
            <w:vMerge w:val="continue"/>
            <w:vAlign w:val="center"/>
          </w:tcPr>
          <w:p w14:paraId="0C102568">
            <w:pPr>
              <w:pStyle w:val="44"/>
              <w:rPr>
                <w:color w:val="auto"/>
              </w:rPr>
            </w:pPr>
          </w:p>
        </w:tc>
        <w:tc>
          <w:tcPr>
            <w:tcW w:w="1844" w:type="pct"/>
            <w:vAlign w:val="center"/>
          </w:tcPr>
          <w:p w14:paraId="55594752">
            <w:pPr>
              <w:pStyle w:val="44"/>
              <w:rPr>
                <w:color w:val="auto"/>
              </w:rPr>
            </w:pPr>
            <w:r>
              <w:rPr>
                <w:color w:val="auto"/>
              </w:rPr>
              <w:t>泰美木工机械市场</w:t>
            </w:r>
          </w:p>
        </w:tc>
        <w:tc>
          <w:tcPr>
            <w:tcW w:w="915" w:type="pct"/>
            <w:vMerge w:val="continue"/>
            <w:vAlign w:val="center"/>
          </w:tcPr>
          <w:p w14:paraId="026C7E75">
            <w:pPr>
              <w:pStyle w:val="44"/>
              <w:rPr>
                <w:color w:val="auto"/>
              </w:rPr>
            </w:pPr>
          </w:p>
        </w:tc>
        <w:tc>
          <w:tcPr>
            <w:tcW w:w="592" w:type="pct"/>
            <w:noWrap/>
            <w:vAlign w:val="center"/>
          </w:tcPr>
          <w:p w14:paraId="7EC00788">
            <w:pPr>
              <w:pStyle w:val="44"/>
              <w:rPr>
                <w:color w:val="auto"/>
              </w:rPr>
            </w:pPr>
            <w:r>
              <w:rPr>
                <w:color w:val="auto"/>
              </w:rPr>
              <w:t>2008年</w:t>
            </w:r>
          </w:p>
        </w:tc>
      </w:tr>
      <w:tr w14:paraId="7D935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3EA5B2F4">
            <w:pPr>
              <w:pStyle w:val="44"/>
              <w:rPr>
                <w:color w:val="auto"/>
              </w:rPr>
            </w:pPr>
            <w:r>
              <w:rPr>
                <w:color w:val="auto"/>
              </w:rPr>
              <w:t>38</w:t>
            </w:r>
          </w:p>
        </w:tc>
        <w:tc>
          <w:tcPr>
            <w:tcW w:w="530" w:type="pct"/>
            <w:vMerge w:val="continue"/>
            <w:vAlign w:val="center"/>
          </w:tcPr>
          <w:p w14:paraId="4A1F9B5B">
            <w:pPr>
              <w:pStyle w:val="44"/>
              <w:rPr>
                <w:color w:val="auto"/>
              </w:rPr>
            </w:pPr>
          </w:p>
        </w:tc>
        <w:tc>
          <w:tcPr>
            <w:tcW w:w="751" w:type="pct"/>
            <w:vMerge w:val="continue"/>
            <w:vAlign w:val="center"/>
          </w:tcPr>
          <w:p w14:paraId="21A639FD">
            <w:pPr>
              <w:pStyle w:val="44"/>
              <w:rPr>
                <w:color w:val="auto"/>
              </w:rPr>
            </w:pPr>
          </w:p>
        </w:tc>
        <w:tc>
          <w:tcPr>
            <w:tcW w:w="1844" w:type="pct"/>
            <w:vAlign w:val="center"/>
          </w:tcPr>
          <w:p w14:paraId="57B8E1C5">
            <w:pPr>
              <w:pStyle w:val="44"/>
              <w:rPr>
                <w:color w:val="auto"/>
              </w:rPr>
            </w:pPr>
            <w:r>
              <w:rPr>
                <w:color w:val="auto"/>
              </w:rPr>
              <w:t>坤宁商品混凝土</w:t>
            </w:r>
          </w:p>
        </w:tc>
        <w:tc>
          <w:tcPr>
            <w:tcW w:w="915" w:type="pct"/>
            <w:vMerge w:val="continue"/>
            <w:vAlign w:val="center"/>
          </w:tcPr>
          <w:p w14:paraId="2A5BE71A">
            <w:pPr>
              <w:pStyle w:val="44"/>
              <w:rPr>
                <w:color w:val="auto"/>
              </w:rPr>
            </w:pPr>
          </w:p>
        </w:tc>
        <w:tc>
          <w:tcPr>
            <w:tcW w:w="592" w:type="pct"/>
            <w:noWrap/>
            <w:vAlign w:val="center"/>
          </w:tcPr>
          <w:p w14:paraId="4BC26BA4">
            <w:pPr>
              <w:pStyle w:val="44"/>
              <w:rPr>
                <w:color w:val="auto"/>
              </w:rPr>
            </w:pPr>
            <w:r>
              <w:rPr>
                <w:color w:val="auto"/>
              </w:rPr>
              <w:t>2008年</w:t>
            </w:r>
          </w:p>
        </w:tc>
      </w:tr>
      <w:tr w14:paraId="5DE99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216E6B3B">
            <w:pPr>
              <w:pStyle w:val="44"/>
              <w:rPr>
                <w:color w:val="auto"/>
              </w:rPr>
            </w:pPr>
            <w:r>
              <w:rPr>
                <w:color w:val="auto"/>
              </w:rPr>
              <w:t>39</w:t>
            </w:r>
          </w:p>
        </w:tc>
        <w:tc>
          <w:tcPr>
            <w:tcW w:w="530" w:type="pct"/>
            <w:vMerge w:val="continue"/>
            <w:vAlign w:val="center"/>
          </w:tcPr>
          <w:p w14:paraId="5C137253">
            <w:pPr>
              <w:pStyle w:val="44"/>
              <w:rPr>
                <w:color w:val="auto"/>
              </w:rPr>
            </w:pPr>
          </w:p>
        </w:tc>
        <w:tc>
          <w:tcPr>
            <w:tcW w:w="751" w:type="pct"/>
            <w:noWrap/>
            <w:vAlign w:val="center"/>
          </w:tcPr>
          <w:p w14:paraId="423196F0">
            <w:pPr>
              <w:pStyle w:val="44"/>
              <w:rPr>
                <w:color w:val="auto"/>
              </w:rPr>
            </w:pPr>
            <w:r>
              <w:rPr>
                <w:color w:val="auto"/>
              </w:rPr>
              <w:t>I07-2/05</w:t>
            </w:r>
          </w:p>
        </w:tc>
        <w:tc>
          <w:tcPr>
            <w:tcW w:w="1844" w:type="pct"/>
            <w:vAlign w:val="center"/>
          </w:tcPr>
          <w:p w14:paraId="2BDF6312">
            <w:pPr>
              <w:pStyle w:val="44"/>
              <w:rPr>
                <w:color w:val="auto"/>
              </w:rPr>
            </w:pPr>
            <w:r>
              <w:rPr>
                <w:color w:val="auto"/>
              </w:rPr>
              <w:t>中昂·别院</w:t>
            </w:r>
          </w:p>
        </w:tc>
        <w:tc>
          <w:tcPr>
            <w:tcW w:w="915" w:type="pct"/>
            <w:noWrap/>
            <w:vAlign w:val="center"/>
          </w:tcPr>
          <w:p w14:paraId="5B8B9826">
            <w:pPr>
              <w:pStyle w:val="44"/>
              <w:rPr>
                <w:color w:val="auto"/>
              </w:rPr>
            </w:pPr>
            <w:r>
              <w:rPr>
                <w:color w:val="auto"/>
              </w:rPr>
              <w:t xml:space="preserve">1.12 </w:t>
            </w:r>
          </w:p>
        </w:tc>
        <w:tc>
          <w:tcPr>
            <w:tcW w:w="592" w:type="pct"/>
            <w:noWrap/>
            <w:vAlign w:val="center"/>
          </w:tcPr>
          <w:p w14:paraId="31464F94">
            <w:pPr>
              <w:pStyle w:val="44"/>
              <w:rPr>
                <w:color w:val="auto"/>
              </w:rPr>
            </w:pPr>
            <w:r>
              <w:rPr>
                <w:color w:val="auto"/>
              </w:rPr>
              <w:t>2019年</w:t>
            </w:r>
          </w:p>
        </w:tc>
      </w:tr>
      <w:tr w14:paraId="11E18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707C578A">
            <w:pPr>
              <w:pStyle w:val="44"/>
              <w:rPr>
                <w:color w:val="auto"/>
              </w:rPr>
            </w:pPr>
            <w:r>
              <w:rPr>
                <w:color w:val="auto"/>
              </w:rPr>
              <w:t>40</w:t>
            </w:r>
          </w:p>
        </w:tc>
        <w:tc>
          <w:tcPr>
            <w:tcW w:w="530" w:type="pct"/>
            <w:vMerge w:val="continue"/>
            <w:vAlign w:val="center"/>
          </w:tcPr>
          <w:p w14:paraId="1F778069">
            <w:pPr>
              <w:pStyle w:val="44"/>
              <w:rPr>
                <w:color w:val="auto"/>
              </w:rPr>
            </w:pPr>
          </w:p>
        </w:tc>
        <w:tc>
          <w:tcPr>
            <w:tcW w:w="751" w:type="pct"/>
            <w:noWrap/>
            <w:vAlign w:val="center"/>
          </w:tcPr>
          <w:p w14:paraId="377C8BB8">
            <w:pPr>
              <w:pStyle w:val="44"/>
              <w:rPr>
                <w:color w:val="auto"/>
              </w:rPr>
            </w:pPr>
            <w:r>
              <w:rPr>
                <w:color w:val="auto"/>
              </w:rPr>
              <w:t>I07-1/06</w:t>
            </w:r>
          </w:p>
        </w:tc>
        <w:tc>
          <w:tcPr>
            <w:tcW w:w="1844" w:type="pct"/>
            <w:noWrap/>
            <w:vAlign w:val="center"/>
          </w:tcPr>
          <w:p w14:paraId="1B969A3C">
            <w:pPr>
              <w:pStyle w:val="44"/>
              <w:rPr>
                <w:color w:val="auto"/>
              </w:rPr>
            </w:pPr>
            <w:r>
              <w:rPr>
                <w:color w:val="auto"/>
              </w:rPr>
              <w:t>和平小学</w:t>
            </w:r>
          </w:p>
        </w:tc>
        <w:tc>
          <w:tcPr>
            <w:tcW w:w="915" w:type="pct"/>
            <w:noWrap/>
            <w:vAlign w:val="center"/>
          </w:tcPr>
          <w:p w14:paraId="69D8BC77">
            <w:pPr>
              <w:pStyle w:val="44"/>
              <w:rPr>
                <w:color w:val="auto"/>
              </w:rPr>
            </w:pPr>
            <w:r>
              <w:rPr>
                <w:color w:val="auto"/>
              </w:rPr>
              <w:t xml:space="preserve">1.91 </w:t>
            </w:r>
          </w:p>
        </w:tc>
        <w:tc>
          <w:tcPr>
            <w:tcW w:w="592" w:type="pct"/>
            <w:noWrap/>
            <w:vAlign w:val="center"/>
          </w:tcPr>
          <w:p w14:paraId="53A893F9">
            <w:pPr>
              <w:pStyle w:val="44"/>
              <w:rPr>
                <w:color w:val="auto"/>
              </w:rPr>
            </w:pPr>
            <w:r>
              <w:rPr>
                <w:color w:val="auto"/>
              </w:rPr>
              <w:t>2007年</w:t>
            </w:r>
          </w:p>
        </w:tc>
      </w:tr>
      <w:tr w14:paraId="3589E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11D4DA2">
            <w:pPr>
              <w:pStyle w:val="44"/>
              <w:rPr>
                <w:color w:val="auto"/>
              </w:rPr>
            </w:pPr>
            <w:r>
              <w:rPr>
                <w:color w:val="auto"/>
              </w:rPr>
              <w:t>41</w:t>
            </w:r>
          </w:p>
        </w:tc>
        <w:tc>
          <w:tcPr>
            <w:tcW w:w="530" w:type="pct"/>
            <w:vMerge w:val="continue"/>
            <w:vAlign w:val="center"/>
          </w:tcPr>
          <w:p w14:paraId="3D5430E0">
            <w:pPr>
              <w:pStyle w:val="44"/>
              <w:rPr>
                <w:color w:val="auto"/>
              </w:rPr>
            </w:pPr>
          </w:p>
        </w:tc>
        <w:tc>
          <w:tcPr>
            <w:tcW w:w="751" w:type="pct"/>
            <w:vMerge w:val="restart"/>
            <w:noWrap/>
            <w:vAlign w:val="center"/>
          </w:tcPr>
          <w:p w14:paraId="0324FF2C">
            <w:pPr>
              <w:pStyle w:val="44"/>
              <w:rPr>
                <w:color w:val="auto"/>
              </w:rPr>
            </w:pPr>
            <w:r>
              <w:rPr>
                <w:color w:val="auto"/>
              </w:rPr>
              <w:t>K08-1/05</w:t>
            </w:r>
          </w:p>
        </w:tc>
        <w:tc>
          <w:tcPr>
            <w:tcW w:w="1844" w:type="pct"/>
            <w:noWrap/>
            <w:vAlign w:val="center"/>
          </w:tcPr>
          <w:p w14:paraId="783BC220">
            <w:pPr>
              <w:pStyle w:val="44"/>
              <w:rPr>
                <w:color w:val="auto"/>
              </w:rPr>
            </w:pPr>
            <w:r>
              <w:rPr>
                <w:color w:val="auto"/>
              </w:rPr>
              <w:t>双鹰物流园</w:t>
            </w:r>
          </w:p>
        </w:tc>
        <w:tc>
          <w:tcPr>
            <w:tcW w:w="915" w:type="pct"/>
            <w:vMerge w:val="restart"/>
            <w:noWrap/>
            <w:vAlign w:val="center"/>
          </w:tcPr>
          <w:p w14:paraId="515F34F2">
            <w:pPr>
              <w:pStyle w:val="44"/>
              <w:rPr>
                <w:color w:val="auto"/>
              </w:rPr>
            </w:pPr>
            <w:r>
              <w:rPr>
                <w:color w:val="auto"/>
              </w:rPr>
              <w:t xml:space="preserve">0.92 </w:t>
            </w:r>
          </w:p>
        </w:tc>
        <w:tc>
          <w:tcPr>
            <w:tcW w:w="592" w:type="pct"/>
            <w:noWrap/>
            <w:vAlign w:val="center"/>
          </w:tcPr>
          <w:p w14:paraId="49584609">
            <w:pPr>
              <w:pStyle w:val="44"/>
              <w:rPr>
                <w:color w:val="auto"/>
              </w:rPr>
            </w:pPr>
            <w:r>
              <w:rPr>
                <w:color w:val="auto"/>
              </w:rPr>
              <w:t>2008年</w:t>
            </w:r>
          </w:p>
        </w:tc>
      </w:tr>
      <w:tr w14:paraId="38DB2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4B42AE2A">
            <w:pPr>
              <w:pStyle w:val="44"/>
              <w:rPr>
                <w:color w:val="auto"/>
              </w:rPr>
            </w:pPr>
            <w:r>
              <w:rPr>
                <w:color w:val="auto"/>
              </w:rPr>
              <w:t>42</w:t>
            </w:r>
          </w:p>
        </w:tc>
        <w:tc>
          <w:tcPr>
            <w:tcW w:w="530" w:type="pct"/>
            <w:vMerge w:val="continue"/>
            <w:vAlign w:val="center"/>
          </w:tcPr>
          <w:p w14:paraId="76F6F418">
            <w:pPr>
              <w:pStyle w:val="44"/>
              <w:rPr>
                <w:color w:val="auto"/>
              </w:rPr>
            </w:pPr>
          </w:p>
        </w:tc>
        <w:tc>
          <w:tcPr>
            <w:tcW w:w="751" w:type="pct"/>
            <w:vMerge w:val="continue"/>
            <w:vAlign w:val="center"/>
          </w:tcPr>
          <w:p w14:paraId="6EDE94F7">
            <w:pPr>
              <w:pStyle w:val="44"/>
              <w:rPr>
                <w:color w:val="auto"/>
              </w:rPr>
            </w:pPr>
          </w:p>
        </w:tc>
        <w:tc>
          <w:tcPr>
            <w:tcW w:w="1844" w:type="pct"/>
            <w:noWrap/>
            <w:vAlign w:val="center"/>
          </w:tcPr>
          <w:p w14:paraId="567AF5C3">
            <w:pPr>
              <w:pStyle w:val="44"/>
              <w:rPr>
                <w:color w:val="auto"/>
              </w:rPr>
            </w:pPr>
            <w:r>
              <w:rPr>
                <w:color w:val="auto"/>
              </w:rPr>
              <w:t>大渡口中梁山营业部</w:t>
            </w:r>
          </w:p>
        </w:tc>
        <w:tc>
          <w:tcPr>
            <w:tcW w:w="915" w:type="pct"/>
            <w:vMerge w:val="continue"/>
            <w:vAlign w:val="center"/>
          </w:tcPr>
          <w:p w14:paraId="7B7044DD">
            <w:pPr>
              <w:pStyle w:val="44"/>
              <w:rPr>
                <w:color w:val="auto"/>
              </w:rPr>
            </w:pPr>
          </w:p>
        </w:tc>
        <w:tc>
          <w:tcPr>
            <w:tcW w:w="592" w:type="pct"/>
            <w:noWrap/>
            <w:vAlign w:val="center"/>
          </w:tcPr>
          <w:p w14:paraId="39A098AE">
            <w:pPr>
              <w:pStyle w:val="44"/>
              <w:rPr>
                <w:color w:val="auto"/>
              </w:rPr>
            </w:pPr>
            <w:r>
              <w:rPr>
                <w:color w:val="auto"/>
              </w:rPr>
              <w:t>2008年</w:t>
            </w:r>
          </w:p>
        </w:tc>
      </w:tr>
      <w:tr w14:paraId="441A3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FF6424C">
            <w:pPr>
              <w:pStyle w:val="44"/>
              <w:rPr>
                <w:color w:val="auto"/>
              </w:rPr>
            </w:pPr>
            <w:r>
              <w:rPr>
                <w:color w:val="auto"/>
              </w:rPr>
              <w:t>43</w:t>
            </w:r>
          </w:p>
        </w:tc>
        <w:tc>
          <w:tcPr>
            <w:tcW w:w="530" w:type="pct"/>
            <w:vMerge w:val="continue"/>
            <w:vAlign w:val="center"/>
          </w:tcPr>
          <w:p w14:paraId="3B90E02A">
            <w:pPr>
              <w:pStyle w:val="44"/>
              <w:rPr>
                <w:color w:val="auto"/>
              </w:rPr>
            </w:pPr>
          </w:p>
        </w:tc>
        <w:tc>
          <w:tcPr>
            <w:tcW w:w="751" w:type="pct"/>
            <w:vMerge w:val="continue"/>
            <w:vAlign w:val="center"/>
          </w:tcPr>
          <w:p w14:paraId="67D28C71">
            <w:pPr>
              <w:pStyle w:val="44"/>
              <w:rPr>
                <w:color w:val="auto"/>
              </w:rPr>
            </w:pPr>
          </w:p>
        </w:tc>
        <w:tc>
          <w:tcPr>
            <w:tcW w:w="1844" w:type="pct"/>
            <w:noWrap/>
            <w:vAlign w:val="center"/>
          </w:tcPr>
          <w:p w14:paraId="68477085">
            <w:pPr>
              <w:pStyle w:val="44"/>
              <w:rPr>
                <w:color w:val="auto"/>
              </w:rPr>
            </w:pPr>
            <w:r>
              <w:rPr>
                <w:color w:val="auto"/>
              </w:rPr>
              <w:t>乐尚软装一体化配送中心</w:t>
            </w:r>
          </w:p>
        </w:tc>
        <w:tc>
          <w:tcPr>
            <w:tcW w:w="915" w:type="pct"/>
            <w:vMerge w:val="continue"/>
            <w:vAlign w:val="center"/>
          </w:tcPr>
          <w:p w14:paraId="12382E37">
            <w:pPr>
              <w:pStyle w:val="44"/>
              <w:rPr>
                <w:color w:val="auto"/>
              </w:rPr>
            </w:pPr>
          </w:p>
        </w:tc>
        <w:tc>
          <w:tcPr>
            <w:tcW w:w="592" w:type="pct"/>
            <w:noWrap/>
            <w:vAlign w:val="center"/>
          </w:tcPr>
          <w:p w14:paraId="1217CBC8">
            <w:pPr>
              <w:pStyle w:val="44"/>
              <w:rPr>
                <w:color w:val="auto"/>
              </w:rPr>
            </w:pPr>
            <w:r>
              <w:rPr>
                <w:color w:val="auto"/>
              </w:rPr>
              <w:t>2008年</w:t>
            </w:r>
          </w:p>
        </w:tc>
      </w:tr>
      <w:tr w14:paraId="3C923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DE47B8F">
            <w:pPr>
              <w:pStyle w:val="44"/>
              <w:rPr>
                <w:color w:val="auto"/>
              </w:rPr>
            </w:pPr>
            <w:r>
              <w:rPr>
                <w:color w:val="auto"/>
              </w:rPr>
              <w:t>44</w:t>
            </w:r>
          </w:p>
        </w:tc>
        <w:tc>
          <w:tcPr>
            <w:tcW w:w="530" w:type="pct"/>
            <w:vMerge w:val="continue"/>
            <w:vAlign w:val="center"/>
          </w:tcPr>
          <w:p w14:paraId="09B84C8F">
            <w:pPr>
              <w:pStyle w:val="44"/>
              <w:rPr>
                <w:color w:val="auto"/>
              </w:rPr>
            </w:pPr>
          </w:p>
        </w:tc>
        <w:tc>
          <w:tcPr>
            <w:tcW w:w="751" w:type="pct"/>
            <w:noWrap/>
            <w:vAlign w:val="center"/>
          </w:tcPr>
          <w:p w14:paraId="33024CE4">
            <w:pPr>
              <w:pStyle w:val="44"/>
              <w:rPr>
                <w:color w:val="auto"/>
              </w:rPr>
            </w:pPr>
            <w:r>
              <w:rPr>
                <w:color w:val="auto"/>
              </w:rPr>
              <w:t>I05-4/04</w:t>
            </w:r>
          </w:p>
        </w:tc>
        <w:tc>
          <w:tcPr>
            <w:tcW w:w="1844" w:type="pct"/>
            <w:noWrap/>
            <w:vAlign w:val="center"/>
          </w:tcPr>
          <w:p w14:paraId="024E4B5E">
            <w:pPr>
              <w:pStyle w:val="44"/>
              <w:rPr>
                <w:color w:val="auto"/>
              </w:rPr>
            </w:pPr>
            <w:r>
              <w:rPr>
                <w:color w:val="auto"/>
              </w:rPr>
              <w:t>西铁一村</w:t>
            </w:r>
          </w:p>
        </w:tc>
        <w:tc>
          <w:tcPr>
            <w:tcW w:w="915" w:type="pct"/>
            <w:noWrap/>
            <w:vAlign w:val="center"/>
          </w:tcPr>
          <w:p w14:paraId="444944DE">
            <w:pPr>
              <w:pStyle w:val="44"/>
              <w:rPr>
                <w:color w:val="auto"/>
              </w:rPr>
            </w:pPr>
            <w:r>
              <w:rPr>
                <w:color w:val="auto"/>
              </w:rPr>
              <w:t xml:space="preserve">0.22 </w:t>
            </w:r>
          </w:p>
        </w:tc>
        <w:tc>
          <w:tcPr>
            <w:tcW w:w="592" w:type="pct"/>
            <w:noWrap/>
            <w:vAlign w:val="center"/>
          </w:tcPr>
          <w:p w14:paraId="250A2B3C">
            <w:pPr>
              <w:pStyle w:val="44"/>
              <w:rPr>
                <w:color w:val="auto"/>
              </w:rPr>
            </w:pPr>
            <w:r>
              <w:rPr>
                <w:color w:val="auto"/>
              </w:rPr>
              <w:t>2006年</w:t>
            </w:r>
          </w:p>
        </w:tc>
      </w:tr>
      <w:tr w14:paraId="0D2DD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633CBF20">
            <w:pPr>
              <w:pStyle w:val="44"/>
              <w:rPr>
                <w:color w:val="auto"/>
              </w:rPr>
            </w:pPr>
            <w:r>
              <w:rPr>
                <w:color w:val="auto"/>
              </w:rPr>
              <w:t>45</w:t>
            </w:r>
          </w:p>
        </w:tc>
        <w:tc>
          <w:tcPr>
            <w:tcW w:w="530" w:type="pct"/>
            <w:vMerge w:val="continue"/>
            <w:vAlign w:val="center"/>
          </w:tcPr>
          <w:p w14:paraId="2E7B3087">
            <w:pPr>
              <w:pStyle w:val="44"/>
              <w:rPr>
                <w:color w:val="auto"/>
              </w:rPr>
            </w:pPr>
          </w:p>
        </w:tc>
        <w:tc>
          <w:tcPr>
            <w:tcW w:w="751" w:type="pct"/>
            <w:noWrap/>
            <w:vAlign w:val="center"/>
          </w:tcPr>
          <w:p w14:paraId="6EA781E7">
            <w:pPr>
              <w:pStyle w:val="44"/>
              <w:rPr>
                <w:color w:val="auto"/>
              </w:rPr>
            </w:pPr>
            <w:r>
              <w:rPr>
                <w:color w:val="auto"/>
              </w:rPr>
              <w:t>K08-3/04</w:t>
            </w:r>
          </w:p>
        </w:tc>
        <w:tc>
          <w:tcPr>
            <w:tcW w:w="1844" w:type="pct"/>
            <w:noWrap/>
            <w:vAlign w:val="center"/>
          </w:tcPr>
          <w:p w14:paraId="0F54DBB6">
            <w:pPr>
              <w:pStyle w:val="44"/>
              <w:rPr>
                <w:color w:val="auto"/>
              </w:rPr>
            </w:pPr>
            <w:r>
              <w:rPr>
                <w:color w:val="auto"/>
              </w:rPr>
              <w:t>中国石化加油站</w:t>
            </w:r>
          </w:p>
        </w:tc>
        <w:tc>
          <w:tcPr>
            <w:tcW w:w="915" w:type="pct"/>
            <w:noWrap/>
            <w:vAlign w:val="center"/>
          </w:tcPr>
          <w:p w14:paraId="53BCF59C">
            <w:pPr>
              <w:pStyle w:val="44"/>
              <w:rPr>
                <w:color w:val="auto"/>
              </w:rPr>
            </w:pPr>
            <w:r>
              <w:rPr>
                <w:color w:val="auto"/>
              </w:rPr>
              <w:t xml:space="preserve">0.33 </w:t>
            </w:r>
          </w:p>
        </w:tc>
        <w:tc>
          <w:tcPr>
            <w:tcW w:w="592" w:type="pct"/>
            <w:noWrap/>
            <w:vAlign w:val="center"/>
          </w:tcPr>
          <w:p w14:paraId="07B8D1AB">
            <w:pPr>
              <w:pStyle w:val="44"/>
              <w:rPr>
                <w:color w:val="auto"/>
              </w:rPr>
            </w:pPr>
            <w:r>
              <w:rPr>
                <w:color w:val="auto"/>
              </w:rPr>
              <w:t>2006年</w:t>
            </w:r>
          </w:p>
        </w:tc>
      </w:tr>
      <w:tr w14:paraId="3E70A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00193301">
            <w:pPr>
              <w:pStyle w:val="44"/>
              <w:rPr>
                <w:color w:val="auto"/>
              </w:rPr>
            </w:pPr>
            <w:r>
              <w:rPr>
                <w:color w:val="auto"/>
              </w:rPr>
              <w:t>合计</w:t>
            </w:r>
          </w:p>
        </w:tc>
        <w:tc>
          <w:tcPr>
            <w:tcW w:w="530" w:type="pct"/>
            <w:vMerge w:val="continue"/>
            <w:vAlign w:val="center"/>
          </w:tcPr>
          <w:p w14:paraId="20396749">
            <w:pPr>
              <w:pStyle w:val="44"/>
              <w:rPr>
                <w:color w:val="auto"/>
              </w:rPr>
            </w:pPr>
          </w:p>
        </w:tc>
        <w:tc>
          <w:tcPr>
            <w:tcW w:w="751" w:type="pct"/>
            <w:noWrap/>
            <w:vAlign w:val="center"/>
          </w:tcPr>
          <w:p w14:paraId="59CB3AAC">
            <w:pPr>
              <w:pStyle w:val="44"/>
              <w:rPr>
                <w:color w:val="auto"/>
              </w:rPr>
            </w:pPr>
            <w:r>
              <w:rPr>
                <w:color w:val="auto"/>
              </w:rPr>
              <w:t>　</w:t>
            </w:r>
          </w:p>
        </w:tc>
        <w:tc>
          <w:tcPr>
            <w:tcW w:w="1844" w:type="pct"/>
            <w:noWrap/>
            <w:vAlign w:val="center"/>
          </w:tcPr>
          <w:p w14:paraId="5149989C">
            <w:pPr>
              <w:pStyle w:val="44"/>
              <w:rPr>
                <w:color w:val="auto"/>
              </w:rPr>
            </w:pPr>
            <w:r>
              <w:rPr>
                <w:color w:val="auto"/>
              </w:rPr>
              <w:t>　</w:t>
            </w:r>
          </w:p>
        </w:tc>
        <w:tc>
          <w:tcPr>
            <w:tcW w:w="915" w:type="pct"/>
            <w:noWrap/>
            <w:vAlign w:val="center"/>
          </w:tcPr>
          <w:p w14:paraId="54A9B491">
            <w:pPr>
              <w:pStyle w:val="44"/>
              <w:rPr>
                <w:color w:val="auto"/>
              </w:rPr>
            </w:pPr>
            <w:r>
              <w:rPr>
                <w:color w:val="auto"/>
              </w:rPr>
              <w:t xml:space="preserve">101.27 </w:t>
            </w:r>
          </w:p>
        </w:tc>
        <w:tc>
          <w:tcPr>
            <w:tcW w:w="592" w:type="pct"/>
            <w:noWrap/>
            <w:vAlign w:val="center"/>
          </w:tcPr>
          <w:p w14:paraId="237EAEDF">
            <w:pPr>
              <w:pStyle w:val="44"/>
              <w:rPr>
                <w:color w:val="auto"/>
              </w:rPr>
            </w:pPr>
            <w:r>
              <w:rPr>
                <w:color w:val="auto"/>
              </w:rPr>
              <w:t>　</w:t>
            </w:r>
          </w:p>
        </w:tc>
      </w:tr>
      <w:tr w14:paraId="63950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noWrap/>
            <w:vAlign w:val="center"/>
          </w:tcPr>
          <w:p w14:paraId="1434E8AC">
            <w:pPr>
              <w:pStyle w:val="44"/>
              <w:rPr>
                <w:color w:val="auto"/>
              </w:rPr>
            </w:pPr>
            <w:r>
              <w:rPr>
                <w:color w:val="auto"/>
              </w:rPr>
              <w:t>总计</w:t>
            </w:r>
          </w:p>
        </w:tc>
        <w:tc>
          <w:tcPr>
            <w:tcW w:w="530" w:type="pct"/>
            <w:vAlign w:val="center"/>
          </w:tcPr>
          <w:p w14:paraId="41793D1B">
            <w:pPr>
              <w:pStyle w:val="44"/>
              <w:rPr>
                <w:color w:val="auto"/>
              </w:rPr>
            </w:pPr>
            <w:r>
              <w:rPr>
                <w:color w:val="auto"/>
              </w:rPr>
              <w:t>　</w:t>
            </w:r>
          </w:p>
        </w:tc>
        <w:tc>
          <w:tcPr>
            <w:tcW w:w="751" w:type="pct"/>
            <w:noWrap/>
            <w:vAlign w:val="center"/>
          </w:tcPr>
          <w:p w14:paraId="5569449F">
            <w:pPr>
              <w:pStyle w:val="44"/>
              <w:rPr>
                <w:color w:val="auto"/>
              </w:rPr>
            </w:pPr>
            <w:r>
              <w:rPr>
                <w:color w:val="auto"/>
              </w:rPr>
              <w:t>　</w:t>
            </w:r>
          </w:p>
        </w:tc>
        <w:tc>
          <w:tcPr>
            <w:tcW w:w="1844" w:type="pct"/>
            <w:noWrap/>
            <w:vAlign w:val="center"/>
          </w:tcPr>
          <w:p w14:paraId="391A6C42">
            <w:pPr>
              <w:pStyle w:val="44"/>
              <w:rPr>
                <w:color w:val="auto"/>
              </w:rPr>
            </w:pPr>
            <w:r>
              <w:rPr>
                <w:color w:val="auto"/>
              </w:rPr>
              <w:t>　</w:t>
            </w:r>
          </w:p>
        </w:tc>
        <w:tc>
          <w:tcPr>
            <w:tcW w:w="915" w:type="pct"/>
            <w:noWrap/>
            <w:vAlign w:val="center"/>
          </w:tcPr>
          <w:p w14:paraId="4489C436">
            <w:pPr>
              <w:pStyle w:val="44"/>
              <w:rPr>
                <w:color w:val="auto"/>
              </w:rPr>
            </w:pPr>
            <w:r>
              <w:rPr>
                <w:color w:val="auto"/>
              </w:rPr>
              <w:t xml:space="preserve">413.62 </w:t>
            </w:r>
          </w:p>
        </w:tc>
        <w:tc>
          <w:tcPr>
            <w:tcW w:w="592" w:type="pct"/>
            <w:noWrap/>
            <w:vAlign w:val="center"/>
          </w:tcPr>
          <w:p w14:paraId="3A9297BC">
            <w:pPr>
              <w:pStyle w:val="44"/>
              <w:rPr>
                <w:color w:val="auto"/>
              </w:rPr>
            </w:pPr>
            <w:r>
              <w:rPr>
                <w:color w:val="auto"/>
              </w:rPr>
              <w:t>　</w:t>
            </w:r>
          </w:p>
        </w:tc>
      </w:tr>
    </w:tbl>
    <w:p w14:paraId="51ABC913">
      <w:pPr>
        <w:pStyle w:val="5"/>
        <w:numPr>
          <w:ilvl w:val="0"/>
          <w:numId w:val="0"/>
        </w:numPr>
        <w:spacing w:before="166" w:after="166"/>
        <w:rPr>
          <w:color w:val="auto"/>
        </w:rPr>
      </w:pPr>
      <w:bookmarkStart w:id="21" w:name="_Toc9415"/>
      <w:r>
        <w:rPr>
          <w:color w:val="auto"/>
        </w:rPr>
        <w:t>2.3.3 九龙工业园区C区</w:t>
      </w:r>
    </w:p>
    <w:p w14:paraId="5D9C85CF">
      <w:pPr>
        <w:pStyle w:val="6"/>
        <w:numPr>
          <w:ilvl w:val="3"/>
          <w:numId w:val="0"/>
        </w:numPr>
        <w:rPr>
          <w:color w:val="auto"/>
        </w:rPr>
      </w:pPr>
      <w:r>
        <w:rPr>
          <w:color w:val="auto"/>
        </w:rPr>
        <w:t>2.3.3.1 西彭组团O标准分区</w:t>
      </w:r>
    </w:p>
    <w:p w14:paraId="453485B2">
      <w:pPr>
        <w:ind w:firstLine="480"/>
        <w:rPr>
          <w:color w:val="auto"/>
        </w:rPr>
      </w:pPr>
      <w:r>
        <w:rPr>
          <w:color w:val="auto"/>
        </w:rPr>
        <w:t>（1）地块开发现状</w:t>
      </w:r>
    </w:p>
    <w:p w14:paraId="709F7B5F">
      <w:pPr>
        <w:topLinePunct/>
        <w:ind w:firstLine="480"/>
        <w:rPr>
          <w:color w:val="auto"/>
          <w:szCs w:val="28"/>
        </w:rPr>
      </w:pPr>
      <w:r>
        <w:rPr>
          <w:color w:val="auto"/>
          <w:szCs w:val="28"/>
        </w:rPr>
        <w:t>西彭组团O标准分区总规划面积442.25hm</w:t>
      </w:r>
      <w:r>
        <w:rPr>
          <w:color w:val="auto"/>
          <w:szCs w:val="28"/>
          <w:vertAlign w:val="superscript"/>
        </w:rPr>
        <w:t>2</w:t>
      </w:r>
      <w:r>
        <w:rPr>
          <w:color w:val="auto"/>
          <w:szCs w:val="28"/>
        </w:rPr>
        <w:t>，有建设用地和非建设用地两部分组成，其中建设用地面积429.92hm</w:t>
      </w:r>
      <w:r>
        <w:rPr>
          <w:color w:val="auto"/>
          <w:szCs w:val="28"/>
          <w:vertAlign w:val="superscript"/>
        </w:rPr>
        <w:t>2</w:t>
      </w:r>
      <w:r>
        <w:rPr>
          <w:color w:val="auto"/>
          <w:szCs w:val="28"/>
        </w:rPr>
        <w:t>，已建面积64.75hm</w:t>
      </w:r>
      <w:r>
        <w:rPr>
          <w:color w:val="auto"/>
          <w:szCs w:val="28"/>
          <w:vertAlign w:val="superscript"/>
        </w:rPr>
        <w:t>2</w:t>
      </w:r>
      <w:r>
        <w:rPr>
          <w:color w:val="auto"/>
          <w:szCs w:val="28"/>
        </w:rPr>
        <w:t>，在建面积0hm</w:t>
      </w:r>
      <w:r>
        <w:rPr>
          <w:color w:val="auto"/>
          <w:szCs w:val="28"/>
          <w:vertAlign w:val="superscript"/>
        </w:rPr>
        <w:t>2</w:t>
      </w:r>
      <w:r>
        <w:rPr>
          <w:color w:val="auto"/>
          <w:szCs w:val="28"/>
        </w:rPr>
        <w:t>，已场平面积0hm</w:t>
      </w:r>
      <w:r>
        <w:rPr>
          <w:color w:val="auto"/>
          <w:szCs w:val="28"/>
          <w:vertAlign w:val="superscript"/>
        </w:rPr>
        <w:t>2</w:t>
      </w:r>
      <w:r>
        <w:rPr>
          <w:color w:val="auto"/>
          <w:szCs w:val="28"/>
        </w:rPr>
        <w:t>，未建面积365.17hm</w:t>
      </w:r>
      <w:r>
        <w:rPr>
          <w:color w:val="auto"/>
          <w:szCs w:val="28"/>
          <w:vertAlign w:val="superscript"/>
        </w:rPr>
        <w:t>2</w:t>
      </w:r>
      <w:r>
        <w:rPr>
          <w:color w:val="auto"/>
          <w:szCs w:val="28"/>
        </w:rPr>
        <w:t>，具体各区域地块开发现状详见表2.5-2。</w:t>
      </w:r>
    </w:p>
    <w:p w14:paraId="30E427CB">
      <w:pPr>
        <w:topLinePunct/>
        <w:ind w:firstLine="480"/>
        <w:rPr>
          <w:color w:val="auto"/>
          <w:szCs w:val="28"/>
        </w:rPr>
      </w:pPr>
      <w:r>
        <w:rPr>
          <w:color w:val="auto"/>
          <w:szCs w:val="28"/>
        </w:rPr>
        <w:t>具体各区域地块开发现状详见表2.3-5。</w:t>
      </w:r>
    </w:p>
    <w:p w14:paraId="0756DAB0">
      <w:pPr>
        <w:topLinePunct/>
        <w:ind w:firstLine="236" w:firstLineChars="98"/>
        <w:jc w:val="left"/>
        <w:rPr>
          <w:b/>
          <w:bCs/>
          <w:color w:val="auto"/>
          <w:kern w:val="0"/>
          <w:vertAlign w:val="superscript"/>
          <w:lang w:bidi="en-US"/>
        </w:rPr>
      </w:pPr>
      <w:r>
        <w:rPr>
          <w:b/>
          <w:bCs/>
          <w:color w:val="auto"/>
          <w:kern w:val="0"/>
          <w:lang w:bidi="en-US"/>
        </w:rPr>
        <w:t>表2.3-5             西彭组团O标准各区域地块开发现状            单位：hm</w:t>
      </w:r>
      <w:r>
        <w:rPr>
          <w:b/>
          <w:bCs/>
          <w:color w:val="auto"/>
          <w:kern w:val="0"/>
          <w:vertAlign w:val="superscript"/>
          <w:lang w:bidi="en-US"/>
        </w:rPr>
        <w:t>2</w:t>
      </w:r>
    </w:p>
    <w:tbl>
      <w:tblPr>
        <w:tblStyle w:val="21"/>
        <w:tblW w:w="5000" w:type="pct"/>
        <w:tblInd w:w="0" w:type="dxa"/>
        <w:tblLayout w:type="autofit"/>
        <w:tblCellMar>
          <w:top w:w="0" w:type="dxa"/>
          <w:left w:w="108" w:type="dxa"/>
          <w:bottom w:w="0" w:type="dxa"/>
          <w:right w:w="108" w:type="dxa"/>
        </w:tblCellMar>
      </w:tblPr>
      <w:tblGrid>
        <w:gridCol w:w="1442"/>
        <w:gridCol w:w="1165"/>
        <w:gridCol w:w="1302"/>
        <w:gridCol w:w="1302"/>
        <w:gridCol w:w="1302"/>
        <w:gridCol w:w="1302"/>
        <w:gridCol w:w="1302"/>
      </w:tblGrid>
      <w:tr w14:paraId="73C89017">
        <w:tblPrEx>
          <w:tblCellMar>
            <w:top w:w="0" w:type="dxa"/>
            <w:left w:w="108" w:type="dxa"/>
            <w:bottom w:w="0" w:type="dxa"/>
            <w:right w:w="108" w:type="dxa"/>
          </w:tblCellMar>
        </w:tblPrEx>
        <w:trPr>
          <w:trHeight w:val="330" w:hRule="atLeast"/>
        </w:trPr>
        <w:tc>
          <w:tcPr>
            <w:tcW w:w="1430" w:type="pct"/>
            <w:gridSpan w:val="2"/>
            <w:tcBorders>
              <w:top w:val="single" w:color="auto" w:sz="12" w:space="0"/>
              <w:left w:val="single" w:color="auto" w:sz="12" w:space="0"/>
              <w:bottom w:val="single" w:color="auto" w:sz="4" w:space="0"/>
              <w:right w:val="single" w:color="auto" w:sz="4" w:space="0"/>
            </w:tcBorders>
            <w:noWrap/>
            <w:vAlign w:val="center"/>
          </w:tcPr>
          <w:p w14:paraId="2BBF21AB">
            <w:pPr>
              <w:pStyle w:val="44"/>
              <w:rPr>
                <w:color w:val="auto"/>
              </w:rPr>
            </w:pPr>
            <w:r>
              <w:rPr>
                <w:color w:val="auto"/>
              </w:rPr>
              <w:t>类型</w:t>
            </w:r>
          </w:p>
        </w:tc>
        <w:tc>
          <w:tcPr>
            <w:tcW w:w="714" w:type="pct"/>
            <w:tcBorders>
              <w:top w:val="single" w:color="auto" w:sz="12" w:space="0"/>
              <w:left w:val="nil"/>
              <w:bottom w:val="single" w:color="auto" w:sz="4" w:space="0"/>
              <w:right w:val="single" w:color="auto" w:sz="4" w:space="0"/>
            </w:tcBorders>
            <w:noWrap/>
            <w:vAlign w:val="center"/>
          </w:tcPr>
          <w:p w14:paraId="65F4F415">
            <w:pPr>
              <w:pStyle w:val="44"/>
              <w:rPr>
                <w:color w:val="auto"/>
              </w:rPr>
            </w:pPr>
            <w:r>
              <w:rPr>
                <w:color w:val="auto"/>
              </w:rPr>
              <w:t>已建</w:t>
            </w:r>
          </w:p>
        </w:tc>
        <w:tc>
          <w:tcPr>
            <w:tcW w:w="714" w:type="pct"/>
            <w:tcBorders>
              <w:top w:val="single" w:color="auto" w:sz="12" w:space="0"/>
              <w:left w:val="nil"/>
              <w:bottom w:val="single" w:color="auto" w:sz="4" w:space="0"/>
              <w:right w:val="single" w:color="auto" w:sz="4" w:space="0"/>
            </w:tcBorders>
            <w:noWrap/>
            <w:vAlign w:val="center"/>
          </w:tcPr>
          <w:p w14:paraId="1A94B461">
            <w:pPr>
              <w:pStyle w:val="44"/>
              <w:rPr>
                <w:color w:val="auto"/>
              </w:rPr>
            </w:pPr>
            <w:r>
              <w:rPr>
                <w:color w:val="auto"/>
              </w:rPr>
              <w:t>在建</w:t>
            </w:r>
          </w:p>
        </w:tc>
        <w:tc>
          <w:tcPr>
            <w:tcW w:w="714" w:type="pct"/>
            <w:tcBorders>
              <w:top w:val="single" w:color="auto" w:sz="12" w:space="0"/>
              <w:left w:val="nil"/>
              <w:bottom w:val="single" w:color="auto" w:sz="4" w:space="0"/>
              <w:right w:val="single" w:color="auto" w:sz="4" w:space="0"/>
            </w:tcBorders>
            <w:noWrap/>
            <w:vAlign w:val="center"/>
          </w:tcPr>
          <w:p w14:paraId="6336E1BB">
            <w:pPr>
              <w:pStyle w:val="44"/>
              <w:rPr>
                <w:color w:val="auto"/>
              </w:rPr>
            </w:pPr>
            <w:r>
              <w:rPr>
                <w:color w:val="auto"/>
              </w:rPr>
              <w:t>已场平</w:t>
            </w:r>
          </w:p>
        </w:tc>
        <w:tc>
          <w:tcPr>
            <w:tcW w:w="714" w:type="pct"/>
            <w:tcBorders>
              <w:top w:val="single" w:color="auto" w:sz="12" w:space="0"/>
              <w:left w:val="nil"/>
              <w:bottom w:val="single" w:color="auto" w:sz="4" w:space="0"/>
              <w:right w:val="single" w:color="auto" w:sz="4" w:space="0"/>
            </w:tcBorders>
            <w:noWrap/>
            <w:vAlign w:val="center"/>
          </w:tcPr>
          <w:p w14:paraId="1B49170A">
            <w:pPr>
              <w:pStyle w:val="44"/>
              <w:rPr>
                <w:color w:val="auto"/>
              </w:rPr>
            </w:pPr>
            <w:r>
              <w:rPr>
                <w:color w:val="auto"/>
              </w:rPr>
              <w:t>未建</w:t>
            </w:r>
          </w:p>
        </w:tc>
        <w:tc>
          <w:tcPr>
            <w:tcW w:w="714" w:type="pct"/>
            <w:tcBorders>
              <w:top w:val="single" w:color="auto" w:sz="12" w:space="0"/>
              <w:left w:val="nil"/>
              <w:bottom w:val="single" w:color="auto" w:sz="4" w:space="0"/>
              <w:right w:val="single" w:color="auto" w:sz="12" w:space="0"/>
            </w:tcBorders>
            <w:noWrap/>
            <w:vAlign w:val="center"/>
          </w:tcPr>
          <w:p w14:paraId="71488253">
            <w:pPr>
              <w:pStyle w:val="44"/>
              <w:rPr>
                <w:color w:val="auto"/>
              </w:rPr>
            </w:pPr>
            <w:r>
              <w:rPr>
                <w:color w:val="auto"/>
              </w:rPr>
              <w:t>合计</w:t>
            </w:r>
          </w:p>
        </w:tc>
      </w:tr>
      <w:tr w14:paraId="52647EC2">
        <w:tblPrEx>
          <w:tblCellMar>
            <w:top w:w="0" w:type="dxa"/>
            <w:left w:w="108" w:type="dxa"/>
            <w:bottom w:w="0" w:type="dxa"/>
            <w:right w:w="108" w:type="dxa"/>
          </w:tblCellMar>
        </w:tblPrEx>
        <w:trPr>
          <w:trHeight w:val="300" w:hRule="atLeast"/>
        </w:trPr>
        <w:tc>
          <w:tcPr>
            <w:tcW w:w="1430" w:type="pct"/>
            <w:gridSpan w:val="2"/>
            <w:tcBorders>
              <w:top w:val="single" w:color="auto" w:sz="4" w:space="0"/>
              <w:left w:val="single" w:color="auto" w:sz="12" w:space="0"/>
              <w:bottom w:val="single" w:color="auto" w:sz="4" w:space="0"/>
              <w:right w:val="single" w:color="auto" w:sz="4" w:space="0"/>
            </w:tcBorders>
            <w:noWrap/>
            <w:vAlign w:val="center"/>
          </w:tcPr>
          <w:p w14:paraId="2F18B1A6">
            <w:pPr>
              <w:pStyle w:val="44"/>
              <w:rPr>
                <w:color w:val="auto"/>
              </w:rPr>
            </w:pPr>
            <w:r>
              <w:rPr>
                <w:color w:val="auto"/>
              </w:rPr>
              <w:t>规划功能区</w:t>
            </w:r>
          </w:p>
        </w:tc>
        <w:tc>
          <w:tcPr>
            <w:tcW w:w="714" w:type="pct"/>
            <w:tcBorders>
              <w:top w:val="nil"/>
              <w:left w:val="nil"/>
              <w:bottom w:val="single" w:color="auto" w:sz="4" w:space="0"/>
              <w:right w:val="single" w:color="auto" w:sz="4" w:space="0"/>
            </w:tcBorders>
            <w:noWrap/>
            <w:vAlign w:val="center"/>
          </w:tcPr>
          <w:p w14:paraId="0F341CAF">
            <w:pPr>
              <w:pStyle w:val="44"/>
              <w:rPr>
                <w:color w:val="auto"/>
              </w:rPr>
            </w:pPr>
            <w:r>
              <w:rPr>
                <w:color w:val="auto"/>
              </w:rPr>
              <w:t xml:space="preserve">26.97 </w:t>
            </w:r>
          </w:p>
        </w:tc>
        <w:tc>
          <w:tcPr>
            <w:tcW w:w="714" w:type="pct"/>
            <w:tcBorders>
              <w:top w:val="nil"/>
              <w:left w:val="nil"/>
              <w:bottom w:val="single" w:color="auto" w:sz="4" w:space="0"/>
              <w:right w:val="single" w:color="auto" w:sz="4" w:space="0"/>
            </w:tcBorders>
            <w:noWrap/>
            <w:vAlign w:val="center"/>
          </w:tcPr>
          <w:p w14:paraId="65E25C37">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28B6F4CB">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2376E6C5">
            <w:pPr>
              <w:pStyle w:val="44"/>
              <w:rPr>
                <w:color w:val="auto"/>
              </w:rPr>
            </w:pPr>
            <w:r>
              <w:rPr>
                <w:color w:val="auto"/>
              </w:rPr>
              <w:t xml:space="preserve">240.83 </w:t>
            </w:r>
          </w:p>
        </w:tc>
        <w:tc>
          <w:tcPr>
            <w:tcW w:w="714" w:type="pct"/>
            <w:tcBorders>
              <w:top w:val="nil"/>
              <w:left w:val="nil"/>
              <w:bottom w:val="single" w:color="auto" w:sz="4" w:space="0"/>
              <w:right w:val="single" w:color="auto" w:sz="12" w:space="0"/>
            </w:tcBorders>
            <w:noWrap/>
            <w:vAlign w:val="center"/>
          </w:tcPr>
          <w:p w14:paraId="6251DD06">
            <w:pPr>
              <w:pStyle w:val="44"/>
              <w:rPr>
                <w:color w:val="auto"/>
              </w:rPr>
            </w:pPr>
            <w:r>
              <w:rPr>
                <w:color w:val="auto"/>
              </w:rPr>
              <w:t xml:space="preserve">267.80 </w:t>
            </w:r>
          </w:p>
        </w:tc>
      </w:tr>
      <w:tr w14:paraId="598B6A9A">
        <w:tblPrEx>
          <w:tblCellMar>
            <w:top w:w="0" w:type="dxa"/>
            <w:left w:w="108" w:type="dxa"/>
            <w:bottom w:w="0" w:type="dxa"/>
            <w:right w:w="108" w:type="dxa"/>
          </w:tblCellMar>
        </w:tblPrEx>
        <w:trPr>
          <w:trHeight w:val="300" w:hRule="atLeast"/>
        </w:trPr>
        <w:tc>
          <w:tcPr>
            <w:tcW w:w="791" w:type="pct"/>
            <w:vMerge w:val="restart"/>
            <w:tcBorders>
              <w:top w:val="nil"/>
              <w:left w:val="single" w:color="auto" w:sz="12" w:space="0"/>
              <w:bottom w:val="single" w:color="auto" w:sz="4" w:space="0"/>
              <w:right w:val="single" w:color="auto" w:sz="4" w:space="0"/>
            </w:tcBorders>
            <w:noWrap/>
            <w:vAlign w:val="center"/>
          </w:tcPr>
          <w:p w14:paraId="6298BDCA">
            <w:pPr>
              <w:pStyle w:val="44"/>
              <w:rPr>
                <w:color w:val="auto"/>
              </w:rPr>
            </w:pPr>
            <w:r>
              <w:rPr>
                <w:color w:val="auto"/>
              </w:rPr>
              <w:t>公共设施</w:t>
            </w:r>
          </w:p>
        </w:tc>
        <w:tc>
          <w:tcPr>
            <w:tcW w:w="638" w:type="pct"/>
            <w:tcBorders>
              <w:top w:val="nil"/>
              <w:left w:val="nil"/>
              <w:bottom w:val="single" w:color="auto" w:sz="4" w:space="0"/>
              <w:right w:val="single" w:color="auto" w:sz="4" w:space="0"/>
            </w:tcBorders>
            <w:noWrap/>
            <w:vAlign w:val="center"/>
          </w:tcPr>
          <w:p w14:paraId="73047990">
            <w:pPr>
              <w:pStyle w:val="44"/>
              <w:rPr>
                <w:color w:val="auto"/>
              </w:rPr>
            </w:pPr>
            <w:r>
              <w:rPr>
                <w:color w:val="auto"/>
              </w:rPr>
              <w:t>道路工程</w:t>
            </w:r>
          </w:p>
        </w:tc>
        <w:tc>
          <w:tcPr>
            <w:tcW w:w="714" w:type="pct"/>
            <w:tcBorders>
              <w:top w:val="nil"/>
              <w:left w:val="nil"/>
              <w:bottom w:val="single" w:color="auto" w:sz="4" w:space="0"/>
              <w:right w:val="single" w:color="auto" w:sz="4" w:space="0"/>
            </w:tcBorders>
            <w:noWrap/>
            <w:vAlign w:val="center"/>
          </w:tcPr>
          <w:p w14:paraId="03A82ADF">
            <w:pPr>
              <w:pStyle w:val="44"/>
              <w:rPr>
                <w:color w:val="auto"/>
              </w:rPr>
            </w:pPr>
            <w:r>
              <w:rPr>
                <w:color w:val="auto"/>
              </w:rPr>
              <w:t xml:space="preserve">37.78 </w:t>
            </w:r>
          </w:p>
        </w:tc>
        <w:tc>
          <w:tcPr>
            <w:tcW w:w="714" w:type="pct"/>
            <w:tcBorders>
              <w:top w:val="nil"/>
              <w:left w:val="nil"/>
              <w:bottom w:val="single" w:color="auto" w:sz="4" w:space="0"/>
              <w:right w:val="single" w:color="auto" w:sz="4" w:space="0"/>
            </w:tcBorders>
            <w:noWrap/>
            <w:vAlign w:val="center"/>
          </w:tcPr>
          <w:p w14:paraId="1ADBF6E6">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7122750E">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6FF43CD1">
            <w:pPr>
              <w:pStyle w:val="44"/>
              <w:rPr>
                <w:color w:val="auto"/>
              </w:rPr>
            </w:pPr>
            <w:r>
              <w:rPr>
                <w:color w:val="auto"/>
              </w:rPr>
              <w:t xml:space="preserve">61.23 </w:t>
            </w:r>
          </w:p>
        </w:tc>
        <w:tc>
          <w:tcPr>
            <w:tcW w:w="714" w:type="pct"/>
            <w:tcBorders>
              <w:top w:val="nil"/>
              <w:left w:val="nil"/>
              <w:bottom w:val="single" w:color="auto" w:sz="4" w:space="0"/>
              <w:right w:val="single" w:color="auto" w:sz="12" w:space="0"/>
            </w:tcBorders>
            <w:noWrap/>
            <w:vAlign w:val="center"/>
          </w:tcPr>
          <w:p w14:paraId="486174CF">
            <w:pPr>
              <w:pStyle w:val="44"/>
              <w:rPr>
                <w:color w:val="auto"/>
              </w:rPr>
            </w:pPr>
            <w:r>
              <w:rPr>
                <w:color w:val="auto"/>
              </w:rPr>
              <w:t xml:space="preserve">99.01 </w:t>
            </w:r>
          </w:p>
        </w:tc>
      </w:tr>
      <w:tr w14:paraId="71F0602D">
        <w:tblPrEx>
          <w:tblCellMar>
            <w:top w:w="0" w:type="dxa"/>
            <w:left w:w="108" w:type="dxa"/>
            <w:bottom w:w="0" w:type="dxa"/>
            <w:right w:w="108" w:type="dxa"/>
          </w:tblCellMar>
        </w:tblPrEx>
        <w:trPr>
          <w:trHeight w:val="300" w:hRule="atLeast"/>
        </w:trPr>
        <w:tc>
          <w:tcPr>
            <w:tcW w:w="791" w:type="pct"/>
            <w:vMerge w:val="continue"/>
            <w:tcBorders>
              <w:top w:val="nil"/>
              <w:left w:val="single" w:color="auto" w:sz="12" w:space="0"/>
              <w:bottom w:val="single" w:color="auto" w:sz="4" w:space="0"/>
              <w:right w:val="single" w:color="auto" w:sz="4" w:space="0"/>
            </w:tcBorders>
            <w:vAlign w:val="center"/>
          </w:tcPr>
          <w:p w14:paraId="61B413C4">
            <w:pPr>
              <w:pStyle w:val="44"/>
              <w:rPr>
                <w:color w:val="auto"/>
              </w:rPr>
            </w:pPr>
          </w:p>
        </w:tc>
        <w:tc>
          <w:tcPr>
            <w:tcW w:w="638" w:type="pct"/>
            <w:tcBorders>
              <w:top w:val="nil"/>
              <w:left w:val="nil"/>
              <w:bottom w:val="single" w:color="auto" w:sz="4" w:space="0"/>
              <w:right w:val="single" w:color="auto" w:sz="4" w:space="0"/>
            </w:tcBorders>
            <w:noWrap/>
            <w:vAlign w:val="center"/>
          </w:tcPr>
          <w:p w14:paraId="6CBA1B49">
            <w:pPr>
              <w:pStyle w:val="44"/>
              <w:rPr>
                <w:color w:val="auto"/>
              </w:rPr>
            </w:pPr>
            <w:r>
              <w:rPr>
                <w:color w:val="auto"/>
              </w:rPr>
              <w:t>景观绿化</w:t>
            </w:r>
          </w:p>
        </w:tc>
        <w:tc>
          <w:tcPr>
            <w:tcW w:w="714" w:type="pct"/>
            <w:tcBorders>
              <w:top w:val="nil"/>
              <w:left w:val="nil"/>
              <w:bottom w:val="single" w:color="auto" w:sz="4" w:space="0"/>
              <w:right w:val="single" w:color="auto" w:sz="4" w:space="0"/>
            </w:tcBorders>
            <w:noWrap/>
            <w:vAlign w:val="center"/>
          </w:tcPr>
          <w:p w14:paraId="2D8D78F7">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53E21C85">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3228368C">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18276085">
            <w:pPr>
              <w:pStyle w:val="44"/>
              <w:rPr>
                <w:color w:val="auto"/>
              </w:rPr>
            </w:pPr>
            <w:r>
              <w:rPr>
                <w:color w:val="auto"/>
              </w:rPr>
              <w:t>63.11</w:t>
            </w:r>
          </w:p>
        </w:tc>
        <w:tc>
          <w:tcPr>
            <w:tcW w:w="714" w:type="pct"/>
            <w:tcBorders>
              <w:top w:val="nil"/>
              <w:left w:val="nil"/>
              <w:bottom w:val="single" w:color="auto" w:sz="4" w:space="0"/>
              <w:right w:val="single" w:color="auto" w:sz="12" w:space="0"/>
            </w:tcBorders>
            <w:noWrap/>
            <w:vAlign w:val="center"/>
          </w:tcPr>
          <w:p w14:paraId="3E9E6391">
            <w:pPr>
              <w:pStyle w:val="44"/>
              <w:rPr>
                <w:color w:val="auto"/>
              </w:rPr>
            </w:pPr>
            <w:r>
              <w:rPr>
                <w:color w:val="auto"/>
              </w:rPr>
              <w:t xml:space="preserve">63.11 </w:t>
            </w:r>
          </w:p>
        </w:tc>
      </w:tr>
      <w:tr w14:paraId="7874B0FE">
        <w:tblPrEx>
          <w:tblCellMar>
            <w:top w:w="0" w:type="dxa"/>
            <w:left w:w="108" w:type="dxa"/>
            <w:bottom w:w="0" w:type="dxa"/>
            <w:right w:w="108" w:type="dxa"/>
          </w:tblCellMar>
        </w:tblPrEx>
        <w:trPr>
          <w:trHeight w:val="300" w:hRule="atLeast"/>
        </w:trPr>
        <w:tc>
          <w:tcPr>
            <w:tcW w:w="791" w:type="pct"/>
            <w:tcBorders>
              <w:top w:val="nil"/>
              <w:left w:val="single" w:color="auto" w:sz="12" w:space="0"/>
              <w:bottom w:val="single" w:color="auto" w:sz="4" w:space="0"/>
              <w:right w:val="single" w:color="auto" w:sz="4" w:space="0"/>
            </w:tcBorders>
            <w:noWrap/>
            <w:vAlign w:val="center"/>
          </w:tcPr>
          <w:p w14:paraId="1891219F">
            <w:pPr>
              <w:pStyle w:val="44"/>
              <w:rPr>
                <w:color w:val="auto"/>
              </w:rPr>
            </w:pPr>
            <w:r>
              <w:rPr>
                <w:color w:val="auto"/>
              </w:rPr>
              <w:t>小计</w:t>
            </w:r>
          </w:p>
        </w:tc>
        <w:tc>
          <w:tcPr>
            <w:tcW w:w="638" w:type="pct"/>
            <w:tcBorders>
              <w:top w:val="nil"/>
              <w:left w:val="nil"/>
              <w:bottom w:val="single" w:color="auto" w:sz="4" w:space="0"/>
              <w:right w:val="single" w:color="auto" w:sz="4" w:space="0"/>
            </w:tcBorders>
            <w:noWrap/>
            <w:vAlign w:val="center"/>
          </w:tcPr>
          <w:p w14:paraId="40E49008">
            <w:pPr>
              <w:pStyle w:val="44"/>
              <w:rPr>
                <w:color w:val="auto"/>
              </w:rPr>
            </w:pPr>
            <w:r>
              <w:rPr>
                <w:color w:val="auto"/>
              </w:rPr>
              <w:t>　</w:t>
            </w:r>
          </w:p>
        </w:tc>
        <w:tc>
          <w:tcPr>
            <w:tcW w:w="714" w:type="pct"/>
            <w:tcBorders>
              <w:top w:val="nil"/>
              <w:left w:val="nil"/>
              <w:bottom w:val="single" w:color="auto" w:sz="4" w:space="0"/>
              <w:right w:val="single" w:color="auto" w:sz="4" w:space="0"/>
            </w:tcBorders>
            <w:noWrap/>
            <w:vAlign w:val="center"/>
          </w:tcPr>
          <w:p w14:paraId="5C662481">
            <w:pPr>
              <w:pStyle w:val="44"/>
              <w:rPr>
                <w:color w:val="auto"/>
              </w:rPr>
            </w:pPr>
            <w:r>
              <w:rPr>
                <w:color w:val="auto"/>
              </w:rPr>
              <w:t xml:space="preserve">64.75 </w:t>
            </w:r>
          </w:p>
        </w:tc>
        <w:tc>
          <w:tcPr>
            <w:tcW w:w="714" w:type="pct"/>
            <w:tcBorders>
              <w:top w:val="nil"/>
              <w:left w:val="nil"/>
              <w:bottom w:val="single" w:color="auto" w:sz="4" w:space="0"/>
              <w:right w:val="single" w:color="auto" w:sz="4" w:space="0"/>
            </w:tcBorders>
            <w:noWrap/>
            <w:vAlign w:val="center"/>
          </w:tcPr>
          <w:p w14:paraId="3C7A34BF">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65D072A9">
            <w:pPr>
              <w:pStyle w:val="44"/>
              <w:rPr>
                <w:color w:val="auto"/>
              </w:rPr>
            </w:pPr>
            <w:r>
              <w:rPr>
                <w:color w:val="auto"/>
              </w:rPr>
              <w:t xml:space="preserve">0.00 </w:t>
            </w:r>
          </w:p>
        </w:tc>
        <w:tc>
          <w:tcPr>
            <w:tcW w:w="714" w:type="pct"/>
            <w:tcBorders>
              <w:top w:val="nil"/>
              <w:left w:val="nil"/>
              <w:bottom w:val="single" w:color="auto" w:sz="4" w:space="0"/>
              <w:right w:val="single" w:color="auto" w:sz="4" w:space="0"/>
            </w:tcBorders>
            <w:noWrap/>
            <w:vAlign w:val="center"/>
          </w:tcPr>
          <w:p w14:paraId="71C65656">
            <w:pPr>
              <w:pStyle w:val="44"/>
              <w:rPr>
                <w:color w:val="auto"/>
              </w:rPr>
            </w:pPr>
            <w:r>
              <w:rPr>
                <w:color w:val="auto"/>
              </w:rPr>
              <w:t xml:space="preserve">365.17 </w:t>
            </w:r>
          </w:p>
        </w:tc>
        <w:tc>
          <w:tcPr>
            <w:tcW w:w="714" w:type="pct"/>
            <w:tcBorders>
              <w:top w:val="nil"/>
              <w:left w:val="nil"/>
              <w:bottom w:val="single" w:color="auto" w:sz="4" w:space="0"/>
              <w:right w:val="single" w:color="auto" w:sz="12" w:space="0"/>
            </w:tcBorders>
            <w:noWrap/>
            <w:vAlign w:val="center"/>
          </w:tcPr>
          <w:p w14:paraId="2980D348">
            <w:pPr>
              <w:pStyle w:val="44"/>
              <w:rPr>
                <w:color w:val="auto"/>
              </w:rPr>
            </w:pPr>
            <w:r>
              <w:rPr>
                <w:color w:val="auto"/>
              </w:rPr>
              <w:t xml:space="preserve">429.92 </w:t>
            </w:r>
          </w:p>
        </w:tc>
      </w:tr>
      <w:tr w14:paraId="4D577370">
        <w:tblPrEx>
          <w:tblCellMar>
            <w:top w:w="0" w:type="dxa"/>
            <w:left w:w="108" w:type="dxa"/>
            <w:bottom w:w="0" w:type="dxa"/>
            <w:right w:w="108" w:type="dxa"/>
          </w:tblCellMar>
        </w:tblPrEx>
        <w:trPr>
          <w:trHeight w:val="315" w:hRule="atLeast"/>
        </w:trPr>
        <w:tc>
          <w:tcPr>
            <w:tcW w:w="791" w:type="pct"/>
            <w:vMerge w:val="restart"/>
            <w:tcBorders>
              <w:top w:val="nil"/>
              <w:left w:val="single" w:color="auto" w:sz="12" w:space="0"/>
              <w:bottom w:val="single" w:color="auto" w:sz="4" w:space="0"/>
              <w:right w:val="single" w:color="auto" w:sz="4" w:space="0"/>
            </w:tcBorders>
            <w:noWrap/>
            <w:vAlign w:val="center"/>
          </w:tcPr>
          <w:p w14:paraId="08C355C1">
            <w:pPr>
              <w:pStyle w:val="44"/>
              <w:rPr>
                <w:color w:val="auto"/>
              </w:rPr>
            </w:pPr>
            <w:r>
              <w:rPr>
                <w:color w:val="auto"/>
              </w:rPr>
              <w:t>非建设用地</w:t>
            </w:r>
          </w:p>
        </w:tc>
        <w:tc>
          <w:tcPr>
            <w:tcW w:w="638" w:type="pct"/>
            <w:tcBorders>
              <w:top w:val="nil"/>
              <w:left w:val="nil"/>
              <w:bottom w:val="single" w:color="auto" w:sz="4" w:space="0"/>
              <w:right w:val="single" w:color="auto" w:sz="4" w:space="0"/>
            </w:tcBorders>
            <w:noWrap/>
            <w:vAlign w:val="center"/>
          </w:tcPr>
          <w:p w14:paraId="515AF292">
            <w:pPr>
              <w:pStyle w:val="44"/>
              <w:rPr>
                <w:color w:val="auto"/>
              </w:rPr>
            </w:pPr>
            <w:r>
              <w:rPr>
                <w:color w:val="auto"/>
              </w:rPr>
              <w:t>水域</w:t>
            </w:r>
          </w:p>
        </w:tc>
        <w:tc>
          <w:tcPr>
            <w:tcW w:w="714" w:type="pct"/>
            <w:tcBorders>
              <w:top w:val="nil"/>
              <w:left w:val="nil"/>
              <w:bottom w:val="single" w:color="auto" w:sz="4" w:space="0"/>
              <w:right w:val="single" w:color="auto" w:sz="4" w:space="0"/>
            </w:tcBorders>
            <w:noWrap/>
            <w:vAlign w:val="center"/>
          </w:tcPr>
          <w:p w14:paraId="25025F01">
            <w:pPr>
              <w:pStyle w:val="44"/>
              <w:rPr>
                <w:color w:val="auto"/>
              </w:rPr>
            </w:pPr>
            <w:r>
              <w:rPr>
                <w:color w:val="auto"/>
              </w:rPr>
              <w:t>10.63</w:t>
            </w:r>
          </w:p>
        </w:tc>
        <w:tc>
          <w:tcPr>
            <w:tcW w:w="714" w:type="pct"/>
            <w:tcBorders>
              <w:top w:val="nil"/>
              <w:left w:val="nil"/>
              <w:bottom w:val="single" w:color="auto" w:sz="4" w:space="0"/>
              <w:right w:val="single" w:color="auto" w:sz="4" w:space="0"/>
            </w:tcBorders>
            <w:noWrap/>
            <w:vAlign w:val="center"/>
          </w:tcPr>
          <w:p w14:paraId="5C4824A2">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477EC492">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46676367">
            <w:pPr>
              <w:pStyle w:val="44"/>
              <w:rPr>
                <w:color w:val="auto"/>
              </w:rPr>
            </w:pPr>
            <w:r>
              <w:rPr>
                <w:color w:val="auto"/>
              </w:rPr>
              <w:t>0.72</w:t>
            </w:r>
          </w:p>
        </w:tc>
        <w:tc>
          <w:tcPr>
            <w:tcW w:w="714" w:type="pct"/>
            <w:tcBorders>
              <w:top w:val="nil"/>
              <w:left w:val="nil"/>
              <w:bottom w:val="single" w:color="auto" w:sz="4" w:space="0"/>
              <w:right w:val="single" w:color="auto" w:sz="12" w:space="0"/>
            </w:tcBorders>
            <w:noWrap/>
            <w:vAlign w:val="center"/>
          </w:tcPr>
          <w:p w14:paraId="75648142">
            <w:pPr>
              <w:pStyle w:val="44"/>
              <w:rPr>
                <w:color w:val="auto"/>
              </w:rPr>
            </w:pPr>
            <w:r>
              <w:rPr>
                <w:color w:val="auto"/>
              </w:rPr>
              <w:t>11.35</w:t>
            </w:r>
          </w:p>
        </w:tc>
      </w:tr>
      <w:tr w14:paraId="0C52C29F">
        <w:tblPrEx>
          <w:tblCellMar>
            <w:top w:w="0" w:type="dxa"/>
            <w:left w:w="108" w:type="dxa"/>
            <w:bottom w:w="0" w:type="dxa"/>
            <w:right w:w="108" w:type="dxa"/>
          </w:tblCellMar>
        </w:tblPrEx>
        <w:trPr>
          <w:trHeight w:val="315" w:hRule="atLeast"/>
        </w:trPr>
        <w:tc>
          <w:tcPr>
            <w:tcW w:w="791" w:type="pct"/>
            <w:vMerge w:val="continue"/>
            <w:tcBorders>
              <w:top w:val="nil"/>
              <w:left w:val="single" w:color="auto" w:sz="12" w:space="0"/>
              <w:bottom w:val="single" w:color="auto" w:sz="4" w:space="0"/>
              <w:right w:val="single" w:color="auto" w:sz="4" w:space="0"/>
            </w:tcBorders>
            <w:vAlign w:val="center"/>
          </w:tcPr>
          <w:p w14:paraId="2F4C5775">
            <w:pPr>
              <w:pStyle w:val="44"/>
              <w:rPr>
                <w:color w:val="auto"/>
              </w:rPr>
            </w:pPr>
          </w:p>
        </w:tc>
        <w:tc>
          <w:tcPr>
            <w:tcW w:w="638" w:type="pct"/>
            <w:tcBorders>
              <w:top w:val="nil"/>
              <w:left w:val="nil"/>
              <w:bottom w:val="single" w:color="auto" w:sz="4" w:space="0"/>
              <w:right w:val="single" w:color="auto" w:sz="4" w:space="0"/>
            </w:tcBorders>
            <w:noWrap/>
            <w:vAlign w:val="center"/>
          </w:tcPr>
          <w:p w14:paraId="0DB601B0">
            <w:pPr>
              <w:pStyle w:val="44"/>
              <w:rPr>
                <w:color w:val="auto"/>
              </w:rPr>
            </w:pPr>
            <w:r>
              <w:rPr>
                <w:color w:val="auto"/>
              </w:rPr>
              <w:t>农林用地</w:t>
            </w:r>
          </w:p>
        </w:tc>
        <w:tc>
          <w:tcPr>
            <w:tcW w:w="714" w:type="pct"/>
            <w:tcBorders>
              <w:top w:val="nil"/>
              <w:left w:val="nil"/>
              <w:bottom w:val="single" w:color="auto" w:sz="4" w:space="0"/>
              <w:right w:val="single" w:color="auto" w:sz="4" w:space="0"/>
            </w:tcBorders>
            <w:noWrap/>
            <w:vAlign w:val="center"/>
          </w:tcPr>
          <w:p w14:paraId="29004130">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5AC2C63C">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365D925C">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28D851CA">
            <w:pPr>
              <w:pStyle w:val="44"/>
              <w:rPr>
                <w:color w:val="auto"/>
              </w:rPr>
            </w:pPr>
            <w:r>
              <w:rPr>
                <w:color w:val="auto"/>
              </w:rPr>
              <w:t>0.98</w:t>
            </w:r>
          </w:p>
        </w:tc>
        <w:tc>
          <w:tcPr>
            <w:tcW w:w="714" w:type="pct"/>
            <w:tcBorders>
              <w:top w:val="nil"/>
              <w:left w:val="nil"/>
              <w:bottom w:val="single" w:color="auto" w:sz="4" w:space="0"/>
              <w:right w:val="single" w:color="auto" w:sz="12" w:space="0"/>
            </w:tcBorders>
            <w:noWrap/>
            <w:vAlign w:val="center"/>
          </w:tcPr>
          <w:p w14:paraId="39BA2C70">
            <w:pPr>
              <w:pStyle w:val="44"/>
              <w:rPr>
                <w:color w:val="auto"/>
              </w:rPr>
            </w:pPr>
            <w:r>
              <w:rPr>
                <w:color w:val="auto"/>
              </w:rPr>
              <w:t>0.98</w:t>
            </w:r>
          </w:p>
        </w:tc>
      </w:tr>
      <w:tr w14:paraId="1A70A06C">
        <w:tblPrEx>
          <w:tblCellMar>
            <w:top w:w="0" w:type="dxa"/>
            <w:left w:w="108" w:type="dxa"/>
            <w:bottom w:w="0" w:type="dxa"/>
            <w:right w:w="108" w:type="dxa"/>
          </w:tblCellMar>
        </w:tblPrEx>
        <w:trPr>
          <w:trHeight w:val="315" w:hRule="atLeast"/>
        </w:trPr>
        <w:tc>
          <w:tcPr>
            <w:tcW w:w="791" w:type="pct"/>
            <w:tcBorders>
              <w:top w:val="nil"/>
              <w:left w:val="single" w:color="auto" w:sz="12" w:space="0"/>
              <w:bottom w:val="single" w:color="auto" w:sz="4" w:space="0"/>
              <w:right w:val="single" w:color="auto" w:sz="4" w:space="0"/>
            </w:tcBorders>
            <w:noWrap/>
            <w:vAlign w:val="center"/>
          </w:tcPr>
          <w:p w14:paraId="7D5792E1">
            <w:pPr>
              <w:pStyle w:val="44"/>
              <w:rPr>
                <w:color w:val="auto"/>
              </w:rPr>
            </w:pPr>
            <w:r>
              <w:rPr>
                <w:color w:val="auto"/>
              </w:rPr>
              <w:t>小计</w:t>
            </w:r>
          </w:p>
        </w:tc>
        <w:tc>
          <w:tcPr>
            <w:tcW w:w="638" w:type="pct"/>
            <w:tcBorders>
              <w:top w:val="nil"/>
              <w:left w:val="nil"/>
              <w:bottom w:val="single" w:color="auto" w:sz="4" w:space="0"/>
              <w:right w:val="single" w:color="auto" w:sz="4" w:space="0"/>
            </w:tcBorders>
            <w:noWrap/>
            <w:vAlign w:val="center"/>
          </w:tcPr>
          <w:p w14:paraId="7D6027AA">
            <w:pPr>
              <w:pStyle w:val="44"/>
              <w:rPr>
                <w:color w:val="auto"/>
              </w:rPr>
            </w:pPr>
            <w:r>
              <w:rPr>
                <w:color w:val="auto"/>
              </w:rPr>
              <w:t>　</w:t>
            </w:r>
          </w:p>
        </w:tc>
        <w:tc>
          <w:tcPr>
            <w:tcW w:w="714" w:type="pct"/>
            <w:tcBorders>
              <w:top w:val="nil"/>
              <w:left w:val="nil"/>
              <w:bottom w:val="single" w:color="auto" w:sz="4" w:space="0"/>
              <w:right w:val="single" w:color="auto" w:sz="4" w:space="0"/>
            </w:tcBorders>
            <w:noWrap/>
            <w:vAlign w:val="center"/>
          </w:tcPr>
          <w:p w14:paraId="568F1907">
            <w:pPr>
              <w:pStyle w:val="44"/>
              <w:rPr>
                <w:color w:val="auto"/>
              </w:rPr>
            </w:pPr>
            <w:r>
              <w:rPr>
                <w:color w:val="auto"/>
              </w:rPr>
              <w:t>10.63</w:t>
            </w:r>
          </w:p>
        </w:tc>
        <w:tc>
          <w:tcPr>
            <w:tcW w:w="714" w:type="pct"/>
            <w:tcBorders>
              <w:top w:val="nil"/>
              <w:left w:val="nil"/>
              <w:bottom w:val="single" w:color="auto" w:sz="4" w:space="0"/>
              <w:right w:val="single" w:color="auto" w:sz="4" w:space="0"/>
            </w:tcBorders>
            <w:noWrap/>
            <w:vAlign w:val="center"/>
          </w:tcPr>
          <w:p w14:paraId="54A72D10">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52A26D9F">
            <w:pPr>
              <w:pStyle w:val="44"/>
              <w:rPr>
                <w:color w:val="auto"/>
              </w:rPr>
            </w:pPr>
            <w:r>
              <w:rPr>
                <w:color w:val="auto"/>
              </w:rPr>
              <w:t>0</w:t>
            </w:r>
          </w:p>
        </w:tc>
        <w:tc>
          <w:tcPr>
            <w:tcW w:w="714" w:type="pct"/>
            <w:tcBorders>
              <w:top w:val="nil"/>
              <w:left w:val="nil"/>
              <w:bottom w:val="single" w:color="auto" w:sz="4" w:space="0"/>
              <w:right w:val="single" w:color="auto" w:sz="4" w:space="0"/>
            </w:tcBorders>
            <w:noWrap/>
            <w:vAlign w:val="center"/>
          </w:tcPr>
          <w:p w14:paraId="107C33BE">
            <w:pPr>
              <w:pStyle w:val="44"/>
              <w:rPr>
                <w:color w:val="auto"/>
              </w:rPr>
            </w:pPr>
            <w:r>
              <w:rPr>
                <w:color w:val="auto"/>
              </w:rPr>
              <w:t>1.7</w:t>
            </w:r>
          </w:p>
        </w:tc>
        <w:tc>
          <w:tcPr>
            <w:tcW w:w="714" w:type="pct"/>
            <w:tcBorders>
              <w:top w:val="nil"/>
              <w:left w:val="nil"/>
              <w:bottom w:val="single" w:color="auto" w:sz="4" w:space="0"/>
              <w:right w:val="single" w:color="auto" w:sz="12" w:space="0"/>
            </w:tcBorders>
            <w:noWrap/>
            <w:vAlign w:val="center"/>
          </w:tcPr>
          <w:p w14:paraId="1622D4B9">
            <w:pPr>
              <w:pStyle w:val="44"/>
              <w:rPr>
                <w:color w:val="auto"/>
              </w:rPr>
            </w:pPr>
            <w:r>
              <w:rPr>
                <w:color w:val="auto"/>
              </w:rPr>
              <w:t>12.33</w:t>
            </w:r>
          </w:p>
        </w:tc>
      </w:tr>
      <w:tr w14:paraId="11D3E44F">
        <w:tblPrEx>
          <w:tblCellMar>
            <w:top w:w="0" w:type="dxa"/>
            <w:left w:w="108" w:type="dxa"/>
            <w:bottom w:w="0" w:type="dxa"/>
            <w:right w:w="108" w:type="dxa"/>
          </w:tblCellMar>
        </w:tblPrEx>
        <w:trPr>
          <w:trHeight w:val="300" w:hRule="atLeast"/>
        </w:trPr>
        <w:tc>
          <w:tcPr>
            <w:tcW w:w="791" w:type="pct"/>
            <w:tcBorders>
              <w:top w:val="nil"/>
              <w:left w:val="single" w:color="auto" w:sz="12" w:space="0"/>
              <w:bottom w:val="single" w:color="auto" w:sz="12" w:space="0"/>
              <w:right w:val="single" w:color="auto" w:sz="4" w:space="0"/>
            </w:tcBorders>
            <w:noWrap/>
            <w:vAlign w:val="center"/>
          </w:tcPr>
          <w:p w14:paraId="55CC8851">
            <w:pPr>
              <w:pStyle w:val="44"/>
              <w:rPr>
                <w:color w:val="auto"/>
              </w:rPr>
            </w:pPr>
            <w:r>
              <w:rPr>
                <w:color w:val="auto"/>
              </w:rPr>
              <w:t>合计</w:t>
            </w:r>
          </w:p>
        </w:tc>
        <w:tc>
          <w:tcPr>
            <w:tcW w:w="638" w:type="pct"/>
            <w:tcBorders>
              <w:top w:val="nil"/>
              <w:left w:val="nil"/>
              <w:bottom w:val="single" w:color="auto" w:sz="12" w:space="0"/>
              <w:right w:val="single" w:color="auto" w:sz="4" w:space="0"/>
            </w:tcBorders>
            <w:noWrap/>
            <w:vAlign w:val="center"/>
          </w:tcPr>
          <w:p w14:paraId="5E43889E">
            <w:pPr>
              <w:pStyle w:val="44"/>
              <w:rPr>
                <w:color w:val="auto"/>
              </w:rPr>
            </w:pPr>
            <w:r>
              <w:rPr>
                <w:color w:val="auto"/>
              </w:rPr>
              <w:t>　</w:t>
            </w:r>
          </w:p>
        </w:tc>
        <w:tc>
          <w:tcPr>
            <w:tcW w:w="714" w:type="pct"/>
            <w:tcBorders>
              <w:top w:val="nil"/>
              <w:left w:val="nil"/>
              <w:bottom w:val="single" w:color="auto" w:sz="12" w:space="0"/>
              <w:right w:val="single" w:color="auto" w:sz="4" w:space="0"/>
            </w:tcBorders>
            <w:noWrap/>
            <w:vAlign w:val="center"/>
          </w:tcPr>
          <w:p w14:paraId="72A2D0E2">
            <w:pPr>
              <w:pStyle w:val="44"/>
              <w:rPr>
                <w:color w:val="auto"/>
              </w:rPr>
            </w:pPr>
            <w:r>
              <w:rPr>
                <w:color w:val="auto"/>
              </w:rPr>
              <w:t xml:space="preserve">75.38 </w:t>
            </w:r>
          </w:p>
        </w:tc>
        <w:tc>
          <w:tcPr>
            <w:tcW w:w="714" w:type="pct"/>
            <w:tcBorders>
              <w:top w:val="nil"/>
              <w:left w:val="nil"/>
              <w:bottom w:val="single" w:color="auto" w:sz="12" w:space="0"/>
              <w:right w:val="single" w:color="auto" w:sz="4" w:space="0"/>
            </w:tcBorders>
            <w:noWrap/>
            <w:vAlign w:val="center"/>
          </w:tcPr>
          <w:p w14:paraId="4AE90A4E">
            <w:pPr>
              <w:pStyle w:val="44"/>
              <w:rPr>
                <w:color w:val="auto"/>
              </w:rPr>
            </w:pPr>
            <w:r>
              <w:rPr>
                <w:color w:val="auto"/>
              </w:rPr>
              <w:t xml:space="preserve">0.00 </w:t>
            </w:r>
          </w:p>
        </w:tc>
        <w:tc>
          <w:tcPr>
            <w:tcW w:w="714" w:type="pct"/>
            <w:tcBorders>
              <w:top w:val="nil"/>
              <w:left w:val="nil"/>
              <w:bottom w:val="single" w:color="auto" w:sz="12" w:space="0"/>
              <w:right w:val="single" w:color="auto" w:sz="4" w:space="0"/>
            </w:tcBorders>
            <w:noWrap/>
            <w:vAlign w:val="center"/>
          </w:tcPr>
          <w:p w14:paraId="78735C66">
            <w:pPr>
              <w:pStyle w:val="44"/>
              <w:rPr>
                <w:color w:val="auto"/>
              </w:rPr>
            </w:pPr>
            <w:r>
              <w:rPr>
                <w:color w:val="auto"/>
              </w:rPr>
              <w:t xml:space="preserve">0.00 </w:t>
            </w:r>
          </w:p>
        </w:tc>
        <w:tc>
          <w:tcPr>
            <w:tcW w:w="714" w:type="pct"/>
            <w:tcBorders>
              <w:top w:val="nil"/>
              <w:left w:val="nil"/>
              <w:bottom w:val="single" w:color="auto" w:sz="12" w:space="0"/>
              <w:right w:val="single" w:color="auto" w:sz="4" w:space="0"/>
            </w:tcBorders>
            <w:noWrap/>
            <w:vAlign w:val="center"/>
          </w:tcPr>
          <w:p w14:paraId="65F07243">
            <w:pPr>
              <w:pStyle w:val="44"/>
              <w:rPr>
                <w:color w:val="auto"/>
              </w:rPr>
            </w:pPr>
            <w:r>
              <w:rPr>
                <w:color w:val="auto"/>
              </w:rPr>
              <w:t xml:space="preserve">366.87 </w:t>
            </w:r>
          </w:p>
        </w:tc>
        <w:tc>
          <w:tcPr>
            <w:tcW w:w="714" w:type="pct"/>
            <w:tcBorders>
              <w:top w:val="nil"/>
              <w:left w:val="nil"/>
              <w:bottom w:val="single" w:color="auto" w:sz="12" w:space="0"/>
              <w:right w:val="single" w:color="auto" w:sz="12" w:space="0"/>
            </w:tcBorders>
            <w:noWrap/>
            <w:vAlign w:val="center"/>
          </w:tcPr>
          <w:p w14:paraId="6CE355E3">
            <w:pPr>
              <w:pStyle w:val="44"/>
              <w:rPr>
                <w:color w:val="auto"/>
              </w:rPr>
            </w:pPr>
            <w:r>
              <w:rPr>
                <w:color w:val="auto"/>
              </w:rPr>
              <w:t xml:space="preserve">442.25 </w:t>
            </w:r>
          </w:p>
        </w:tc>
      </w:tr>
    </w:tbl>
    <w:p w14:paraId="4939F6BA">
      <w:pPr>
        <w:ind w:firstLine="480"/>
        <w:rPr>
          <w:color w:val="auto"/>
        </w:rPr>
      </w:pPr>
      <w:r>
        <w:rPr>
          <w:color w:val="auto"/>
        </w:rPr>
        <w:t>（2）入住企业情况</w:t>
      </w:r>
    </w:p>
    <w:p w14:paraId="47C8793E">
      <w:pPr>
        <w:ind w:firstLine="480"/>
        <w:rPr>
          <w:color w:val="auto"/>
        </w:rPr>
      </w:pPr>
      <w:r>
        <w:rPr>
          <w:color w:val="auto"/>
        </w:rPr>
        <w:t>经现状调查，目前西彭组团O标准分区共入驻企业有陶家都市工业园、陶家都市工业园管委会、骄杨理想城、白果村便民服务中心、重庆丰彭模具制造有限公司、陶都医院、诚铭集团、重庆双胞胎饲料有限公司、肖家岩110KV等企业。</w:t>
      </w:r>
    </w:p>
    <w:p w14:paraId="75E15BA3">
      <w:pPr>
        <w:topLinePunct/>
        <w:ind w:firstLine="480"/>
        <w:rPr>
          <w:color w:val="auto"/>
        </w:rPr>
      </w:pPr>
      <w:r>
        <w:rPr>
          <w:color w:val="auto"/>
        </w:rPr>
        <w:t>该规划区为重庆主城陶家城市副中心的核心组成部分，是九龙坡区西部以生产型商务和综合服务配套为主导功能的中心城区，现状入驻企业与规划产业类型的基本一致。</w:t>
      </w:r>
    </w:p>
    <w:p w14:paraId="350311EA">
      <w:pPr>
        <w:topLinePunct/>
        <w:ind w:firstLine="480"/>
        <w:rPr>
          <w:color w:val="auto"/>
        </w:rPr>
      </w:pPr>
      <w:r>
        <w:rPr>
          <w:color w:val="auto"/>
        </w:rPr>
        <w:t>据调查，九龙工业园区C区入驻企业不存在自备水源，均由西彭水厂供水。</w:t>
      </w:r>
    </w:p>
    <w:p w14:paraId="2442BA99">
      <w:pPr>
        <w:topLinePunct/>
        <w:ind w:firstLine="241" w:firstLineChars="100"/>
        <w:jc w:val="left"/>
        <w:rPr>
          <w:b/>
          <w:bCs/>
          <w:color w:val="auto"/>
          <w:kern w:val="0"/>
          <w:lang w:bidi="en-US"/>
        </w:rPr>
      </w:pPr>
      <w:r>
        <w:rPr>
          <w:b/>
          <w:bCs/>
          <w:color w:val="auto"/>
          <w:kern w:val="0"/>
          <w:lang w:bidi="en-US"/>
        </w:rPr>
        <w:t>表2.3-6             西彭组团O标准分区入住企业统计表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26"/>
        <w:gridCol w:w="3220"/>
        <w:gridCol w:w="2137"/>
        <w:gridCol w:w="1685"/>
      </w:tblGrid>
      <w:tr w14:paraId="72A5F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tcBorders>
              <w:bottom w:val="single" w:color="auto" w:sz="2" w:space="0"/>
            </w:tcBorders>
            <w:shd w:val="clear" w:color="auto" w:fill="auto"/>
            <w:noWrap/>
            <w:vAlign w:val="center"/>
          </w:tcPr>
          <w:p w14:paraId="38065E5D">
            <w:pPr>
              <w:pStyle w:val="44"/>
              <w:rPr>
                <w:color w:val="auto"/>
              </w:rPr>
            </w:pPr>
            <w:r>
              <w:rPr>
                <w:color w:val="auto"/>
              </w:rPr>
              <w:t>编号</w:t>
            </w:r>
          </w:p>
        </w:tc>
        <w:tc>
          <w:tcPr>
            <w:tcW w:w="727" w:type="pct"/>
            <w:tcBorders>
              <w:bottom w:val="single" w:color="auto" w:sz="2" w:space="0"/>
            </w:tcBorders>
            <w:shd w:val="clear" w:color="auto" w:fill="auto"/>
            <w:vAlign w:val="center"/>
          </w:tcPr>
          <w:p w14:paraId="08876062">
            <w:pPr>
              <w:pStyle w:val="44"/>
              <w:rPr>
                <w:color w:val="auto"/>
              </w:rPr>
            </w:pPr>
            <w:r>
              <w:rPr>
                <w:color w:val="auto"/>
              </w:rPr>
              <w:t>地块编号</w:t>
            </w:r>
          </w:p>
        </w:tc>
        <w:tc>
          <w:tcPr>
            <w:tcW w:w="1766" w:type="pct"/>
            <w:tcBorders>
              <w:bottom w:val="single" w:color="auto" w:sz="2" w:space="0"/>
            </w:tcBorders>
            <w:shd w:val="clear" w:color="auto" w:fill="auto"/>
            <w:noWrap/>
            <w:vAlign w:val="center"/>
          </w:tcPr>
          <w:p w14:paraId="02BC15AA">
            <w:pPr>
              <w:pStyle w:val="44"/>
              <w:rPr>
                <w:color w:val="auto"/>
              </w:rPr>
            </w:pPr>
            <w:r>
              <w:rPr>
                <w:color w:val="auto"/>
              </w:rPr>
              <w:t>建设单位</w:t>
            </w:r>
          </w:p>
        </w:tc>
        <w:tc>
          <w:tcPr>
            <w:tcW w:w="1172" w:type="pct"/>
            <w:tcBorders>
              <w:bottom w:val="single" w:color="auto" w:sz="2" w:space="0"/>
            </w:tcBorders>
            <w:shd w:val="clear" w:color="auto" w:fill="auto"/>
            <w:noWrap/>
            <w:vAlign w:val="center"/>
          </w:tcPr>
          <w:p w14:paraId="3C222B4C">
            <w:pPr>
              <w:pStyle w:val="44"/>
              <w:rPr>
                <w:color w:val="auto"/>
              </w:rPr>
            </w:pPr>
            <w:r>
              <w:rPr>
                <w:color w:val="auto"/>
              </w:rPr>
              <w:t>已建面积（hm2）</w:t>
            </w:r>
          </w:p>
        </w:tc>
        <w:tc>
          <w:tcPr>
            <w:tcW w:w="924" w:type="pct"/>
            <w:tcBorders>
              <w:bottom w:val="single" w:color="auto" w:sz="2" w:space="0"/>
            </w:tcBorders>
            <w:shd w:val="clear" w:color="auto" w:fill="auto"/>
            <w:noWrap/>
            <w:vAlign w:val="center"/>
          </w:tcPr>
          <w:p w14:paraId="3367494A">
            <w:pPr>
              <w:pStyle w:val="44"/>
              <w:rPr>
                <w:color w:val="auto"/>
              </w:rPr>
            </w:pPr>
            <w:r>
              <w:rPr>
                <w:color w:val="auto"/>
              </w:rPr>
              <w:t>开发时间</w:t>
            </w:r>
          </w:p>
        </w:tc>
      </w:tr>
      <w:tr w14:paraId="5F296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52E0A99C">
            <w:pPr>
              <w:pStyle w:val="44"/>
              <w:rPr>
                <w:color w:val="auto"/>
              </w:rPr>
            </w:pPr>
            <w:r>
              <w:rPr>
                <w:color w:val="auto"/>
              </w:rPr>
              <w:t>1</w:t>
            </w:r>
          </w:p>
        </w:tc>
        <w:tc>
          <w:tcPr>
            <w:tcW w:w="727" w:type="pct"/>
            <w:shd w:val="clear" w:color="auto" w:fill="auto"/>
            <w:noWrap/>
            <w:vAlign w:val="center"/>
          </w:tcPr>
          <w:p w14:paraId="68A0997E">
            <w:pPr>
              <w:pStyle w:val="44"/>
              <w:rPr>
                <w:color w:val="auto"/>
              </w:rPr>
            </w:pPr>
            <w:r>
              <w:rPr>
                <w:color w:val="auto"/>
              </w:rPr>
              <w:t>O56/03</w:t>
            </w:r>
          </w:p>
        </w:tc>
        <w:tc>
          <w:tcPr>
            <w:tcW w:w="1766" w:type="pct"/>
            <w:shd w:val="clear" w:color="auto" w:fill="auto"/>
            <w:noWrap/>
            <w:vAlign w:val="center"/>
          </w:tcPr>
          <w:p w14:paraId="49D73BF5">
            <w:pPr>
              <w:pStyle w:val="44"/>
              <w:rPr>
                <w:color w:val="auto"/>
              </w:rPr>
            </w:pPr>
            <w:r>
              <w:rPr>
                <w:color w:val="auto"/>
              </w:rPr>
              <w:t>骄杨理想城</w:t>
            </w:r>
          </w:p>
        </w:tc>
        <w:tc>
          <w:tcPr>
            <w:tcW w:w="1172" w:type="pct"/>
            <w:shd w:val="clear" w:color="auto" w:fill="auto"/>
            <w:noWrap/>
            <w:vAlign w:val="center"/>
          </w:tcPr>
          <w:p w14:paraId="6C7E5286">
            <w:pPr>
              <w:pStyle w:val="44"/>
              <w:rPr>
                <w:color w:val="auto"/>
              </w:rPr>
            </w:pPr>
            <w:r>
              <w:rPr>
                <w:color w:val="auto"/>
              </w:rPr>
              <w:t>5.29</w:t>
            </w:r>
          </w:p>
        </w:tc>
        <w:tc>
          <w:tcPr>
            <w:tcW w:w="924" w:type="pct"/>
            <w:shd w:val="clear" w:color="auto" w:fill="auto"/>
            <w:noWrap/>
            <w:vAlign w:val="center"/>
          </w:tcPr>
          <w:p w14:paraId="65687BB0">
            <w:pPr>
              <w:pStyle w:val="44"/>
              <w:rPr>
                <w:color w:val="auto"/>
              </w:rPr>
            </w:pPr>
            <w:r>
              <w:rPr>
                <w:color w:val="auto"/>
              </w:rPr>
              <w:t>2013年</w:t>
            </w:r>
          </w:p>
        </w:tc>
      </w:tr>
      <w:tr w14:paraId="367DF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1538E672">
            <w:pPr>
              <w:pStyle w:val="44"/>
              <w:rPr>
                <w:color w:val="auto"/>
              </w:rPr>
            </w:pPr>
            <w:r>
              <w:rPr>
                <w:color w:val="auto"/>
              </w:rPr>
              <w:t>2</w:t>
            </w:r>
          </w:p>
        </w:tc>
        <w:tc>
          <w:tcPr>
            <w:tcW w:w="727" w:type="pct"/>
            <w:shd w:val="clear" w:color="auto" w:fill="auto"/>
            <w:noWrap/>
            <w:vAlign w:val="center"/>
          </w:tcPr>
          <w:p w14:paraId="7F0847DF">
            <w:pPr>
              <w:pStyle w:val="44"/>
              <w:rPr>
                <w:color w:val="auto"/>
              </w:rPr>
            </w:pPr>
            <w:r>
              <w:rPr>
                <w:color w:val="auto"/>
              </w:rPr>
              <w:t>O76-01/02</w:t>
            </w:r>
          </w:p>
        </w:tc>
        <w:tc>
          <w:tcPr>
            <w:tcW w:w="1766" w:type="pct"/>
            <w:shd w:val="clear" w:color="auto" w:fill="auto"/>
            <w:noWrap/>
            <w:vAlign w:val="center"/>
          </w:tcPr>
          <w:p w14:paraId="26D71487">
            <w:pPr>
              <w:pStyle w:val="44"/>
              <w:rPr>
                <w:color w:val="auto"/>
              </w:rPr>
            </w:pPr>
            <w:r>
              <w:rPr>
                <w:color w:val="auto"/>
              </w:rPr>
              <w:t>白果村便民服务中心</w:t>
            </w:r>
          </w:p>
        </w:tc>
        <w:tc>
          <w:tcPr>
            <w:tcW w:w="1172" w:type="pct"/>
            <w:shd w:val="clear" w:color="auto" w:fill="auto"/>
            <w:noWrap/>
            <w:vAlign w:val="center"/>
          </w:tcPr>
          <w:p w14:paraId="744FB8F7">
            <w:pPr>
              <w:pStyle w:val="44"/>
              <w:rPr>
                <w:color w:val="auto"/>
              </w:rPr>
            </w:pPr>
            <w:r>
              <w:rPr>
                <w:color w:val="auto"/>
              </w:rPr>
              <w:t>0.75</w:t>
            </w:r>
          </w:p>
        </w:tc>
        <w:tc>
          <w:tcPr>
            <w:tcW w:w="924" w:type="pct"/>
            <w:shd w:val="clear" w:color="auto" w:fill="auto"/>
            <w:noWrap/>
            <w:vAlign w:val="center"/>
          </w:tcPr>
          <w:p w14:paraId="277E0577">
            <w:pPr>
              <w:pStyle w:val="44"/>
              <w:rPr>
                <w:color w:val="auto"/>
              </w:rPr>
            </w:pPr>
            <w:r>
              <w:rPr>
                <w:color w:val="auto"/>
              </w:rPr>
              <w:t>2008年</w:t>
            </w:r>
          </w:p>
        </w:tc>
      </w:tr>
      <w:tr w14:paraId="71FF2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1662CFA6">
            <w:pPr>
              <w:pStyle w:val="44"/>
              <w:rPr>
                <w:color w:val="auto"/>
              </w:rPr>
            </w:pPr>
            <w:r>
              <w:rPr>
                <w:color w:val="auto"/>
              </w:rPr>
              <w:t>3</w:t>
            </w:r>
          </w:p>
        </w:tc>
        <w:tc>
          <w:tcPr>
            <w:tcW w:w="727" w:type="pct"/>
            <w:vMerge w:val="restart"/>
            <w:shd w:val="clear" w:color="auto" w:fill="auto"/>
            <w:noWrap/>
            <w:vAlign w:val="center"/>
          </w:tcPr>
          <w:p w14:paraId="79579D37">
            <w:pPr>
              <w:pStyle w:val="44"/>
              <w:rPr>
                <w:color w:val="auto"/>
              </w:rPr>
            </w:pPr>
            <w:r>
              <w:rPr>
                <w:color w:val="auto"/>
              </w:rPr>
              <w:t>O77-01/02</w:t>
            </w:r>
          </w:p>
        </w:tc>
        <w:tc>
          <w:tcPr>
            <w:tcW w:w="1766" w:type="pct"/>
            <w:shd w:val="clear" w:color="auto" w:fill="auto"/>
            <w:noWrap/>
            <w:vAlign w:val="center"/>
          </w:tcPr>
          <w:p w14:paraId="31A2881F">
            <w:pPr>
              <w:pStyle w:val="44"/>
              <w:rPr>
                <w:color w:val="auto"/>
              </w:rPr>
            </w:pPr>
            <w:r>
              <w:rPr>
                <w:color w:val="auto"/>
              </w:rPr>
              <w:t>洞湾村还建房</w:t>
            </w:r>
          </w:p>
        </w:tc>
        <w:tc>
          <w:tcPr>
            <w:tcW w:w="1172" w:type="pct"/>
            <w:vMerge w:val="restart"/>
            <w:shd w:val="clear" w:color="auto" w:fill="auto"/>
            <w:noWrap/>
            <w:vAlign w:val="center"/>
          </w:tcPr>
          <w:p w14:paraId="4AC0905C">
            <w:pPr>
              <w:pStyle w:val="44"/>
              <w:rPr>
                <w:color w:val="auto"/>
              </w:rPr>
            </w:pPr>
            <w:r>
              <w:rPr>
                <w:color w:val="auto"/>
              </w:rPr>
              <w:t>3.46</w:t>
            </w:r>
          </w:p>
        </w:tc>
        <w:tc>
          <w:tcPr>
            <w:tcW w:w="924" w:type="pct"/>
            <w:shd w:val="clear" w:color="auto" w:fill="auto"/>
            <w:noWrap/>
            <w:vAlign w:val="center"/>
          </w:tcPr>
          <w:p w14:paraId="0C5617D2">
            <w:pPr>
              <w:pStyle w:val="44"/>
              <w:rPr>
                <w:color w:val="auto"/>
              </w:rPr>
            </w:pPr>
            <w:r>
              <w:rPr>
                <w:color w:val="auto"/>
              </w:rPr>
              <w:t>2005年</w:t>
            </w:r>
          </w:p>
        </w:tc>
      </w:tr>
      <w:tr w14:paraId="12F29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43A98EFE">
            <w:pPr>
              <w:pStyle w:val="44"/>
              <w:rPr>
                <w:color w:val="auto"/>
              </w:rPr>
            </w:pPr>
            <w:r>
              <w:rPr>
                <w:color w:val="auto"/>
              </w:rPr>
              <w:t>4</w:t>
            </w:r>
          </w:p>
        </w:tc>
        <w:tc>
          <w:tcPr>
            <w:tcW w:w="727" w:type="pct"/>
            <w:vMerge w:val="continue"/>
            <w:shd w:val="clear" w:color="auto" w:fill="auto"/>
            <w:vAlign w:val="center"/>
          </w:tcPr>
          <w:p w14:paraId="6BE73100">
            <w:pPr>
              <w:pStyle w:val="44"/>
              <w:rPr>
                <w:color w:val="auto"/>
              </w:rPr>
            </w:pPr>
          </w:p>
        </w:tc>
        <w:tc>
          <w:tcPr>
            <w:tcW w:w="1766" w:type="pct"/>
            <w:shd w:val="clear" w:color="auto" w:fill="auto"/>
            <w:noWrap/>
            <w:vAlign w:val="center"/>
          </w:tcPr>
          <w:p w14:paraId="58D0D7AA">
            <w:pPr>
              <w:pStyle w:val="44"/>
              <w:rPr>
                <w:color w:val="auto"/>
              </w:rPr>
            </w:pPr>
            <w:r>
              <w:rPr>
                <w:color w:val="auto"/>
              </w:rPr>
              <w:t>重庆丰彭模具制造有限公司</w:t>
            </w:r>
          </w:p>
        </w:tc>
        <w:tc>
          <w:tcPr>
            <w:tcW w:w="1172" w:type="pct"/>
            <w:vMerge w:val="continue"/>
            <w:shd w:val="clear" w:color="auto" w:fill="auto"/>
            <w:vAlign w:val="center"/>
          </w:tcPr>
          <w:p w14:paraId="6D0695E7">
            <w:pPr>
              <w:pStyle w:val="44"/>
              <w:rPr>
                <w:color w:val="auto"/>
              </w:rPr>
            </w:pPr>
          </w:p>
        </w:tc>
        <w:tc>
          <w:tcPr>
            <w:tcW w:w="924" w:type="pct"/>
            <w:shd w:val="clear" w:color="auto" w:fill="auto"/>
            <w:noWrap/>
            <w:vAlign w:val="center"/>
          </w:tcPr>
          <w:p w14:paraId="7971C207">
            <w:pPr>
              <w:pStyle w:val="44"/>
              <w:rPr>
                <w:color w:val="auto"/>
              </w:rPr>
            </w:pPr>
            <w:r>
              <w:rPr>
                <w:color w:val="auto"/>
              </w:rPr>
              <w:t>2015年</w:t>
            </w:r>
          </w:p>
        </w:tc>
      </w:tr>
      <w:tr w14:paraId="1BFF8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2BAE115A">
            <w:pPr>
              <w:pStyle w:val="44"/>
              <w:rPr>
                <w:color w:val="auto"/>
              </w:rPr>
            </w:pPr>
            <w:r>
              <w:rPr>
                <w:color w:val="auto"/>
              </w:rPr>
              <w:t>5</w:t>
            </w:r>
          </w:p>
        </w:tc>
        <w:tc>
          <w:tcPr>
            <w:tcW w:w="727" w:type="pct"/>
            <w:shd w:val="clear" w:color="auto" w:fill="auto"/>
            <w:noWrap/>
            <w:vAlign w:val="center"/>
          </w:tcPr>
          <w:p w14:paraId="2D7744C6">
            <w:pPr>
              <w:pStyle w:val="44"/>
              <w:rPr>
                <w:color w:val="auto"/>
              </w:rPr>
            </w:pPr>
            <w:r>
              <w:rPr>
                <w:color w:val="auto"/>
              </w:rPr>
              <w:t>O52-02/04</w:t>
            </w:r>
          </w:p>
        </w:tc>
        <w:tc>
          <w:tcPr>
            <w:tcW w:w="1766" w:type="pct"/>
            <w:shd w:val="clear" w:color="auto" w:fill="auto"/>
            <w:noWrap/>
            <w:vAlign w:val="center"/>
          </w:tcPr>
          <w:p w14:paraId="432FD579">
            <w:pPr>
              <w:pStyle w:val="44"/>
              <w:rPr>
                <w:color w:val="auto"/>
              </w:rPr>
            </w:pPr>
            <w:r>
              <w:rPr>
                <w:color w:val="auto"/>
              </w:rPr>
              <w:t>骄杨理想城</w:t>
            </w:r>
          </w:p>
        </w:tc>
        <w:tc>
          <w:tcPr>
            <w:tcW w:w="1172" w:type="pct"/>
            <w:shd w:val="clear" w:color="auto" w:fill="auto"/>
            <w:noWrap/>
            <w:vAlign w:val="center"/>
          </w:tcPr>
          <w:p w14:paraId="4DF05C80">
            <w:pPr>
              <w:pStyle w:val="44"/>
              <w:rPr>
                <w:color w:val="auto"/>
              </w:rPr>
            </w:pPr>
            <w:r>
              <w:rPr>
                <w:color w:val="auto"/>
              </w:rPr>
              <w:t>1.35</w:t>
            </w:r>
          </w:p>
        </w:tc>
        <w:tc>
          <w:tcPr>
            <w:tcW w:w="924" w:type="pct"/>
            <w:shd w:val="clear" w:color="auto" w:fill="auto"/>
            <w:noWrap/>
            <w:vAlign w:val="center"/>
          </w:tcPr>
          <w:p w14:paraId="2D343E9C">
            <w:pPr>
              <w:pStyle w:val="44"/>
              <w:rPr>
                <w:color w:val="auto"/>
              </w:rPr>
            </w:pPr>
            <w:r>
              <w:rPr>
                <w:color w:val="auto"/>
              </w:rPr>
              <w:t>2009年</w:t>
            </w:r>
          </w:p>
        </w:tc>
      </w:tr>
      <w:tr w14:paraId="28F86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207D0D02">
            <w:pPr>
              <w:pStyle w:val="44"/>
              <w:rPr>
                <w:color w:val="auto"/>
              </w:rPr>
            </w:pPr>
            <w:r>
              <w:rPr>
                <w:color w:val="auto"/>
              </w:rPr>
              <w:t>6</w:t>
            </w:r>
          </w:p>
        </w:tc>
        <w:tc>
          <w:tcPr>
            <w:tcW w:w="727" w:type="pct"/>
            <w:vMerge w:val="restart"/>
            <w:shd w:val="clear" w:color="auto" w:fill="auto"/>
            <w:noWrap/>
            <w:vAlign w:val="center"/>
          </w:tcPr>
          <w:p w14:paraId="377BA73B">
            <w:pPr>
              <w:pStyle w:val="44"/>
              <w:rPr>
                <w:color w:val="auto"/>
              </w:rPr>
            </w:pPr>
            <w:r>
              <w:rPr>
                <w:color w:val="auto"/>
              </w:rPr>
              <w:t>O74/03</w:t>
            </w:r>
          </w:p>
        </w:tc>
        <w:tc>
          <w:tcPr>
            <w:tcW w:w="1766" w:type="pct"/>
            <w:shd w:val="clear" w:color="auto" w:fill="auto"/>
            <w:noWrap/>
            <w:vAlign w:val="center"/>
          </w:tcPr>
          <w:p w14:paraId="2A96E097">
            <w:pPr>
              <w:pStyle w:val="44"/>
              <w:rPr>
                <w:color w:val="auto"/>
              </w:rPr>
            </w:pPr>
            <w:r>
              <w:rPr>
                <w:color w:val="auto"/>
              </w:rPr>
              <w:t>诚铭集团</w:t>
            </w:r>
          </w:p>
        </w:tc>
        <w:tc>
          <w:tcPr>
            <w:tcW w:w="1172" w:type="pct"/>
            <w:vMerge w:val="restart"/>
            <w:shd w:val="clear" w:color="auto" w:fill="auto"/>
            <w:noWrap/>
            <w:vAlign w:val="center"/>
          </w:tcPr>
          <w:p w14:paraId="3E1C1445">
            <w:pPr>
              <w:pStyle w:val="44"/>
              <w:rPr>
                <w:color w:val="auto"/>
              </w:rPr>
            </w:pPr>
            <w:r>
              <w:rPr>
                <w:color w:val="auto"/>
              </w:rPr>
              <w:t>7.08</w:t>
            </w:r>
          </w:p>
        </w:tc>
        <w:tc>
          <w:tcPr>
            <w:tcW w:w="924" w:type="pct"/>
            <w:shd w:val="clear" w:color="auto" w:fill="auto"/>
            <w:noWrap/>
            <w:vAlign w:val="center"/>
          </w:tcPr>
          <w:p w14:paraId="39AAB3DE">
            <w:pPr>
              <w:pStyle w:val="44"/>
              <w:rPr>
                <w:color w:val="auto"/>
              </w:rPr>
            </w:pPr>
            <w:r>
              <w:rPr>
                <w:color w:val="auto"/>
              </w:rPr>
              <w:t>2015年</w:t>
            </w:r>
          </w:p>
        </w:tc>
      </w:tr>
      <w:tr w14:paraId="68677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0835ED47">
            <w:pPr>
              <w:pStyle w:val="44"/>
              <w:rPr>
                <w:color w:val="auto"/>
              </w:rPr>
            </w:pPr>
            <w:r>
              <w:rPr>
                <w:color w:val="auto"/>
              </w:rPr>
              <w:t>7</w:t>
            </w:r>
          </w:p>
        </w:tc>
        <w:tc>
          <w:tcPr>
            <w:tcW w:w="727" w:type="pct"/>
            <w:vMerge w:val="continue"/>
            <w:shd w:val="clear" w:color="auto" w:fill="auto"/>
            <w:vAlign w:val="center"/>
          </w:tcPr>
          <w:p w14:paraId="35961A7F">
            <w:pPr>
              <w:pStyle w:val="44"/>
              <w:rPr>
                <w:color w:val="auto"/>
              </w:rPr>
            </w:pPr>
          </w:p>
        </w:tc>
        <w:tc>
          <w:tcPr>
            <w:tcW w:w="1766" w:type="pct"/>
            <w:shd w:val="clear" w:color="auto" w:fill="auto"/>
            <w:noWrap/>
            <w:vAlign w:val="center"/>
          </w:tcPr>
          <w:p w14:paraId="709ACC4F">
            <w:pPr>
              <w:pStyle w:val="44"/>
              <w:rPr>
                <w:color w:val="auto"/>
              </w:rPr>
            </w:pPr>
            <w:r>
              <w:rPr>
                <w:color w:val="auto"/>
              </w:rPr>
              <w:t>陶都医院</w:t>
            </w:r>
          </w:p>
        </w:tc>
        <w:tc>
          <w:tcPr>
            <w:tcW w:w="1172" w:type="pct"/>
            <w:vMerge w:val="continue"/>
            <w:shd w:val="clear" w:color="auto" w:fill="auto"/>
            <w:vAlign w:val="center"/>
          </w:tcPr>
          <w:p w14:paraId="018B2902">
            <w:pPr>
              <w:pStyle w:val="44"/>
              <w:rPr>
                <w:color w:val="auto"/>
              </w:rPr>
            </w:pPr>
          </w:p>
        </w:tc>
        <w:tc>
          <w:tcPr>
            <w:tcW w:w="924" w:type="pct"/>
            <w:shd w:val="clear" w:color="auto" w:fill="auto"/>
            <w:noWrap/>
            <w:vAlign w:val="center"/>
          </w:tcPr>
          <w:p w14:paraId="23DDF061">
            <w:pPr>
              <w:pStyle w:val="44"/>
              <w:rPr>
                <w:color w:val="auto"/>
              </w:rPr>
            </w:pPr>
            <w:r>
              <w:rPr>
                <w:color w:val="auto"/>
              </w:rPr>
              <w:t>2014年</w:t>
            </w:r>
          </w:p>
        </w:tc>
      </w:tr>
      <w:tr w14:paraId="5C747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181AF5FF">
            <w:pPr>
              <w:pStyle w:val="44"/>
              <w:rPr>
                <w:color w:val="auto"/>
              </w:rPr>
            </w:pPr>
            <w:r>
              <w:rPr>
                <w:color w:val="auto"/>
              </w:rPr>
              <w:t>8</w:t>
            </w:r>
          </w:p>
        </w:tc>
        <w:tc>
          <w:tcPr>
            <w:tcW w:w="727" w:type="pct"/>
            <w:vMerge w:val="continue"/>
            <w:shd w:val="clear" w:color="auto" w:fill="auto"/>
            <w:vAlign w:val="center"/>
          </w:tcPr>
          <w:p w14:paraId="3428DB75">
            <w:pPr>
              <w:pStyle w:val="44"/>
              <w:rPr>
                <w:color w:val="auto"/>
              </w:rPr>
            </w:pPr>
          </w:p>
        </w:tc>
        <w:tc>
          <w:tcPr>
            <w:tcW w:w="1766" w:type="pct"/>
            <w:shd w:val="clear" w:color="auto" w:fill="auto"/>
            <w:noWrap/>
            <w:vAlign w:val="center"/>
          </w:tcPr>
          <w:p w14:paraId="192ED814">
            <w:pPr>
              <w:pStyle w:val="44"/>
              <w:rPr>
                <w:color w:val="auto"/>
              </w:rPr>
            </w:pPr>
            <w:r>
              <w:rPr>
                <w:color w:val="auto"/>
              </w:rPr>
              <w:t>重庆双胞胎饲料有限公司</w:t>
            </w:r>
          </w:p>
        </w:tc>
        <w:tc>
          <w:tcPr>
            <w:tcW w:w="1172" w:type="pct"/>
            <w:vMerge w:val="continue"/>
            <w:shd w:val="clear" w:color="auto" w:fill="auto"/>
            <w:vAlign w:val="center"/>
          </w:tcPr>
          <w:p w14:paraId="54B10D41">
            <w:pPr>
              <w:pStyle w:val="44"/>
              <w:rPr>
                <w:color w:val="auto"/>
              </w:rPr>
            </w:pPr>
          </w:p>
        </w:tc>
        <w:tc>
          <w:tcPr>
            <w:tcW w:w="924" w:type="pct"/>
            <w:shd w:val="clear" w:color="auto" w:fill="auto"/>
            <w:noWrap/>
            <w:vAlign w:val="center"/>
          </w:tcPr>
          <w:p w14:paraId="6DCAC8FC">
            <w:pPr>
              <w:pStyle w:val="44"/>
              <w:rPr>
                <w:color w:val="auto"/>
              </w:rPr>
            </w:pPr>
            <w:r>
              <w:rPr>
                <w:color w:val="auto"/>
              </w:rPr>
              <w:t>2009年</w:t>
            </w:r>
          </w:p>
        </w:tc>
      </w:tr>
      <w:tr w14:paraId="592C3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2993A77F">
            <w:pPr>
              <w:pStyle w:val="44"/>
              <w:rPr>
                <w:color w:val="auto"/>
              </w:rPr>
            </w:pPr>
            <w:r>
              <w:rPr>
                <w:color w:val="auto"/>
              </w:rPr>
              <w:t>9</w:t>
            </w:r>
          </w:p>
        </w:tc>
        <w:tc>
          <w:tcPr>
            <w:tcW w:w="727" w:type="pct"/>
            <w:vMerge w:val="restart"/>
            <w:shd w:val="clear" w:color="auto" w:fill="auto"/>
            <w:noWrap/>
            <w:vAlign w:val="center"/>
          </w:tcPr>
          <w:p w14:paraId="701D4C89">
            <w:pPr>
              <w:pStyle w:val="44"/>
              <w:rPr>
                <w:color w:val="auto"/>
              </w:rPr>
            </w:pPr>
            <w:r>
              <w:rPr>
                <w:color w:val="auto"/>
              </w:rPr>
              <w:t>O75-01/03</w:t>
            </w:r>
          </w:p>
        </w:tc>
        <w:tc>
          <w:tcPr>
            <w:tcW w:w="1766" w:type="pct"/>
            <w:shd w:val="clear" w:color="auto" w:fill="auto"/>
            <w:noWrap/>
            <w:vAlign w:val="center"/>
          </w:tcPr>
          <w:p w14:paraId="0A29BF94">
            <w:pPr>
              <w:pStyle w:val="44"/>
              <w:rPr>
                <w:color w:val="auto"/>
              </w:rPr>
            </w:pPr>
            <w:r>
              <w:rPr>
                <w:color w:val="auto"/>
              </w:rPr>
              <w:t>陶家都市工业园</w:t>
            </w:r>
          </w:p>
        </w:tc>
        <w:tc>
          <w:tcPr>
            <w:tcW w:w="1172" w:type="pct"/>
            <w:vMerge w:val="restart"/>
            <w:shd w:val="clear" w:color="auto" w:fill="auto"/>
            <w:noWrap/>
            <w:vAlign w:val="center"/>
          </w:tcPr>
          <w:p w14:paraId="481F1AE2">
            <w:pPr>
              <w:pStyle w:val="44"/>
              <w:rPr>
                <w:color w:val="auto"/>
              </w:rPr>
            </w:pPr>
            <w:r>
              <w:rPr>
                <w:color w:val="auto"/>
              </w:rPr>
              <w:t>8.23</w:t>
            </w:r>
          </w:p>
        </w:tc>
        <w:tc>
          <w:tcPr>
            <w:tcW w:w="924" w:type="pct"/>
            <w:shd w:val="clear" w:color="auto" w:fill="auto"/>
            <w:noWrap/>
            <w:vAlign w:val="center"/>
          </w:tcPr>
          <w:p w14:paraId="54823E98">
            <w:pPr>
              <w:pStyle w:val="44"/>
              <w:rPr>
                <w:color w:val="auto"/>
              </w:rPr>
            </w:pPr>
            <w:r>
              <w:rPr>
                <w:color w:val="auto"/>
              </w:rPr>
              <w:t>2005~2014年</w:t>
            </w:r>
          </w:p>
        </w:tc>
      </w:tr>
      <w:tr w14:paraId="3AD21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7A3CD75C">
            <w:pPr>
              <w:pStyle w:val="44"/>
              <w:rPr>
                <w:color w:val="auto"/>
              </w:rPr>
            </w:pPr>
            <w:r>
              <w:rPr>
                <w:color w:val="auto"/>
              </w:rPr>
              <w:t>10</w:t>
            </w:r>
          </w:p>
        </w:tc>
        <w:tc>
          <w:tcPr>
            <w:tcW w:w="727" w:type="pct"/>
            <w:vMerge w:val="continue"/>
            <w:shd w:val="clear" w:color="auto" w:fill="auto"/>
            <w:vAlign w:val="center"/>
          </w:tcPr>
          <w:p w14:paraId="55D6F705">
            <w:pPr>
              <w:pStyle w:val="44"/>
              <w:rPr>
                <w:color w:val="auto"/>
              </w:rPr>
            </w:pPr>
          </w:p>
        </w:tc>
        <w:tc>
          <w:tcPr>
            <w:tcW w:w="1766" w:type="pct"/>
            <w:shd w:val="clear" w:color="auto" w:fill="auto"/>
            <w:noWrap/>
            <w:vAlign w:val="center"/>
          </w:tcPr>
          <w:p w14:paraId="28EFAE3A">
            <w:pPr>
              <w:pStyle w:val="44"/>
              <w:rPr>
                <w:color w:val="auto"/>
              </w:rPr>
            </w:pPr>
            <w:r>
              <w:rPr>
                <w:color w:val="auto"/>
              </w:rPr>
              <w:t>便民服务中心</w:t>
            </w:r>
          </w:p>
        </w:tc>
        <w:tc>
          <w:tcPr>
            <w:tcW w:w="1172" w:type="pct"/>
            <w:vMerge w:val="continue"/>
            <w:shd w:val="clear" w:color="auto" w:fill="auto"/>
            <w:vAlign w:val="center"/>
          </w:tcPr>
          <w:p w14:paraId="14F86F50">
            <w:pPr>
              <w:pStyle w:val="44"/>
              <w:rPr>
                <w:color w:val="auto"/>
              </w:rPr>
            </w:pPr>
          </w:p>
        </w:tc>
        <w:tc>
          <w:tcPr>
            <w:tcW w:w="924" w:type="pct"/>
            <w:shd w:val="clear" w:color="auto" w:fill="auto"/>
            <w:noWrap/>
            <w:vAlign w:val="center"/>
          </w:tcPr>
          <w:p w14:paraId="3D67F588">
            <w:pPr>
              <w:pStyle w:val="44"/>
              <w:rPr>
                <w:color w:val="auto"/>
              </w:rPr>
            </w:pPr>
            <w:r>
              <w:rPr>
                <w:color w:val="auto"/>
              </w:rPr>
              <w:t>2008年</w:t>
            </w:r>
          </w:p>
        </w:tc>
      </w:tr>
      <w:tr w14:paraId="46FC4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3440298A">
            <w:pPr>
              <w:pStyle w:val="44"/>
              <w:rPr>
                <w:color w:val="auto"/>
              </w:rPr>
            </w:pPr>
            <w:r>
              <w:rPr>
                <w:color w:val="auto"/>
              </w:rPr>
              <w:t>11</w:t>
            </w:r>
          </w:p>
        </w:tc>
        <w:tc>
          <w:tcPr>
            <w:tcW w:w="727" w:type="pct"/>
            <w:vMerge w:val="continue"/>
            <w:shd w:val="clear" w:color="auto" w:fill="auto"/>
            <w:vAlign w:val="center"/>
          </w:tcPr>
          <w:p w14:paraId="1816784B">
            <w:pPr>
              <w:pStyle w:val="44"/>
              <w:rPr>
                <w:color w:val="auto"/>
              </w:rPr>
            </w:pPr>
          </w:p>
        </w:tc>
        <w:tc>
          <w:tcPr>
            <w:tcW w:w="1766" w:type="pct"/>
            <w:shd w:val="clear" w:color="auto" w:fill="auto"/>
            <w:noWrap/>
            <w:vAlign w:val="center"/>
          </w:tcPr>
          <w:p w14:paraId="2BD58041">
            <w:pPr>
              <w:pStyle w:val="44"/>
              <w:rPr>
                <w:color w:val="auto"/>
              </w:rPr>
            </w:pPr>
            <w:r>
              <w:rPr>
                <w:color w:val="auto"/>
              </w:rPr>
              <w:t>陶家都市工业园管委会</w:t>
            </w:r>
          </w:p>
        </w:tc>
        <w:tc>
          <w:tcPr>
            <w:tcW w:w="1172" w:type="pct"/>
            <w:vMerge w:val="continue"/>
            <w:shd w:val="clear" w:color="auto" w:fill="auto"/>
            <w:vAlign w:val="center"/>
          </w:tcPr>
          <w:p w14:paraId="0DF1635D">
            <w:pPr>
              <w:pStyle w:val="44"/>
              <w:rPr>
                <w:color w:val="auto"/>
              </w:rPr>
            </w:pPr>
          </w:p>
        </w:tc>
        <w:tc>
          <w:tcPr>
            <w:tcW w:w="924" w:type="pct"/>
            <w:shd w:val="clear" w:color="auto" w:fill="auto"/>
            <w:noWrap/>
            <w:vAlign w:val="center"/>
          </w:tcPr>
          <w:p w14:paraId="1730A502">
            <w:pPr>
              <w:pStyle w:val="44"/>
              <w:rPr>
                <w:color w:val="auto"/>
              </w:rPr>
            </w:pPr>
            <w:r>
              <w:rPr>
                <w:color w:val="auto"/>
              </w:rPr>
              <w:t>2008年</w:t>
            </w:r>
          </w:p>
        </w:tc>
      </w:tr>
      <w:tr w14:paraId="3372F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11" w:type="pct"/>
            <w:shd w:val="clear" w:color="auto" w:fill="auto"/>
            <w:noWrap/>
            <w:vAlign w:val="center"/>
          </w:tcPr>
          <w:p w14:paraId="4D7BC4E1">
            <w:pPr>
              <w:pStyle w:val="44"/>
              <w:rPr>
                <w:color w:val="auto"/>
              </w:rPr>
            </w:pPr>
            <w:r>
              <w:rPr>
                <w:color w:val="auto"/>
              </w:rPr>
              <w:t>12</w:t>
            </w:r>
          </w:p>
        </w:tc>
        <w:tc>
          <w:tcPr>
            <w:tcW w:w="727" w:type="pct"/>
            <w:vMerge w:val="continue"/>
            <w:shd w:val="clear" w:color="auto" w:fill="auto"/>
            <w:vAlign w:val="center"/>
          </w:tcPr>
          <w:p w14:paraId="4CE59EBE">
            <w:pPr>
              <w:pStyle w:val="44"/>
              <w:rPr>
                <w:color w:val="auto"/>
              </w:rPr>
            </w:pPr>
          </w:p>
        </w:tc>
        <w:tc>
          <w:tcPr>
            <w:tcW w:w="1766" w:type="pct"/>
            <w:shd w:val="clear" w:color="auto" w:fill="auto"/>
            <w:noWrap/>
            <w:vAlign w:val="center"/>
          </w:tcPr>
          <w:p w14:paraId="2ADF8112">
            <w:pPr>
              <w:pStyle w:val="44"/>
              <w:rPr>
                <w:color w:val="auto"/>
              </w:rPr>
            </w:pPr>
            <w:r>
              <w:rPr>
                <w:color w:val="auto"/>
              </w:rPr>
              <w:t>陶家农贸市场</w:t>
            </w:r>
          </w:p>
        </w:tc>
        <w:tc>
          <w:tcPr>
            <w:tcW w:w="1172" w:type="pct"/>
            <w:vMerge w:val="continue"/>
            <w:shd w:val="clear" w:color="auto" w:fill="auto"/>
            <w:vAlign w:val="center"/>
          </w:tcPr>
          <w:p w14:paraId="07B716FF">
            <w:pPr>
              <w:pStyle w:val="44"/>
              <w:rPr>
                <w:color w:val="auto"/>
              </w:rPr>
            </w:pPr>
          </w:p>
        </w:tc>
        <w:tc>
          <w:tcPr>
            <w:tcW w:w="924" w:type="pct"/>
            <w:shd w:val="clear" w:color="auto" w:fill="auto"/>
            <w:noWrap/>
            <w:vAlign w:val="center"/>
          </w:tcPr>
          <w:p w14:paraId="66EB7F80">
            <w:pPr>
              <w:pStyle w:val="44"/>
              <w:rPr>
                <w:color w:val="auto"/>
              </w:rPr>
            </w:pPr>
            <w:r>
              <w:rPr>
                <w:color w:val="auto"/>
              </w:rPr>
              <w:t>2008年</w:t>
            </w:r>
          </w:p>
        </w:tc>
      </w:tr>
      <w:tr w14:paraId="63DEC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42E37EAE">
            <w:pPr>
              <w:pStyle w:val="44"/>
              <w:rPr>
                <w:color w:val="auto"/>
              </w:rPr>
            </w:pPr>
            <w:r>
              <w:rPr>
                <w:color w:val="auto"/>
              </w:rPr>
              <w:t>13</w:t>
            </w:r>
          </w:p>
        </w:tc>
        <w:tc>
          <w:tcPr>
            <w:tcW w:w="727" w:type="pct"/>
            <w:vMerge w:val="continue"/>
            <w:shd w:val="clear" w:color="auto" w:fill="auto"/>
            <w:vAlign w:val="center"/>
          </w:tcPr>
          <w:p w14:paraId="25349301">
            <w:pPr>
              <w:pStyle w:val="44"/>
              <w:rPr>
                <w:color w:val="auto"/>
              </w:rPr>
            </w:pPr>
          </w:p>
        </w:tc>
        <w:tc>
          <w:tcPr>
            <w:tcW w:w="1766" w:type="pct"/>
            <w:shd w:val="clear" w:color="auto" w:fill="auto"/>
            <w:noWrap/>
            <w:vAlign w:val="center"/>
          </w:tcPr>
          <w:p w14:paraId="2AE5F745">
            <w:pPr>
              <w:pStyle w:val="44"/>
              <w:rPr>
                <w:color w:val="auto"/>
              </w:rPr>
            </w:pPr>
            <w:r>
              <w:rPr>
                <w:color w:val="auto"/>
              </w:rPr>
              <w:t>启蒙幼儿园等</w:t>
            </w:r>
          </w:p>
        </w:tc>
        <w:tc>
          <w:tcPr>
            <w:tcW w:w="1172" w:type="pct"/>
            <w:vMerge w:val="continue"/>
            <w:shd w:val="clear" w:color="auto" w:fill="auto"/>
            <w:vAlign w:val="center"/>
          </w:tcPr>
          <w:p w14:paraId="776A6CCA">
            <w:pPr>
              <w:pStyle w:val="44"/>
              <w:rPr>
                <w:color w:val="auto"/>
              </w:rPr>
            </w:pPr>
          </w:p>
        </w:tc>
        <w:tc>
          <w:tcPr>
            <w:tcW w:w="924" w:type="pct"/>
            <w:shd w:val="clear" w:color="auto" w:fill="auto"/>
            <w:noWrap/>
            <w:vAlign w:val="center"/>
          </w:tcPr>
          <w:p w14:paraId="2A8EB7F2">
            <w:pPr>
              <w:pStyle w:val="44"/>
              <w:rPr>
                <w:color w:val="auto"/>
              </w:rPr>
            </w:pPr>
            <w:r>
              <w:rPr>
                <w:color w:val="auto"/>
              </w:rPr>
              <w:t>2001年</w:t>
            </w:r>
          </w:p>
        </w:tc>
      </w:tr>
      <w:tr w14:paraId="46744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1" w:type="pct"/>
            <w:shd w:val="clear" w:color="auto" w:fill="auto"/>
            <w:noWrap/>
            <w:vAlign w:val="center"/>
          </w:tcPr>
          <w:p w14:paraId="437C55F8">
            <w:pPr>
              <w:pStyle w:val="44"/>
              <w:rPr>
                <w:color w:val="auto"/>
              </w:rPr>
            </w:pPr>
            <w:r>
              <w:rPr>
                <w:color w:val="auto"/>
              </w:rPr>
              <w:t>14</w:t>
            </w:r>
          </w:p>
        </w:tc>
        <w:tc>
          <w:tcPr>
            <w:tcW w:w="727" w:type="pct"/>
            <w:shd w:val="clear" w:color="auto" w:fill="auto"/>
            <w:noWrap/>
            <w:vAlign w:val="center"/>
          </w:tcPr>
          <w:p w14:paraId="7186CC82">
            <w:pPr>
              <w:pStyle w:val="44"/>
              <w:rPr>
                <w:color w:val="auto"/>
              </w:rPr>
            </w:pPr>
            <w:r>
              <w:rPr>
                <w:color w:val="auto"/>
              </w:rPr>
              <w:t>O57/02</w:t>
            </w:r>
          </w:p>
        </w:tc>
        <w:tc>
          <w:tcPr>
            <w:tcW w:w="1766" w:type="pct"/>
            <w:shd w:val="clear" w:color="auto" w:fill="auto"/>
            <w:noWrap/>
            <w:vAlign w:val="center"/>
          </w:tcPr>
          <w:p w14:paraId="43CF3B5B">
            <w:pPr>
              <w:pStyle w:val="44"/>
              <w:rPr>
                <w:color w:val="auto"/>
              </w:rPr>
            </w:pPr>
            <w:r>
              <w:rPr>
                <w:color w:val="auto"/>
              </w:rPr>
              <w:t>肖家岩110KV</w:t>
            </w:r>
          </w:p>
        </w:tc>
        <w:tc>
          <w:tcPr>
            <w:tcW w:w="1172" w:type="pct"/>
            <w:shd w:val="clear" w:color="auto" w:fill="auto"/>
            <w:noWrap/>
            <w:vAlign w:val="center"/>
          </w:tcPr>
          <w:p w14:paraId="1F78D0E2">
            <w:pPr>
              <w:pStyle w:val="44"/>
              <w:rPr>
                <w:color w:val="auto"/>
              </w:rPr>
            </w:pPr>
            <w:r>
              <w:rPr>
                <w:color w:val="auto"/>
              </w:rPr>
              <w:t>0.81</w:t>
            </w:r>
          </w:p>
        </w:tc>
        <w:tc>
          <w:tcPr>
            <w:tcW w:w="924" w:type="pct"/>
            <w:shd w:val="clear" w:color="auto" w:fill="auto"/>
            <w:noWrap/>
            <w:vAlign w:val="center"/>
          </w:tcPr>
          <w:p w14:paraId="59DFB40F">
            <w:pPr>
              <w:pStyle w:val="44"/>
              <w:rPr>
                <w:color w:val="auto"/>
              </w:rPr>
            </w:pPr>
            <w:r>
              <w:rPr>
                <w:color w:val="auto"/>
              </w:rPr>
              <w:t>　</w:t>
            </w:r>
          </w:p>
        </w:tc>
      </w:tr>
      <w:tr w14:paraId="067CF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1" w:type="pct"/>
            <w:shd w:val="clear" w:color="auto" w:fill="auto"/>
            <w:noWrap/>
            <w:vAlign w:val="center"/>
          </w:tcPr>
          <w:p w14:paraId="717C8362">
            <w:pPr>
              <w:pStyle w:val="44"/>
              <w:rPr>
                <w:color w:val="auto"/>
              </w:rPr>
            </w:pPr>
            <w:r>
              <w:rPr>
                <w:color w:val="auto"/>
              </w:rPr>
              <w:t>合计</w:t>
            </w:r>
          </w:p>
        </w:tc>
        <w:tc>
          <w:tcPr>
            <w:tcW w:w="727" w:type="pct"/>
            <w:shd w:val="clear" w:color="auto" w:fill="auto"/>
            <w:noWrap/>
            <w:vAlign w:val="center"/>
          </w:tcPr>
          <w:p w14:paraId="2377C966">
            <w:pPr>
              <w:pStyle w:val="44"/>
              <w:rPr>
                <w:color w:val="auto"/>
              </w:rPr>
            </w:pPr>
            <w:r>
              <w:rPr>
                <w:color w:val="auto"/>
              </w:rPr>
              <w:t>7个地块</w:t>
            </w:r>
          </w:p>
        </w:tc>
        <w:tc>
          <w:tcPr>
            <w:tcW w:w="1766" w:type="pct"/>
            <w:shd w:val="clear" w:color="auto" w:fill="auto"/>
            <w:noWrap/>
            <w:vAlign w:val="center"/>
          </w:tcPr>
          <w:p w14:paraId="5B254A0F">
            <w:pPr>
              <w:pStyle w:val="44"/>
              <w:rPr>
                <w:color w:val="auto"/>
              </w:rPr>
            </w:pPr>
            <w:r>
              <w:rPr>
                <w:color w:val="auto"/>
              </w:rPr>
              <w:t>　</w:t>
            </w:r>
          </w:p>
        </w:tc>
        <w:tc>
          <w:tcPr>
            <w:tcW w:w="1172" w:type="pct"/>
            <w:shd w:val="clear" w:color="auto" w:fill="auto"/>
            <w:noWrap/>
            <w:vAlign w:val="center"/>
          </w:tcPr>
          <w:p w14:paraId="6397A766">
            <w:pPr>
              <w:pStyle w:val="44"/>
              <w:rPr>
                <w:color w:val="auto"/>
              </w:rPr>
            </w:pPr>
            <w:r>
              <w:rPr>
                <w:color w:val="auto"/>
              </w:rPr>
              <w:t>26.97</w:t>
            </w:r>
          </w:p>
        </w:tc>
        <w:tc>
          <w:tcPr>
            <w:tcW w:w="924" w:type="pct"/>
            <w:shd w:val="clear" w:color="auto" w:fill="auto"/>
            <w:noWrap/>
            <w:vAlign w:val="center"/>
          </w:tcPr>
          <w:p w14:paraId="26118C7E">
            <w:pPr>
              <w:pStyle w:val="44"/>
              <w:rPr>
                <w:color w:val="auto"/>
              </w:rPr>
            </w:pPr>
            <w:r>
              <w:rPr>
                <w:color w:val="auto"/>
              </w:rPr>
              <w:t>　</w:t>
            </w:r>
          </w:p>
        </w:tc>
      </w:tr>
    </w:tbl>
    <w:p w14:paraId="4B35CA75">
      <w:pPr>
        <w:pStyle w:val="6"/>
        <w:numPr>
          <w:ilvl w:val="3"/>
          <w:numId w:val="0"/>
        </w:numPr>
        <w:rPr>
          <w:color w:val="auto"/>
        </w:rPr>
      </w:pPr>
      <w:r>
        <w:rPr>
          <w:color w:val="auto"/>
        </w:rPr>
        <w:t>2.3.3.2 西彭组团L标准分区</w:t>
      </w:r>
    </w:p>
    <w:p w14:paraId="572A55BD">
      <w:pPr>
        <w:ind w:firstLine="480"/>
        <w:rPr>
          <w:color w:val="auto"/>
        </w:rPr>
      </w:pPr>
      <w:r>
        <w:rPr>
          <w:color w:val="auto"/>
        </w:rPr>
        <w:t>（1）地块开发现状</w:t>
      </w:r>
    </w:p>
    <w:p w14:paraId="593D225A">
      <w:pPr>
        <w:topLinePunct/>
        <w:ind w:firstLine="480"/>
        <w:rPr>
          <w:color w:val="auto"/>
          <w:szCs w:val="28"/>
        </w:rPr>
      </w:pPr>
      <w:r>
        <w:rPr>
          <w:color w:val="auto"/>
          <w:szCs w:val="28"/>
        </w:rPr>
        <w:t>西彭组团L标准分区总规划面积354.85hm</w:t>
      </w:r>
      <w:r>
        <w:rPr>
          <w:color w:val="auto"/>
          <w:szCs w:val="28"/>
          <w:vertAlign w:val="superscript"/>
        </w:rPr>
        <w:t>2</w:t>
      </w:r>
      <w:r>
        <w:rPr>
          <w:color w:val="auto"/>
          <w:szCs w:val="28"/>
        </w:rPr>
        <w:t>，有建设用地和非建设用地两部分组成，其中建设用地面积299.74hm</w:t>
      </w:r>
      <w:r>
        <w:rPr>
          <w:color w:val="auto"/>
          <w:szCs w:val="28"/>
          <w:vertAlign w:val="superscript"/>
        </w:rPr>
        <w:t>2</w:t>
      </w:r>
      <w:r>
        <w:rPr>
          <w:color w:val="auto"/>
          <w:szCs w:val="28"/>
        </w:rPr>
        <w:t>，已建面积128.14hm</w:t>
      </w:r>
      <w:r>
        <w:rPr>
          <w:color w:val="auto"/>
          <w:szCs w:val="28"/>
          <w:vertAlign w:val="superscript"/>
        </w:rPr>
        <w:t>2</w:t>
      </w:r>
      <w:r>
        <w:rPr>
          <w:color w:val="auto"/>
          <w:szCs w:val="28"/>
        </w:rPr>
        <w:t>，在建面积36.35hm</w:t>
      </w:r>
      <w:r>
        <w:rPr>
          <w:color w:val="auto"/>
          <w:szCs w:val="28"/>
          <w:vertAlign w:val="superscript"/>
        </w:rPr>
        <w:t>2</w:t>
      </w:r>
      <w:r>
        <w:rPr>
          <w:color w:val="auto"/>
          <w:szCs w:val="28"/>
        </w:rPr>
        <w:t>，已场平面积76.61hm</w:t>
      </w:r>
      <w:r>
        <w:rPr>
          <w:color w:val="auto"/>
          <w:szCs w:val="28"/>
          <w:vertAlign w:val="superscript"/>
        </w:rPr>
        <w:t>2</w:t>
      </w:r>
      <w:r>
        <w:rPr>
          <w:color w:val="auto"/>
          <w:szCs w:val="28"/>
        </w:rPr>
        <w:t>，未建面积58.64hm</w:t>
      </w:r>
      <w:r>
        <w:rPr>
          <w:color w:val="auto"/>
          <w:szCs w:val="28"/>
          <w:vertAlign w:val="superscript"/>
        </w:rPr>
        <w:t>2</w:t>
      </w:r>
      <w:r>
        <w:rPr>
          <w:color w:val="auto"/>
          <w:szCs w:val="28"/>
        </w:rPr>
        <w:t>，具体各区域地块开发现状详见表2.3-7。</w:t>
      </w:r>
    </w:p>
    <w:p w14:paraId="3490966B">
      <w:pPr>
        <w:topLinePunct/>
        <w:ind w:firstLine="236" w:firstLineChars="98"/>
        <w:jc w:val="left"/>
        <w:rPr>
          <w:b/>
          <w:bCs/>
          <w:color w:val="auto"/>
          <w:kern w:val="0"/>
          <w:lang w:bidi="en-US"/>
        </w:rPr>
      </w:pPr>
      <w:r>
        <w:rPr>
          <w:b/>
          <w:bCs/>
          <w:color w:val="auto"/>
          <w:kern w:val="0"/>
          <w:lang w:bidi="en-US"/>
        </w:rPr>
        <w:t>表2.3-7             西彭组团L标准各区域地块开发现状            单位：hm</w:t>
      </w:r>
      <w:r>
        <w:rPr>
          <w:b/>
          <w:bCs/>
          <w:color w:val="auto"/>
          <w:kern w:val="0"/>
          <w:vertAlign w:val="superscript"/>
          <w:lang w:bidi="en-US"/>
        </w:rPr>
        <w:t>2</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42"/>
        <w:gridCol w:w="1165"/>
        <w:gridCol w:w="1302"/>
        <w:gridCol w:w="1302"/>
        <w:gridCol w:w="1302"/>
        <w:gridCol w:w="1302"/>
        <w:gridCol w:w="1302"/>
      </w:tblGrid>
      <w:tr w14:paraId="3867B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1430" w:type="pct"/>
            <w:gridSpan w:val="2"/>
            <w:noWrap/>
            <w:vAlign w:val="center"/>
          </w:tcPr>
          <w:p w14:paraId="4C6F58D3">
            <w:pPr>
              <w:pStyle w:val="44"/>
              <w:rPr>
                <w:color w:val="auto"/>
              </w:rPr>
            </w:pPr>
            <w:r>
              <w:rPr>
                <w:color w:val="auto"/>
              </w:rPr>
              <w:t>类型</w:t>
            </w:r>
          </w:p>
        </w:tc>
        <w:tc>
          <w:tcPr>
            <w:tcW w:w="714" w:type="pct"/>
            <w:noWrap/>
            <w:vAlign w:val="center"/>
          </w:tcPr>
          <w:p w14:paraId="4F91B10C">
            <w:pPr>
              <w:pStyle w:val="44"/>
              <w:rPr>
                <w:color w:val="auto"/>
              </w:rPr>
            </w:pPr>
            <w:r>
              <w:rPr>
                <w:color w:val="auto"/>
              </w:rPr>
              <w:t>已建</w:t>
            </w:r>
          </w:p>
        </w:tc>
        <w:tc>
          <w:tcPr>
            <w:tcW w:w="714" w:type="pct"/>
            <w:noWrap/>
            <w:vAlign w:val="center"/>
          </w:tcPr>
          <w:p w14:paraId="3A89EEE1">
            <w:pPr>
              <w:pStyle w:val="44"/>
              <w:rPr>
                <w:color w:val="auto"/>
              </w:rPr>
            </w:pPr>
            <w:r>
              <w:rPr>
                <w:color w:val="auto"/>
              </w:rPr>
              <w:t>在建</w:t>
            </w:r>
          </w:p>
        </w:tc>
        <w:tc>
          <w:tcPr>
            <w:tcW w:w="714" w:type="pct"/>
            <w:noWrap/>
            <w:vAlign w:val="center"/>
          </w:tcPr>
          <w:p w14:paraId="5418B98D">
            <w:pPr>
              <w:pStyle w:val="44"/>
              <w:rPr>
                <w:color w:val="auto"/>
              </w:rPr>
            </w:pPr>
            <w:r>
              <w:rPr>
                <w:color w:val="auto"/>
              </w:rPr>
              <w:t>已场平</w:t>
            </w:r>
          </w:p>
        </w:tc>
        <w:tc>
          <w:tcPr>
            <w:tcW w:w="714" w:type="pct"/>
            <w:noWrap/>
            <w:vAlign w:val="center"/>
          </w:tcPr>
          <w:p w14:paraId="42F3D5F9">
            <w:pPr>
              <w:pStyle w:val="44"/>
              <w:rPr>
                <w:color w:val="auto"/>
              </w:rPr>
            </w:pPr>
            <w:r>
              <w:rPr>
                <w:color w:val="auto"/>
              </w:rPr>
              <w:t>未建</w:t>
            </w:r>
          </w:p>
        </w:tc>
        <w:tc>
          <w:tcPr>
            <w:tcW w:w="714" w:type="pct"/>
            <w:noWrap/>
            <w:vAlign w:val="center"/>
          </w:tcPr>
          <w:p w14:paraId="0C6E4501">
            <w:pPr>
              <w:pStyle w:val="44"/>
              <w:rPr>
                <w:color w:val="auto"/>
              </w:rPr>
            </w:pPr>
            <w:r>
              <w:rPr>
                <w:color w:val="auto"/>
              </w:rPr>
              <w:t>合计</w:t>
            </w:r>
          </w:p>
        </w:tc>
      </w:tr>
      <w:tr w14:paraId="7F7D2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1430" w:type="pct"/>
            <w:gridSpan w:val="2"/>
            <w:noWrap/>
            <w:vAlign w:val="center"/>
          </w:tcPr>
          <w:p w14:paraId="2C590CF0">
            <w:pPr>
              <w:pStyle w:val="44"/>
              <w:rPr>
                <w:color w:val="auto"/>
              </w:rPr>
            </w:pPr>
            <w:r>
              <w:rPr>
                <w:color w:val="auto"/>
              </w:rPr>
              <w:t>规划功能区</w:t>
            </w:r>
          </w:p>
        </w:tc>
        <w:tc>
          <w:tcPr>
            <w:tcW w:w="714" w:type="pct"/>
            <w:noWrap/>
            <w:vAlign w:val="center"/>
          </w:tcPr>
          <w:p w14:paraId="55CA03DC">
            <w:pPr>
              <w:pStyle w:val="44"/>
              <w:rPr>
                <w:color w:val="auto"/>
              </w:rPr>
            </w:pPr>
            <w:r>
              <w:rPr>
                <w:color w:val="auto"/>
              </w:rPr>
              <w:t xml:space="preserve">91.33 </w:t>
            </w:r>
          </w:p>
        </w:tc>
        <w:tc>
          <w:tcPr>
            <w:tcW w:w="714" w:type="pct"/>
            <w:noWrap/>
            <w:vAlign w:val="center"/>
          </w:tcPr>
          <w:p w14:paraId="6ECF6A44">
            <w:pPr>
              <w:pStyle w:val="44"/>
              <w:rPr>
                <w:color w:val="auto"/>
              </w:rPr>
            </w:pPr>
            <w:r>
              <w:rPr>
                <w:color w:val="auto"/>
              </w:rPr>
              <w:t>32.45</w:t>
            </w:r>
          </w:p>
        </w:tc>
        <w:tc>
          <w:tcPr>
            <w:tcW w:w="714" w:type="pct"/>
            <w:noWrap/>
            <w:vAlign w:val="center"/>
          </w:tcPr>
          <w:p w14:paraId="011932CD">
            <w:pPr>
              <w:pStyle w:val="44"/>
              <w:rPr>
                <w:color w:val="auto"/>
              </w:rPr>
            </w:pPr>
            <w:r>
              <w:rPr>
                <w:color w:val="auto"/>
              </w:rPr>
              <w:t>74.20</w:t>
            </w:r>
          </w:p>
        </w:tc>
        <w:tc>
          <w:tcPr>
            <w:tcW w:w="714" w:type="pct"/>
            <w:noWrap/>
            <w:vAlign w:val="center"/>
          </w:tcPr>
          <w:p w14:paraId="379DBE48">
            <w:pPr>
              <w:pStyle w:val="44"/>
              <w:rPr>
                <w:color w:val="auto"/>
              </w:rPr>
            </w:pPr>
            <w:r>
              <w:rPr>
                <w:color w:val="auto"/>
              </w:rPr>
              <w:t>34.20</w:t>
            </w:r>
          </w:p>
        </w:tc>
        <w:tc>
          <w:tcPr>
            <w:tcW w:w="714" w:type="pct"/>
            <w:noWrap/>
            <w:vAlign w:val="center"/>
          </w:tcPr>
          <w:p w14:paraId="578A0CF0">
            <w:pPr>
              <w:pStyle w:val="44"/>
              <w:rPr>
                <w:color w:val="auto"/>
              </w:rPr>
            </w:pPr>
            <w:r>
              <w:rPr>
                <w:color w:val="auto"/>
              </w:rPr>
              <w:t xml:space="preserve">232.18 </w:t>
            </w:r>
          </w:p>
        </w:tc>
      </w:tr>
      <w:tr w14:paraId="7CDCC8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91" w:type="pct"/>
            <w:vMerge w:val="restart"/>
            <w:noWrap/>
            <w:vAlign w:val="center"/>
          </w:tcPr>
          <w:p w14:paraId="467F9361">
            <w:pPr>
              <w:pStyle w:val="44"/>
              <w:rPr>
                <w:color w:val="auto"/>
              </w:rPr>
            </w:pPr>
            <w:r>
              <w:rPr>
                <w:color w:val="auto"/>
              </w:rPr>
              <w:t>公共设施</w:t>
            </w:r>
          </w:p>
        </w:tc>
        <w:tc>
          <w:tcPr>
            <w:tcW w:w="638" w:type="pct"/>
            <w:noWrap/>
            <w:vAlign w:val="center"/>
          </w:tcPr>
          <w:p w14:paraId="02B19F64">
            <w:pPr>
              <w:pStyle w:val="44"/>
              <w:rPr>
                <w:color w:val="auto"/>
              </w:rPr>
            </w:pPr>
            <w:r>
              <w:rPr>
                <w:color w:val="auto"/>
              </w:rPr>
              <w:t>道路工程</w:t>
            </w:r>
          </w:p>
        </w:tc>
        <w:tc>
          <w:tcPr>
            <w:tcW w:w="714" w:type="pct"/>
            <w:noWrap/>
            <w:vAlign w:val="center"/>
          </w:tcPr>
          <w:p w14:paraId="63A56EC1">
            <w:pPr>
              <w:pStyle w:val="44"/>
              <w:rPr>
                <w:color w:val="auto"/>
              </w:rPr>
            </w:pPr>
            <w:r>
              <w:rPr>
                <w:color w:val="auto"/>
              </w:rPr>
              <w:t xml:space="preserve">32.42 </w:t>
            </w:r>
          </w:p>
        </w:tc>
        <w:tc>
          <w:tcPr>
            <w:tcW w:w="714" w:type="pct"/>
            <w:noWrap/>
            <w:vAlign w:val="center"/>
          </w:tcPr>
          <w:p w14:paraId="42D9BB2E">
            <w:pPr>
              <w:pStyle w:val="44"/>
              <w:rPr>
                <w:color w:val="auto"/>
              </w:rPr>
            </w:pPr>
            <w:r>
              <w:rPr>
                <w:color w:val="auto"/>
              </w:rPr>
              <w:t>0</w:t>
            </w:r>
          </w:p>
        </w:tc>
        <w:tc>
          <w:tcPr>
            <w:tcW w:w="714" w:type="pct"/>
            <w:noWrap/>
            <w:vAlign w:val="center"/>
          </w:tcPr>
          <w:p w14:paraId="565D7843">
            <w:pPr>
              <w:pStyle w:val="44"/>
              <w:rPr>
                <w:color w:val="auto"/>
              </w:rPr>
            </w:pPr>
            <w:r>
              <w:rPr>
                <w:color w:val="auto"/>
              </w:rPr>
              <w:t>0</w:t>
            </w:r>
          </w:p>
        </w:tc>
        <w:tc>
          <w:tcPr>
            <w:tcW w:w="714" w:type="pct"/>
            <w:noWrap/>
            <w:vAlign w:val="center"/>
          </w:tcPr>
          <w:p w14:paraId="76CB7B61">
            <w:pPr>
              <w:pStyle w:val="44"/>
              <w:rPr>
                <w:color w:val="auto"/>
              </w:rPr>
            </w:pPr>
            <w:r>
              <w:rPr>
                <w:color w:val="auto"/>
              </w:rPr>
              <w:t xml:space="preserve">18.29 </w:t>
            </w:r>
          </w:p>
        </w:tc>
        <w:tc>
          <w:tcPr>
            <w:tcW w:w="714" w:type="pct"/>
            <w:noWrap/>
            <w:vAlign w:val="center"/>
          </w:tcPr>
          <w:p w14:paraId="751CCC3B">
            <w:pPr>
              <w:pStyle w:val="44"/>
              <w:rPr>
                <w:color w:val="auto"/>
              </w:rPr>
            </w:pPr>
            <w:r>
              <w:rPr>
                <w:color w:val="auto"/>
              </w:rPr>
              <w:t xml:space="preserve">50.71 </w:t>
            </w:r>
          </w:p>
        </w:tc>
      </w:tr>
      <w:tr w14:paraId="1885C8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91" w:type="pct"/>
            <w:vMerge w:val="continue"/>
            <w:vAlign w:val="center"/>
          </w:tcPr>
          <w:p w14:paraId="29A1E059">
            <w:pPr>
              <w:pStyle w:val="44"/>
              <w:rPr>
                <w:color w:val="auto"/>
              </w:rPr>
            </w:pPr>
          </w:p>
        </w:tc>
        <w:tc>
          <w:tcPr>
            <w:tcW w:w="638" w:type="pct"/>
            <w:noWrap/>
            <w:vAlign w:val="center"/>
          </w:tcPr>
          <w:p w14:paraId="4903329E">
            <w:pPr>
              <w:pStyle w:val="44"/>
              <w:rPr>
                <w:color w:val="auto"/>
              </w:rPr>
            </w:pPr>
            <w:r>
              <w:rPr>
                <w:color w:val="auto"/>
              </w:rPr>
              <w:t>景观绿化</w:t>
            </w:r>
          </w:p>
        </w:tc>
        <w:tc>
          <w:tcPr>
            <w:tcW w:w="714" w:type="pct"/>
            <w:noWrap/>
            <w:vAlign w:val="center"/>
          </w:tcPr>
          <w:p w14:paraId="13D9F6AA">
            <w:pPr>
              <w:pStyle w:val="44"/>
              <w:rPr>
                <w:color w:val="auto"/>
              </w:rPr>
            </w:pPr>
            <w:r>
              <w:rPr>
                <w:color w:val="auto"/>
              </w:rPr>
              <w:t>1.87</w:t>
            </w:r>
          </w:p>
        </w:tc>
        <w:tc>
          <w:tcPr>
            <w:tcW w:w="714" w:type="pct"/>
            <w:noWrap/>
            <w:vAlign w:val="center"/>
          </w:tcPr>
          <w:p w14:paraId="326E67DC">
            <w:pPr>
              <w:pStyle w:val="44"/>
              <w:rPr>
                <w:color w:val="auto"/>
              </w:rPr>
            </w:pPr>
            <w:r>
              <w:rPr>
                <w:color w:val="auto"/>
              </w:rPr>
              <w:t>0</w:t>
            </w:r>
          </w:p>
        </w:tc>
        <w:tc>
          <w:tcPr>
            <w:tcW w:w="714" w:type="pct"/>
            <w:noWrap/>
            <w:vAlign w:val="center"/>
          </w:tcPr>
          <w:p w14:paraId="40B246C0">
            <w:pPr>
              <w:pStyle w:val="44"/>
              <w:rPr>
                <w:color w:val="auto"/>
              </w:rPr>
            </w:pPr>
            <w:r>
              <w:rPr>
                <w:color w:val="auto"/>
              </w:rPr>
              <w:t>0</w:t>
            </w:r>
          </w:p>
        </w:tc>
        <w:tc>
          <w:tcPr>
            <w:tcW w:w="714" w:type="pct"/>
            <w:noWrap/>
            <w:vAlign w:val="center"/>
          </w:tcPr>
          <w:p w14:paraId="5F183D74">
            <w:pPr>
              <w:pStyle w:val="44"/>
              <w:rPr>
                <w:color w:val="auto"/>
              </w:rPr>
            </w:pPr>
            <w:r>
              <w:rPr>
                <w:color w:val="auto"/>
              </w:rPr>
              <w:t>14.98</w:t>
            </w:r>
          </w:p>
        </w:tc>
        <w:tc>
          <w:tcPr>
            <w:tcW w:w="714" w:type="pct"/>
            <w:noWrap/>
            <w:vAlign w:val="center"/>
          </w:tcPr>
          <w:p w14:paraId="235D0E7C">
            <w:pPr>
              <w:pStyle w:val="44"/>
              <w:rPr>
                <w:color w:val="auto"/>
              </w:rPr>
            </w:pPr>
            <w:r>
              <w:rPr>
                <w:color w:val="auto"/>
              </w:rPr>
              <w:t xml:space="preserve">16.85 </w:t>
            </w:r>
          </w:p>
        </w:tc>
      </w:tr>
      <w:tr w14:paraId="19917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91" w:type="pct"/>
            <w:noWrap/>
            <w:vAlign w:val="center"/>
          </w:tcPr>
          <w:p w14:paraId="1E304479">
            <w:pPr>
              <w:pStyle w:val="44"/>
              <w:rPr>
                <w:color w:val="auto"/>
              </w:rPr>
            </w:pPr>
            <w:r>
              <w:rPr>
                <w:color w:val="auto"/>
              </w:rPr>
              <w:t>小计</w:t>
            </w:r>
          </w:p>
        </w:tc>
        <w:tc>
          <w:tcPr>
            <w:tcW w:w="638" w:type="pct"/>
            <w:noWrap/>
            <w:vAlign w:val="center"/>
          </w:tcPr>
          <w:p w14:paraId="7C40B8EC">
            <w:pPr>
              <w:pStyle w:val="44"/>
              <w:rPr>
                <w:color w:val="auto"/>
              </w:rPr>
            </w:pPr>
            <w:r>
              <w:rPr>
                <w:color w:val="auto"/>
              </w:rPr>
              <w:t>　</w:t>
            </w:r>
          </w:p>
        </w:tc>
        <w:tc>
          <w:tcPr>
            <w:tcW w:w="714" w:type="pct"/>
            <w:noWrap/>
            <w:vAlign w:val="center"/>
          </w:tcPr>
          <w:p w14:paraId="7312C4EE">
            <w:pPr>
              <w:pStyle w:val="44"/>
              <w:rPr>
                <w:color w:val="auto"/>
              </w:rPr>
            </w:pPr>
            <w:r>
              <w:rPr>
                <w:color w:val="auto"/>
              </w:rPr>
              <w:t xml:space="preserve">125.62 </w:t>
            </w:r>
          </w:p>
        </w:tc>
        <w:tc>
          <w:tcPr>
            <w:tcW w:w="714" w:type="pct"/>
            <w:noWrap/>
            <w:vAlign w:val="center"/>
          </w:tcPr>
          <w:p w14:paraId="19BA80F1">
            <w:pPr>
              <w:pStyle w:val="44"/>
              <w:rPr>
                <w:color w:val="auto"/>
              </w:rPr>
            </w:pPr>
            <w:r>
              <w:rPr>
                <w:color w:val="auto"/>
              </w:rPr>
              <w:t xml:space="preserve">32.45 </w:t>
            </w:r>
          </w:p>
        </w:tc>
        <w:tc>
          <w:tcPr>
            <w:tcW w:w="714" w:type="pct"/>
            <w:noWrap/>
            <w:vAlign w:val="center"/>
          </w:tcPr>
          <w:p w14:paraId="704D58B7">
            <w:pPr>
              <w:pStyle w:val="44"/>
              <w:rPr>
                <w:color w:val="auto"/>
              </w:rPr>
            </w:pPr>
            <w:r>
              <w:rPr>
                <w:color w:val="auto"/>
              </w:rPr>
              <w:t xml:space="preserve">74.20 </w:t>
            </w:r>
          </w:p>
        </w:tc>
        <w:tc>
          <w:tcPr>
            <w:tcW w:w="714" w:type="pct"/>
            <w:noWrap/>
            <w:vAlign w:val="center"/>
          </w:tcPr>
          <w:p w14:paraId="187928EB">
            <w:pPr>
              <w:pStyle w:val="44"/>
              <w:rPr>
                <w:color w:val="auto"/>
              </w:rPr>
            </w:pPr>
            <w:r>
              <w:rPr>
                <w:color w:val="auto"/>
              </w:rPr>
              <w:t xml:space="preserve">67.47 </w:t>
            </w:r>
          </w:p>
        </w:tc>
        <w:tc>
          <w:tcPr>
            <w:tcW w:w="714" w:type="pct"/>
            <w:noWrap/>
            <w:vAlign w:val="center"/>
          </w:tcPr>
          <w:p w14:paraId="049A92EA">
            <w:pPr>
              <w:pStyle w:val="44"/>
              <w:rPr>
                <w:color w:val="auto"/>
              </w:rPr>
            </w:pPr>
            <w:r>
              <w:rPr>
                <w:color w:val="auto"/>
              </w:rPr>
              <w:t xml:space="preserve">299.74 </w:t>
            </w:r>
          </w:p>
        </w:tc>
      </w:tr>
      <w:tr w14:paraId="737D7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91" w:type="pct"/>
            <w:vMerge w:val="restart"/>
            <w:noWrap/>
            <w:vAlign w:val="center"/>
          </w:tcPr>
          <w:p w14:paraId="67E8175A">
            <w:pPr>
              <w:pStyle w:val="44"/>
              <w:rPr>
                <w:color w:val="auto"/>
              </w:rPr>
            </w:pPr>
            <w:r>
              <w:rPr>
                <w:color w:val="auto"/>
              </w:rPr>
              <w:t>非建设用地</w:t>
            </w:r>
          </w:p>
        </w:tc>
        <w:tc>
          <w:tcPr>
            <w:tcW w:w="638" w:type="pct"/>
            <w:noWrap/>
            <w:vAlign w:val="center"/>
          </w:tcPr>
          <w:p w14:paraId="0E8BA92D">
            <w:pPr>
              <w:pStyle w:val="44"/>
              <w:rPr>
                <w:color w:val="auto"/>
              </w:rPr>
            </w:pPr>
            <w:r>
              <w:rPr>
                <w:color w:val="auto"/>
              </w:rPr>
              <w:t>水域</w:t>
            </w:r>
          </w:p>
        </w:tc>
        <w:tc>
          <w:tcPr>
            <w:tcW w:w="714" w:type="pct"/>
            <w:noWrap/>
            <w:vAlign w:val="center"/>
          </w:tcPr>
          <w:p w14:paraId="43CD3924">
            <w:pPr>
              <w:pStyle w:val="44"/>
              <w:rPr>
                <w:color w:val="auto"/>
              </w:rPr>
            </w:pPr>
            <w:r>
              <w:rPr>
                <w:color w:val="auto"/>
              </w:rPr>
              <w:t>0</w:t>
            </w:r>
          </w:p>
        </w:tc>
        <w:tc>
          <w:tcPr>
            <w:tcW w:w="714" w:type="pct"/>
            <w:noWrap/>
            <w:vAlign w:val="center"/>
          </w:tcPr>
          <w:p w14:paraId="18C2D620">
            <w:pPr>
              <w:pStyle w:val="44"/>
              <w:rPr>
                <w:color w:val="auto"/>
              </w:rPr>
            </w:pPr>
            <w:r>
              <w:rPr>
                <w:color w:val="auto"/>
              </w:rPr>
              <w:t>0</w:t>
            </w:r>
          </w:p>
        </w:tc>
        <w:tc>
          <w:tcPr>
            <w:tcW w:w="714" w:type="pct"/>
            <w:noWrap/>
            <w:vAlign w:val="center"/>
          </w:tcPr>
          <w:p w14:paraId="068C3A2D">
            <w:pPr>
              <w:pStyle w:val="44"/>
              <w:rPr>
                <w:color w:val="auto"/>
              </w:rPr>
            </w:pPr>
            <w:r>
              <w:rPr>
                <w:color w:val="auto"/>
              </w:rPr>
              <w:t>0</w:t>
            </w:r>
          </w:p>
        </w:tc>
        <w:tc>
          <w:tcPr>
            <w:tcW w:w="714" w:type="pct"/>
            <w:noWrap/>
            <w:vAlign w:val="center"/>
          </w:tcPr>
          <w:p w14:paraId="31F5DFE1">
            <w:pPr>
              <w:pStyle w:val="44"/>
              <w:rPr>
                <w:color w:val="auto"/>
              </w:rPr>
            </w:pPr>
            <w:r>
              <w:rPr>
                <w:color w:val="auto"/>
              </w:rPr>
              <w:t>0</w:t>
            </w:r>
          </w:p>
        </w:tc>
        <w:tc>
          <w:tcPr>
            <w:tcW w:w="714" w:type="pct"/>
            <w:noWrap/>
            <w:vAlign w:val="center"/>
          </w:tcPr>
          <w:p w14:paraId="5EAD49A3">
            <w:pPr>
              <w:pStyle w:val="44"/>
              <w:rPr>
                <w:color w:val="auto"/>
              </w:rPr>
            </w:pPr>
            <w:r>
              <w:rPr>
                <w:color w:val="auto"/>
              </w:rPr>
              <w:t xml:space="preserve">0.00 </w:t>
            </w:r>
          </w:p>
        </w:tc>
      </w:tr>
      <w:tr w14:paraId="74D6A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91" w:type="pct"/>
            <w:vMerge w:val="continue"/>
            <w:vAlign w:val="center"/>
          </w:tcPr>
          <w:p w14:paraId="7BB2660C">
            <w:pPr>
              <w:pStyle w:val="44"/>
              <w:rPr>
                <w:color w:val="auto"/>
              </w:rPr>
            </w:pPr>
          </w:p>
        </w:tc>
        <w:tc>
          <w:tcPr>
            <w:tcW w:w="638" w:type="pct"/>
            <w:noWrap/>
            <w:vAlign w:val="center"/>
          </w:tcPr>
          <w:p w14:paraId="7E817B1B">
            <w:pPr>
              <w:pStyle w:val="44"/>
              <w:rPr>
                <w:color w:val="auto"/>
              </w:rPr>
            </w:pPr>
            <w:r>
              <w:rPr>
                <w:color w:val="auto"/>
              </w:rPr>
              <w:t>农林用地</w:t>
            </w:r>
          </w:p>
        </w:tc>
        <w:tc>
          <w:tcPr>
            <w:tcW w:w="714" w:type="pct"/>
            <w:noWrap/>
            <w:vAlign w:val="center"/>
          </w:tcPr>
          <w:p w14:paraId="5A5D376F">
            <w:pPr>
              <w:pStyle w:val="44"/>
              <w:rPr>
                <w:color w:val="auto"/>
              </w:rPr>
            </w:pPr>
            <w:r>
              <w:rPr>
                <w:color w:val="auto"/>
              </w:rPr>
              <w:t>0</w:t>
            </w:r>
          </w:p>
        </w:tc>
        <w:tc>
          <w:tcPr>
            <w:tcW w:w="714" w:type="pct"/>
            <w:noWrap/>
            <w:vAlign w:val="center"/>
          </w:tcPr>
          <w:p w14:paraId="685EAFDE">
            <w:pPr>
              <w:pStyle w:val="44"/>
              <w:rPr>
                <w:color w:val="auto"/>
              </w:rPr>
            </w:pPr>
            <w:r>
              <w:rPr>
                <w:color w:val="auto"/>
              </w:rPr>
              <w:t>0</w:t>
            </w:r>
          </w:p>
        </w:tc>
        <w:tc>
          <w:tcPr>
            <w:tcW w:w="714" w:type="pct"/>
            <w:noWrap/>
            <w:vAlign w:val="center"/>
          </w:tcPr>
          <w:p w14:paraId="03885418">
            <w:pPr>
              <w:pStyle w:val="44"/>
              <w:rPr>
                <w:color w:val="auto"/>
              </w:rPr>
            </w:pPr>
            <w:r>
              <w:rPr>
                <w:color w:val="auto"/>
              </w:rPr>
              <w:t>0</w:t>
            </w:r>
          </w:p>
        </w:tc>
        <w:tc>
          <w:tcPr>
            <w:tcW w:w="714" w:type="pct"/>
            <w:noWrap/>
            <w:vAlign w:val="center"/>
          </w:tcPr>
          <w:p w14:paraId="69B1C42C">
            <w:pPr>
              <w:pStyle w:val="44"/>
              <w:rPr>
                <w:color w:val="auto"/>
              </w:rPr>
            </w:pPr>
            <w:r>
              <w:rPr>
                <w:color w:val="auto"/>
              </w:rPr>
              <w:t>55.11</w:t>
            </w:r>
          </w:p>
        </w:tc>
        <w:tc>
          <w:tcPr>
            <w:tcW w:w="714" w:type="pct"/>
            <w:noWrap/>
            <w:vAlign w:val="center"/>
          </w:tcPr>
          <w:p w14:paraId="3B229ED0">
            <w:pPr>
              <w:pStyle w:val="44"/>
              <w:rPr>
                <w:color w:val="auto"/>
              </w:rPr>
            </w:pPr>
            <w:r>
              <w:rPr>
                <w:color w:val="auto"/>
              </w:rPr>
              <w:t xml:space="preserve">55.11 </w:t>
            </w:r>
          </w:p>
        </w:tc>
      </w:tr>
      <w:tr w14:paraId="6E7F3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91" w:type="pct"/>
            <w:noWrap/>
            <w:vAlign w:val="center"/>
          </w:tcPr>
          <w:p w14:paraId="370E9671">
            <w:pPr>
              <w:pStyle w:val="44"/>
              <w:rPr>
                <w:color w:val="auto"/>
              </w:rPr>
            </w:pPr>
            <w:r>
              <w:rPr>
                <w:color w:val="auto"/>
              </w:rPr>
              <w:t>小计</w:t>
            </w:r>
          </w:p>
        </w:tc>
        <w:tc>
          <w:tcPr>
            <w:tcW w:w="638" w:type="pct"/>
            <w:noWrap/>
            <w:vAlign w:val="center"/>
          </w:tcPr>
          <w:p w14:paraId="738BA523">
            <w:pPr>
              <w:pStyle w:val="44"/>
              <w:rPr>
                <w:color w:val="auto"/>
              </w:rPr>
            </w:pPr>
            <w:r>
              <w:rPr>
                <w:color w:val="auto"/>
              </w:rPr>
              <w:t>　</w:t>
            </w:r>
          </w:p>
        </w:tc>
        <w:tc>
          <w:tcPr>
            <w:tcW w:w="714" w:type="pct"/>
            <w:noWrap/>
            <w:vAlign w:val="center"/>
          </w:tcPr>
          <w:p w14:paraId="650C71A3">
            <w:pPr>
              <w:pStyle w:val="44"/>
              <w:rPr>
                <w:color w:val="auto"/>
              </w:rPr>
            </w:pPr>
            <w:r>
              <w:rPr>
                <w:color w:val="auto"/>
              </w:rPr>
              <w:t>0</w:t>
            </w:r>
          </w:p>
        </w:tc>
        <w:tc>
          <w:tcPr>
            <w:tcW w:w="714" w:type="pct"/>
            <w:noWrap/>
            <w:vAlign w:val="center"/>
          </w:tcPr>
          <w:p w14:paraId="1892A4F6">
            <w:pPr>
              <w:pStyle w:val="44"/>
              <w:rPr>
                <w:color w:val="auto"/>
              </w:rPr>
            </w:pPr>
            <w:r>
              <w:rPr>
                <w:color w:val="auto"/>
              </w:rPr>
              <w:t>0</w:t>
            </w:r>
          </w:p>
        </w:tc>
        <w:tc>
          <w:tcPr>
            <w:tcW w:w="714" w:type="pct"/>
            <w:noWrap/>
            <w:vAlign w:val="center"/>
          </w:tcPr>
          <w:p w14:paraId="0FCCB34E">
            <w:pPr>
              <w:pStyle w:val="44"/>
              <w:rPr>
                <w:color w:val="auto"/>
              </w:rPr>
            </w:pPr>
            <w:r>
              <w:rPr>
                <w:color w:val="auto"/>
              </w:rPr>
              <w:t>0</w:t>
            </w:r>
          </w:p>
        </w:tc>
        <w:tc>
          <w:tcPr>
            <w:tcW w:w="714" w:type="pct"/>
            <w:noWrap/>
            <w:vAlign w:val="center"/>
          </w:tcPr>
          <w:p w14:paraId="1B7973AF">
            <w:pPr>
              <w:pStyle w:val="44"/>
              <w:rPr>
                <w:color w:val="auto"/>
              </w:rPr>
            </w:pPr>
            <w:r>
              <w:rPr>
                <w:color w:val="auto"/>
              </w:rPr>
              <w:t>55.11</w:t>
            </w:r>
          </w:p>
        </w:tc>
        <w:tc>
          <w:tcPr>
            <w:tcW w:w="714" w:type="pct"/>
            <w:noWrap/>
            <w:vAlign w:val="center"/>
          </w:tcPr>
          <w:p w14:paraId="180FFB40">
            <w:pPr>
              <w:pStyle w:val="44"/>
              <w:rPr>
                <w:color w:val="auto"/>
              </w:rPr>
            </w:pPr>
            <w:r>
              <w:rPr>
                <w:color w:val="auto"/>
              </w:rPr>
              <w:t>55.11</w:t>
            </w:r>
          </w:p>
        </w:tc>
      </w:tr>
      <w:tr w14:paraId="5695DD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91" w:type="pct"/>
            <w:noWrap/>
            <w:vAlign w:val="center"/>
          </w:tcPr>
          <w:p w14:paraId="21CF59ED">
            <w:pPr>
              <w:pStyle w:val="44"/>
              <w:rPr>
                <w:color w:val="auto"/>
              </w:rPr>
            </w:pPr>
            <w:r>
              <w:rPr>
                <w:color w:val="auto"/>
              </w:rPr>
              <w:t>合计</w:t>
            </w:r>
          </w:p>
        </w:tc>
        <w:tc>
          <w:tcPr>
            <w:tcW w:w="638" w:type="pct"/>
            <w:noWrap/>
            <w:vAlign w:val="center"/>
          </w:tcPr>
          <w:p w14:paraId="09020C28">
            <w:pPr>
              <w:pStyle w:val="44"/>
              <w:rPr>
                <w:color w:val="auto"/>
              </w:rPr>
            </w:pPr>
            <w:r>
              <w:rPr>
                <w:color w:val="auto"/>
              </w:rPr>
              <w:t>　</w:t>
            </w:r>
          </w:p>
        </w:tc>
        <w:tc>
          <w:tcPr>
            <w:tcW w:w="714" w:type="pct"/>
            <w:noWrap/>
            <w:vAlign w:val="center"/>
          </w:tcPr>
          <w:p w14:paraId="3A772B0D">
            <w:pPr>
              <w:pStyle w:val="44"/>
              <w:rPr>
                <w:color w:val="auto"/>
              </w:rPr>
            </w:pPr>
            <w:r>
              <w:rPr>
                <w:color w:val="auto"/>
              </w:rPr>
              <w:t xml:space="preserve">125.62 </w:t>
            </w:r>
          </w:p>
        </w:tc>
        <w:tc>
          <w:tcPr>
            <w:tcW w:w="714" w:type="pct"/>
            <w:noWrap/>
            <w:vAlign w:val="center"/>
          </w:tcPr>
          <w:p w14:paraId="580F119D">
            <w:pPr>
              <w:pStyle w:val="44"/>
              <w:rPr>
                <w:color w:val="auto"/>
              </w:rPr>
            </w:pPr>
            <w:r>
              <w:rPr>
                <w:color w:val="auto"/>
              </w:rPr>
              <w:t xml:space="preserve">32.45 </w:t>
            </w:r>
          </w:p>
        </w:tc>
        <w:tc>
          <w:tcPr>
            <w:tcW w:w="714" w:type="pct"/>
            <w:noWrap/>
            <w:vAlign w:val="center"/>
          </w:tcPr>
          <w:p w14:paraId="7701C56F">
            <w:pPr>
              <w:pStyle w:val="44"/>
              <w:rPr>
                <w:color w:val="auto"/>
              </w:rPr>
            </w:pPr>
            <w:r>
              <w:rPr>
                <w:color w:val="auto"/>
              </w:rPr>
              <w:t xml:space="preserve">74.20 </w:t>
            </w:r>
          </w:p>
        </w:tc>
        <w:tc>
          <w:tcPr>
            <w:tcW w:w="714" w:type="pct"/>
            <w:noWrap/>
            <w:vAlign w:val="center"/>
          </w:tcPr>
          <w:p w14:paraId="71E1295F">
            <w:pPr>
              <w:pStyle w:val="44"/>
              <w:rPr>
                <w:color w:val="auto"/>
              </w:rPr>
            </w:pPr>
            <w:r>
              <w:rPr>
                <w:color w:val="auto"/>
              </w:rPr>
              <w:t xml:space="preserve">122.58 </w:t>
            </w:r>
          </w:p>
        </w:tc>
        <w:tc>
          <w:tcPr>
            <w:tcW w:w="714" w:type="pct"/>
            <w:noWrap/>
            <w:vAlign w:val="center"/>
          </w:tcPr>
          <w:p w14:paraId="4A10C9FA">
            <w:pPr>
              <w:pStyle w:val="44"/>
              <w:rPr>
                <w:color w:val="auto"/>
              </w:rPr>
            </w:pPr>
            <w:r>
              <w:rPr>
                <w:color w:val="auto"/>
              </w:rPr>
              <w:t xml:space="preserve">354.85 </w:t>
            </w:r>
          </w:p>
        </w:tc>
      </w:tr>
    </w:tbl>
    <w:p w14:paraId="6A60900B">
      <w:pPr>
        <w:ind w:firstLine="480"/>
        <w:rPr>
          <w:color w:val="auto"/>
        </w:rPr>
      </w:pPr>
      <w:r>
        <w:rPr>
          <w:color w:val="auto"/>
        </w:rPr>
        <w:t>（2）入住企业情况</w:t>
      </w:r>
    </w:p>
    <w:p w14:paraId="5C1650D8">
      <w:pPr>
        <w:topLinePunct/>
        <w:ind w:firstLine="480"/>
        <w:rPr>
          <w:color w:val="auto"/>
          <w:szCs w:val="28"/>
        </w:rPr>
      </w:pPr>
      <w:r>
        <w:rPr>
          <w:color w:val="auto"/>
          <w:szCs w:val="28"/>
        </w:rPr>
        <w:t>目前，西彭组团L标准分区主要定位为陶家</w:t>
      </w:r>
      <w:r>
        <w:rPr>
          <w:color w:val="auto"/>
        </w:rPr>
        <w:t>重要产业功能组团，九龙坡区西部以发展装备制造业、汽摩制造业为主的重要工业片区。现状地块入驻企业较多，主要有园浦产业园、重庆超强钢结构有限公司、陶家俊伍小企业创业基地、华西人防工程、重庆开来汽车配件有限公司、森木仓储公司、深圳前海股权交易中心梧桐上市孵化基地、春风机电、盛源模具、重庆维冠混凝土有限公司</w:t>
      </w:r>
      <w:r>
        <w:rPr>
          <w:color w:val="auto"/>
          <w:szCs w:val="28"/>
        </w:rPr>
        <w:t>、九龙节能环保产业园（龙鼎企业中心）、污水处理厂和陶家配气站等多家企业。</w:t>
      </w:r>
    </w:p>
    <w:p w14:paraId="63C8A0C3">
      <w:pPr>
        <w:topLinePunct/>
        <w:ind w:firstLine="480"/>
        <w:rPr>
          <w:color w:val="auto"/>
        </w:rPr>
      </w:pPr>
      <w:r>
        <w:rPr>
          <w:color w:val="auto"/>
        </w:rPr>
        <w:t>该规划区为重庆主城陶家城市副中心的核心组成部分，是九龙坡区西部以生产型商务和综合服务配套为主导功能的中心城区，现状入驻企业与规划产业类型的基本一致。</w:t>
      </w:r>
    </w:p>
    <w:p w14:paraId="6F68A4DC">
      <w:pPr>
        <w:topLinePunct/>
        <w:ind w:firstLine="480"/>
        <w:rPr>
          <w:color w:val="auto"/>
        </w:rPr>
      </w:pPr>
      <w:r>
        <w:rPr>
          <w:color w:val="auto"/>
        </w:rPr>
        <w:t>据调查，九龙工业园区C区入驻企业不存在自备水源，均由西彭水厂供水。</w:t>
      </w:r>
    </w:p>
    <w:p w14:paraId="6952D76E">
      <w:pPr>
        <w:topLinePunct/>
        <w:ind w:firstLine="241" w:firstLineChars="100"/>
        <w:jc w:val="left"/>
        <w:rPr>
          <w:b/>
          <w:bCs/>
          <w:color w:val="auto"/>
          <w:kern w:val="0"/>
          <w:lang w:bidi="en-US"/>
        </w:rPr>
      </w:pPr>
      <w:r>
        <w:rPr>
          <w:b/>
          <w:bCs/>
          <w:color w:val="auto"/>
          <w:kern w:val="0"/>
          <w:lang w:bidi="en-US"/>
        </w:rPr>
        <w:t>表2.3-8           西彭组团L标准分区开发现状（已建企业）统计表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370"/>
        <w:gridCol w:w="4407"/>
        <w:gridCol w:w="1678"/>
        <w:gridCol w:w="963"/>
      </w:tblGrid>
      <w:tr w14:paraId="3CB3F9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718FEECD">
            <w:pPr>
              <w:pStyle w:val="44"/>
              <w:rPr>
                <w:color w:val="auto"/>
              </w:rPr>
            </w:pPr>
            <w:r>
              <w:rPr>
                <w:color w:val="auto"/>
              </w:rPr>
              <w:t>序号</w:t>
            </w:r>
          </w:p>
        </w:tc>
        <w:tc>
          <w:tcPr>
            <w:tcW w:w="751" w:type="pct"/>
            <w:shd w:val="clear" w:color="auto" w:fill="auto"/>
            <w:vAlign w:val="center"/>
          </w:tcPr>
          <w:p w14:paraId="662DCCD2">
            <w:pPr>
              <w:pStyle w:val="44"/>
              <w:rPr>
                <w:color w:val="auto"/>
              </w:rPr>
            </w:pPr>
            <w:r>
              <w:rPr>
                <w:color w:val="auto"/>
              </w:rPr>
              <w:t>地块编号</w:t>
            </w:r>
          </w:p>
        </w:tc>
        <w:tc>
          <w:tcPr>
            <w:tcW w:w="2416" w:type="pct"/>
            <w:shd w:val="clear" w:color="auto" w:fill="auto"/>
            <w:noWrap/>
            <w:vAlign w:val="center"/>
          </w:tcPr>
          <w:p w14:paraId="42B6EB98">
            <w:pPr>
              <w:pStyle w:val="44"/>
              <w:rPr>
                <w:color w:val="auto"/>
              </w:rPr>
            </w:pPr>
            <w:r>
              <w:rPr>
                <w:color w:val="auto"/>
              </w:rPr>
              <w:t>建设单位</w:t>
            </w:r>
          </w:p>
        </w:tc>
        <w:tc>
          <w:tcPr>
            <w:tcW w:w="919" w:type="pct"/>
            <w:shd w:val="clear" w:color="auto" w:fill="auto"/>
            <w:noWrap/>
            <w:vAlign w:val="center"/>
          </w:tcPr>
          <w:p w14:paraId="33AD1479">
            <w:pPr>
              <w:pStyle w:val="44"/>
              <w:rPr>
                <w:color w:val="auto"/>
              </w:rPr>
            </w:pPr>
            <w:r>
              <w:rPr>
                <w:color w:val="auto"/>
              </w:rPr>
              <w:t>已建面积（hm2）</w:t>
            </w:r>
          </w:p>
        </w:tc>
        <w:tc>
          <w:tcPr>
            <w:tcW w:w="528" w:type="pct"/>
            <w:shd w:val="clear" w:color="auto" w:fill="auto"/>
            <w:noWrap/>
            <w:vAlign w:val="center"/>
          </w:tcPr>
          <w:p w14:paraId="442DB039">
            <w:pPr>
              <w:pStyle w:val="44"/>
              <w:rPr>
                <w:color w:val="auto"/>
              </w:rPr>
            </w:pPr>
            <w:r>
              <w:rPr>
                <w:color w:val="auto"/>
              </w:rPr>
              <w:t>开发时间</w:t>
            </w:r>
          </w:p>
        </w:tc>
      </w:tr>
      <w:tr w14:paraId="4FEE5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3BC6ACC0">
            <w:pPr>
              <w:pStyle w:val="44"/>
              <w:rPr>
                <w:color w:val="auto"/>
              </w:rPr>
            </w:pPr>
            <w:r>
              <w:rPr>
                <w:color w:val="auto"/>
              </w:rPr>
              <w:t>1</w:t>
            </w:r>
          </w:p>
        </w:tc>
        <w:tc>
          <w:tcPr>
            <w:tcW w:w="751" w:type="pct"/>
            <w:shd w:val="clear" w:color="auto" w:fill="auto"/>
            <w:noWrap/>
            <w:vAlign w:val="center"/>
          </w:tcPr>
          <w:p w14:paraId="4F307B92">
            <w:pPr>
              <w:pStyle w:val="44"/>
              <w:rPr>
                <w:color w:val="auto"/>
              </w:rPr>
            </w:pPr>
            <w:r>
              <w:rPr>
                <w:color w:val="auto"/>
              </w:rPr>
              <w:t>L9-02/02</w:t>
            </w:r>
          </w:p>
        </w:tc>
        <w:tc>
          <w:tcPr>
            <w:tcW w:w="2416" w:type="pct"/>
            <w:shd w:val="clear" w:color="auto" w:fill="auto"/>
            <w:noWrap/>
            <w:vAlign w:val="center"/>
          </w:tcPr>
          <w:p w14:paraId="40E1D0CE">
            <w:pPr>
              <w:pStyle w:val="44"/>
              <w:rPr>
                <w:color w:val="auto"/>
              </w:rPr>
            </w:pPr>
            <w:r>
              <w:rPr>
                <w:color w:val="auto"/>
              </w:rPr>
              <w:t>友爱村，康居小区</w:t>
            </w:r>
          </w:p>
        </w:tc>
        <w:tc>
          <w:tcPr>
            <w:tcW w:w="919" w:type="pct"/>
            <w:shd w:val="clear" w:color="auto" w:fill="auto"/>
            <w:noWrap/>
            <w:vAlign w:val="center"/>
          </w:tcPr>
          <w:p w14:paraId="23B5BAD0">
            <w:pPr>
              <w:pStyle w:val="44"/>
              <w:rPr>
                <w:color w:val="auto"/>
              </w:rPr>
            </w:pPr>
            <w:r>
              <w:rPr>
                <w:color w:val="auto"/>
              </w:rPr>
              <w:t>1.37</w:t>
            </w:r>
          </w:p>
        </w:tc>
        <w:tc>
          <w:tcPr>
            <w:tcW w:w="528" w:type="pct"/>
            <w:shd w:val="clear" w:color="auto" w:fill="auto"/>
            <w:noWrap/>
            <w:vAlign w:val="center"/>
          </w:tcPr>
          <w:p w14:paraId="1A1BB98B">
            <w:pPr>
              <w:pStyle w:val="44"/>
              <w:rPr>
                <w:color w:val="auto"/>
              </w:rPr>
            </w:pPr>
            <w:r>
              <w:rPr>
                <w:color w:val="auto"/>
              </w:rPr>
              <w:t>2011年</w:t>
            </w:r>
          </w:p>
        </w:tc>
      </w:tr>
      <w:tr w14:paraId="0BFB7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44302D03">
            <w:pPr>
              <w:pStyle w:val="44"/>
              <w:rPr>
                <w:color w:val="auto"/>
              </w:rPr>
            </w:pPr>
            <w:r>
              <w:rPr>
                <w:color w:val="auto"/>
              </w:rPr>
              <w:t>2</w:t>
            </w:r>
          </w:p>
        </w:tc>
        <w:tc>
          <w:tcPr>
            <w:tcW w:w="751" w:type="pct"/>
            <w:vMerge w:val="restart"/>
            <w:shd w:val="clear" w:color="auto" w:fill="auto"/>
            <w:noWrap/>
            <w:vAlign w:val="center"/>
          </w:tcPr>
          <w:p w14:paraId="7DD890FA">
            <w:pPr>
              <w:pStyle w:val="44"/>
              <w:rPr>
                <w:color w:val="auto"/>
              </w:rPr>
            </w:pPr>
            <w:r>
              <w:rPr>
                <w:color w:val="auto"/>
              </w:rPr>
              <w:t>L3-02/02</w:t>
            </w:r>
          </w:p>
        </w:tc>
        <w:tc>
          <w:tcPr>
            <w:tcW w:w="2416" w:type="pct"/>
            <w:shd w:val="clear" w:color="auto" w:fill="auto"/>
            <w:noWrap/>
            <w:vAlign w:val="center"/>
          </w:tcPr>
          <w:p w14:paraId="7D3A5515">
            <w:pPr>
              <w:pStyle w:val="44"/>
              <w:rPr>
                <w:color w:val="auto"/>
              </w:rPr>
            </w:pPr>
            <w:r>
              <w:rPr>
                <w:color w:val="auto"/>
              </w:rPr>
              <w:t>重庆超强钢结构有限公司</w:t>
            </w:r>
          </w:p>
        </w:tc>
        <w:tc>
          <w:tcPr>
            <w:tcW w:w="919" w:type="pct"/>
            <w:vMerge w:val="restart"/>
            <w:shd w:val="clear" w:color="auto" w:fill="auto"/>
            <w:noWrap/>
            <w:vAlign w:val="center"/>
          </w:tcPr>
          <w:p w14:paraId="587D8706">
            <w:pPr>
              <w:pStyle w:val="44"/>
              <w:rPr>
                <w:color w:val="auto"/>
              </w:rPr>
            </w:pPr>
            <w:r>
              <w:rPr>
                <w:color w:val="auto"/>
              </w:rPr>
              <w:t>14.12</w:t>
            </w:r>
          </w:p>
        </w:tc>
        <w:tc>
          <w:tcPr>
            <w:tcW w:w="528" w:type="pct"/>
            <w:shd w:val="clear" w:color="auto" w:fill="auto"/>
            <w:noWrap/>
            <w:vAlign w:val="center"/>
          </w:tcPr>
          <w:p w14:paraId="449EE42A">
            <w:pPr>
              <w:pStyle w:val="44"/>
              <w:rPr>
                <w:color w:val="auto"/>
              </w:rPr>
            </w:pPr>
            <w:r>
              <w:rPr>
                <w:color w:val="auto"/>
              </w:rPr>
              <w:t>2012年</w:t>
            </w:r>
          </w:p>
        </w:tc>
      </w:tr>
      <w:tr w14:paraId="7E8BD9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54FA9AFC">
            <w:pPr>
              <w:pStyle w:val="44"/>
              <w:rPr>
                <w:color w:val="auto"/>
              </w:rPr>
            </w:pPr>
            <w:r>
              <w:rPr>
                <w:color w:val="auto"/>
              </w:rPr>
              <w:t>3</w:t>
            </w:r>
          </w:p>
        </w:tc>
        <w:tc>
          <w:tcPr>
            <w:tcW w:w="751" w:type="pct"/>
            <w:vMerge w:val="continue"/>
            <w:shd w:val="clear" w:color="auto" w:fill="auto"/>
            <w:vAlign w:val="center"/>
          </w:tcPr>
          <w:p w14:paraId="44E9E972">
            <w:pPr>
              <w:pStyle w:val="44"/>
              <w:rPr>
                <w:color w:val="auto"/>
              </w:rPr>
            </w:pPr>
          </w:p>
        </w:tc>
        <w:tc>
          <w:tcPr>
            <w:tcW w:w="2416" w:type="pct"/>
            <w:shd w:val="clear" w:color="auto" w:fill="auto"/>
            <w:noWrap/>
            <w:vAlign w:val="center"/>
          </w:tcPr>
          <w:p w14:paraId="71FACED0">
            <w:pPr>
              <w:pStyle w:val="44"/>
              <w:rPr>
                <w:color w:val="auto"/>
              </w:rPr>
            </w:pPr>
            <w:r>
              <w:rPr>
                <w:color w:val="auto"/>
              </w:rPr>
              <w:t>陶家俊伍小企业创业基地</w:t>
            </w:r>
          </w:p>
        </w:tc>
        <w:tc>
          <w:tcPr>
            <w:tcW w:w="919" w:type="pct"/>
            <w:vMerge w:val="continue"/>
            <w:shd w:val="clear" w:color="auto" w:fill="auto"/>
            <w:vAlign w:val="center"/>
          </w:tcPr>
          <w:p w14:paraId="7818609D">
            <w:pPr>
              <w:pStyle w:val="44"/>
              <w:rPr>
                <w:color w:val="auto"/>
              </w:rPr>
            </w:pPr>
          </w:p>
        </w:tc>
        <w:tc>
          <w:tcPr>
            <w:tcW w:w="528" w:type="pct"/>
            <w:shd w:val="clear" w:color="auto" w:fill="auto"/>
            <w:noWrap/>
            <w:vAlign w:val="center"/>
          </w:tcPr>
          <w:p w14:paraId="02624868">
            <w:pPr>
              <w:pStyle w:val="44"/>
              <w:rPr>
                <w:color w:val="auto"/>
              </w:rPr>
            </w:pPr>
            <w:r>
              <w:rPr>
                <w:color w:val="auto"/>
              </w:rPr>
              <w:t>2012年</w:t>
            </w:r>
          </w:p>
        </w:tc>
      </w:tr>
      <w:tr w14:paraId="6E51C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33ADB09D">
            <w:pPr>
              <w:pStyle w:val="44"/>
              <w:rPr>
                <w:color w:val="auto"/>
              </w:rPr>
            </w:pPr>
            <w:r>
              <w:rPr>
                <w:color w:val="auto"/>
              </w:rPr>
              <w:t>4</w:t>
            </w:r>
          </w:p>
        </w:tc>
        <w:tc>
          <w:tcPr>
            <w:tcW w:w="751" w:type="pct"/>
            <w:vMerge w:val="continue"/>
            <w:shd w:val="clear" w:color="auto" w:fill="auto"/>
            <w:vAlign w:val="center"/>
          </w:tcPr>
          <w:p w14:paraId="55BFFA5B">
            <w:pPr>
              <w:pStyle w:val="44"/>
              <w:rPr>
                <w:color w:val="auto"/>
              </w:rPr>
            </w:pPr>
          </w:p>
        </w:tc>
        <w:tc>
          <w:tcPr>
            <w:tcW w:w="2416" w:type="pct"/>
            <w:shd w:val="clear" w:color="auto" w:fill="auto"/>
            <w:noWrap/>
            <w:vAlign w:val="center"/>
          </w:tcPr>
          <w:p w14:paraId="191AFA3A">
            <w:pPr>
              <w:pStyle w:val="44"/>
              <w:rPr>
                <w:color w:val="auto"/>
              </w:rPr>
            </w:pPr>
            <w:r>
              <w:rPr>
                <w:color w:val="auto"/>
              </w:rPr>
              <w:t>天宇焊管</w:t>
            </w:r>
          </w:p>
        </w:tc>
        <w:tc>
          <w:tcPr>
            <w:tcW w:w="919" w:type="pct"/>
            <w:vMerge w:val="continue"/>
            <w:shd w:val="clear" w:color="auto" w:fill="auto"/>
            <w:vAlign w:val="center"/>
          </w:tcPr>
          <w:p w14:paraId="0B490D48">
            <w:pPr>
              <w:pStyle w:val="44"/>
              <w:rPr>
                <w:color w:val="auto"/>
              </w:rPr>
            </w:pPr>
          </w:p>
        </w:tc>
        <w:tc>
          <w:tcPr>
            <w:tcW w:w="528" w:type="pct"/>
            <w:shd w:val="clear" w:color="auto" w:fill="auto"/>
            <w:noWrap/>
            <w:vAlign w:val="center"/>
          </w:tcPr>
          <w:p w14:paraId="3C2E2E22">
            <w:pPr>
              <w:pStyle w:val="44"/>
              <w:rPr>
                <w:color w:val="auto"/>
              </w:rPr>
            </w:pPr>
            <w:r>
              <w:rPr>
                <w:color w:val="auto"/>
              </w:rPr>
              <w:t>2012年</w:t>
            </w:r>
          </w:p>
        </w:tc>
      </w:tr>
      <w:tr w14:paraId="74911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7AE8241E">
            <w:pPr>
              <w:pStyle w:val="44"/>
              <w:rPr>
                <w:color w:val="auto"/>
              </w:rPr>
            </w:pPr>
            <w:r>
              <w:rPr>
                <w:color w:val="auto"/>
              </w:rPr>
              <w:t>5</w:t>
            </w:r>
          </w:p>
        </w:tc>
        <w:tc>
          <w:tcPr>
            <w:tcW w:w="751" w:type="pct"/>
            <w:vMerge w:val="continue"/>
            <w:shd w:val="clear" w:color="auto" w:fill="auto"/>
            <w:vAlign w:val="center"/>
          </w:tcPr>
          <w:p w14:paraId="36F49CB0">
            <w:pPr>
              <w:pStyle w:val="44"/>
              <w:rPr>
                <w:color w:val="auto"/>
              </w:rPr>
            </w:pPr>
          </w:p>
        </w:tc>
        <w:tc>
          <w:tcPr>
            <w:tcW w:w="2416" w:type="pct"/>
            <w:shd w:val="clear" w:color="auto" w:fill="auto"/>
            <w:noWrap/>
            <w:vAlign w:val="center"/>
          </w:tcPr>
          <w:p w14:paraId="150B8D75">
            <w:pPr>
              <w:pStyle w:val="44"/>
              <w:rPr>
                <w:color w:val="auto"/>
              </w:rPr>
            </w:pPr>
            <w:r>
              <w:rPr>
                <w:color w:val="auto"/>
              </w:rPr>
              <w:t>华西人防工程</w:t>
            </w:r>
          </w:p>
        </w:tc>
        <w:tc>
          <w:tcPr>
            <w:tcW w:w="919" w:type="pct"/>
            <w:vMerge w:val="continue"/>
            <w:shd w:val="clear" w:color="auto" w:fill="auto"/>
            <w:vAlign w:val="center"/>
          </w:tcPr>
          <w:p w14:paraId="003537DB">
            <w:pPr>
              <w:pStyle w:val="44"/>
              <w:rPr>
                <w:color w:val="auto"/>
              </w:rPr>
            </w:pPr>
          </w:p>
        </w:tc>
        <w:tc>
          <w:tcPr>
            <w:tcW w:w="528" w:type="pct"/>
            <w:shd w:val="clear" w:color="auto" w:fill="auto"/>
            <w:noWrap/>
            <w:vAlign w:val="center"/>
          </w:tcPr>
          <w:p w14:paraId="0017B2A0">
            <w:pPr>
              <w:pStyle w:val="44"/>
              <w:rPr>
                <w:color w:val="auto"/>
              </w:rPr>
            </w:pPr>
            <w:r>
              <w:rPr>
                <w:color w:val="auto"/>
              </w:rPr>
              <w:t>2011年</w:t>
            </w:r>
          </w:p>
        </w:tc>
      </w:tr>
      <w:tr w14:paraId="387DB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68F21D0C">
            <w:pPr>
              <w:pStyle w:val="44"/>
              <w:rPr>
                <w:color w:val="auto"/>
              </w:rPr>
            </w:pPr>
            <w:r>
              <w:rPr>
                <w:color w:val="auto"/>
              </w:rPr>
              <w:t>6</w:t>
            </w:r>
          </w:p>
        </w:tc>
        <w:tc>
          <w:tcPr>
            <w:tcW w:w="751" w:type="pct"/>
            <w:vMerge w:val="restart"/>
            <w:shd w:val="clear" w:color="auto" w:fill="auto"/>
            <w:vAlign w:val="center"/>
          </w:tcPr>
          <w:p w14:paraId="4389380E">
            <w:pPr>
              <w:pStyle w:val="44"/>
              <w:rPr>
                <w:color w:val="auto"/>
              </w:rPr>
            </w:pPr>
            <w:r>
              <w:rPr>
                <w:color w:val="auto"/>
              </w:rPr>
              <w:t>L5/02</w:t>
            </w:r>
          </w:p>
        </w:tc>
        <w:tc>
          <w:tcPr>
            <w:tcW w:w="2416" w:type="pct"/>
            <w:shd w:val="clear" w:color="auto" w:fill="auto"/>
            <w:noWrap/>
            <w:vAlign w:val="center"/>
          </w:tcPr>
          <w:p w14:paraId="34545F80">
            <w:pPr>
              <w:pStyle w:val="44"/>
              <w:rPr>
                <w:color w:val="auto"/>
              </w:rPr>
            </w:pPr>
            <w:r>
              <w:rPr>
                <w:color w:val="auto"/>
              </w:rPr>
              <w:t>远景防腐木</w:t>
            </w:r>
          </w:p>
        </w:tc>
        <w:tc>
          <w:tcPr>
            <w:tcW w:w="919" w:type="pct"/>
            <w:vMerge w:val="restart"/>
            <w:shd w:val="clear" w:color="auto" w:fill="auto"/>
            <w:noWrap/>
            <w:vAlign w:val="center"/>
          </w:tcPr>
          <w:p w14:paraId="2018FFFF">
            <w:pPr>
              <w:pStyle w:val="44"/>
              <w:rPr>
                <w:color w:val="auto"/>
              </w:rPr>
            </w:pPr>
            <w:r>
              <w:rPr>
                <w:color w:val="auto"/>
              </w:rPr>
              <w:t>4.5</w:t>
            </w:r>
          </w:p>
        </w:tc>
        <w:tc>
          <w:tcPr>
            <w:tcW w:w="528" w:type="pct"/>
            <w:shd w:val="clear" w:color="auto" w:fill="auto"/>
            <w:noWrap/>
            <w:vAlign w:val="center"/>
          </w:tcPr>
          <w:p w14:paraId="5FED9C1C">
            <w:pPr>
              <w:pStyle w:val="44"/>
              <w:rPr>
                <w:color w:val="auto"/>
              </w:rPr>
            </w:pPr>
            <w:r>
              <w:rPr>
                <w:color w:val="auto"/>
              </w:rPr>
              <w:t>2015年</w:t>
            </w:r>
          </w:p>
        </w:tc>
      </w:tr>
      <w:tr w14:paraId="62E87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0F5C740C">
            <w:pPr>
              <w:pStyle w:val="44"/>
              <w:rPr>
                <w:color w:val="auto"/>
              </w:rPr>
            </w:pPr>
            <w:r>
              <w:rPr>
                <w:color w:val="auto"/>
              </w:rPr>
              <w:t>7</w:t>
            </w:r>
          </w:p>
        </w:tc>
        <w:tc>
          <w:tcPr>
            <w:tcW w:w="751" w:type="pct"/>
            <w:vMerge w:val="continue"/>
            <w:shd w:val="clear" w:color="auto" w:fill="auto"/>
            <w:vAlign w:val="center"/>
          </w:tcPr>
          <w:p w14:paraId="07171AB9">
            <w:pPr>
              <w:pStyle w:val="44"/>
              <w:rPr>
                <w:color w:val="auto"/>
              </w:rPr>
            </w:pPr>
          </w:p>
        </w:tc>
        <w:tc>
          <w:tcPr>
            <w:tcW w:w="2416" w:type="pct"/>
            <w:shd w:val="clear" w:color="auto" w:fill="auto"/>
            <w:noWrap/>
            <w:vAlign w:val="center"/>
          </w:tcPr>
          <w:p w14:paraId="05A436AA">
            <w:pPr>
              <w:pStyle w:val="44"/>
              <w:rPr>
                <w:color w:val="auto"/>
              </w:rPr>
            </w:pPr>
            <w:r>
              <w:rPr>
                <w:color w:val="auto"/>
              </w:rPr>
              <w:t>奥鹏梯具</w:t>
            </w:r>
          </w:p>
        </w:tc>
        <w:tc>
          <w:tcPr>
            <w:tcW w:w="919" w:type="pct"/>
            <w:vMerge w:val="continue"/>
            <w:shd w:val="clear" w:color="auto" w:fill="auto"/>
            <w:vAlign w:val="center"/>
          </w:tcPr>
          <w:p w14:paraId="6CE19718">
            <w:pPr>
              <w:pStyle w:val="44"/>
              <w:rPr>
                <w:color w:val="auto"/>
              </w:rPr>
            </w:pPr>
          </w:p>
        </w:tc>
        <w:tc>
          <w:tcPr>
            <w:tcW w:w="528" w:type="pct"/>
            <w:shd w:val="clear" w:color="auto" w:fill="auto"/>
            <w:noWrap/>
            <w:vAlign w:val="center"/>
          </w:tcPr>
          <w:p w14:paraId="6AC1EEBA">
            <w:pPr>
              <w:pStyle w:val="44"/>
              <w:rPr>
                <w:color w:val="auto"/>
              </w:rPr>
            </w:pPr>
            <w:r>
              <w:rPr>
                <w:color w:val="auto"/>
              </w:rPr>
              <w:t>2015年</w:t>
            </w:r>
          </w:p>
        </w:tc>
      </w:tr>
      <w:tr w14:paraId="33884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2D6B775B">
            <w:pPr>
              <w:pStyle w:val="44"/>
              <w:rPr>
                <w:color w:val="auto"/>
              </w:rPr>
            </w:pPr>
            <w:r>
              <w:rPr>
                <w:color w:val="auto"/>
              </w:rPr>
              <w:t>8</w:t>
            </w:r>
          </w:p>
        </w:tc>
        <w:tc>
          <w:tcPr>
            <w:tcW w:w="751" w:type="pct"/>
            <w:vMerge w:val="continue"/>
            <w:shd w:val="clear" w:color="auto" w:fill="auto"/>
            <w:vAlign w:val="center"/>
          </w:tcPr>
          <w:p w14:paraId="7F4ABEFA">
            <w:pPr>
              <w:pStyle w:val="44"/>
              <w:rPr>
                <w:color w:val="auto"/>
              </w:rPr>
            </w:pPr>
          </w:p>
        </w:tc>
        <w:tc>
          <w:tcPr>
            <w:tcW w:w="2416" w:type="pct"/>
            <w:shd w:val="clear" w:color="auto" w:fill="auto"/>
            <w:noWrap/>
            <w:vAlign w:val="center"/>
          </w:tcPr>
          <w:p w14:paraId="408416DC">
            <w:pPr>
              <w:pStyle w:val="44"/>
              <w:rPr>
                <w:color w:val="auto"/>
              </w:rPr>
            </w:pPr>
            <w:r>
              <w:rPr>
                <w:color w:val="auto"/>
              </w:rPr>
              <w:t>建飞梯具</w:t>
            </w:r>
          </w:p>
        </w:tc>
        <w:tc>
          <w:tcPr>
            <w:tcW w:w="919" w:type="pct"/>
            <w:vMerge w:val="continue"/>
            <w:shd w:val="clear" w:color="auto" w:fill="auto"/>
            <w:vAlign w:val="center"/>
          </w:tcPr>
          <w:p w14:paraId="61D85F20">
            <w:pPr>
              <w:pStyle w:val="44"/>
              <w:rPr>
                <w:color w:val="auto"/>
              </w:rPr>
            </w:pPr>
          </w:p>
        </w:tc>
        <w:tc>
          <w:tcPr>
            <w:tcW w:w="528" w:type="pct"/>
            <w:shd w:val="clear" w:color="auto" w:fill="auto"/>
            <w:noWrap/>
            <w:vAlign w:val="center"/>
          </w:tcPr>
          <w:p w14:paraId="513B4777">
            <w:pPr>
              <w:pStyle w:val="44"/>
              <w:rPr>
                <w:color w:val="auto"/>
              </w:rPr>
            </w:pPr>
            <w:r>
              <w:rPr>
                <w:color w:val="auto"/>
              </w:rPr>
              <w:t xml:space="preserve">2015年 </w:t>
            </w:r>
          </w:p>
        </w:tc>
      </w:tr>
      <w:tr w14:paraId="19EE4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718D2193">
            <w:pPr>
              <w:pStyle w:val="44"/>
              <w:rPr>
                <w:color w:val="auto"/>
              </w:rPr>
            </w:pPr>
            <w:r>
              <w:rPr>
                <w:color w:val="auto"/>
              </w:rPr>
              <w:t>9</w:t>
            </w:r>
          </w:p>
        </w:tc>
        <w:tc>
          <w:tcPr>
            <w:tcW w:w="751" w:type="pct"/>
            <w:vMerge w:val="continue"/>
            <w:shd w:val="clear" w:color="auto" w:fill="auto"/>
            <w:vAlign w:val="center"/>
          </w:tcPr>
          <w:p w14:paraId="357EE64E">
            <w:pPr>
              <w:pStyle w:val="44"/>
              <w:rPr>
                <w:color w:val="auto"/>
              </w:rPr>
            </w:pPr>
          </w:p>
        </w:tc>
        <w:tc>
          <w:tcPr>
            <w:tcW w:w="2416" w:type="pct"/>
            <w:shd w:val="clear" w:color="auto" w:fill="auto"/>
            <w:noWrap/>
            <w:vAlign w:val="center"/>
          </w:tcPr>
          <w:p w14:paraId="4D54157E">
            <w:pPr>
              <w:pStyle w:val="44"/>
              <w:rPr>
                <w:color w:val="auto"/>
              </w:rPr>
            </w:pPr>
            <w:r>
              <w:rPr>
                <w:color w:val="auto"/>
              </w:rPr>
              <w:t>重庆申仑机械制造有限公司</w:t>
            </w:r>
          </w:p>
        </w:tc>
        <w:tc>
          <w:tcPr>
            <w:tcW w:w="919" w:type="pct"/>
            <w:vMerge w:val="continue"/>
            <w:shd w:val="clear" w:color="auto" w:fill="auto"/>
            <w:vAlign w:val="center"/>
          </w:tcPr>
          <w:p w14:paraId="7756C294">
            <w:pPr>
              <w:pStyle w:val="44"/>
              <w:rPr>
                <w:color w:val="auto"/>
              </w:rPr>
            </w:pPr>
          </w:p>
        </w:tc>
        <w:tc>
          <w:tcPr>
            <w:tcW w:w="528" w:type="pct"/>
            <w:shd w:val="clear" w:color="auto" w:fill="auto"/>
            <w:noWrap/>
            <w:vAlign w:val="center"/>
          </w:tcPr>
          <w:p w14:paraId="7EEEE2BA">
            <w:pPr>
              <w:pStyle w:val="44"/>
              <w:rPr>
                <w:color w:val="auto"/>
              </w:rPr>
            </w:pPr>
            <w:r>
              <w:rPr>
                <w:color w:val="auto"/>
              </w:rPr>
              <w:t>2013年</w:t>
            </w:r>
          </w:p>
        </w:tc>
      </w:tr>
      <w:tr w14:paraId="60E6B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6C7338A1">
            <w:pPr>
              <w:pStyle w:val="44"/>
              <w:rPr>
                <w:color w:val="auto"/>
              </w:rPr>
            </w:pPr>
            <w:r>
              <w:rPr>
                <w:color w:val="auto"/>
              </w:rPr>
              <w:t>10</w:t>
            </w:r>
          </w:p>
        </w:tc>
        <w:tc>
          <w:tcPr>
            <w:tcW w:w="751" w:type="pct"/>
            <w:vMerge w:val="continue"/>
            <w:shd w:val="clear" w:color="auto" w:fill="auto"/>
            <w:vAlign w:val="center"/>
          </w:tcPr>
          <w:p w14:paraId="6E3FE37A">
            <w:pPr>
              <w:pStyle w:val="44"/>
              <w:rPr>
                <w:color w:val="auto"/>
              </w:rPr>
            </w:pPr>
          </w:p>
        </w:tc>
        <w:tc>
          <w:tcPr>
            <w:tcW w:w="2416" w:type="pct"/>
            <w:shd w:val="clear" w:color="auto" w:fill="auto"/>
            <w:noWrap/>
            <w:vAlign w:val="center"/>
          </w:tcPr>
          <w:p w14:paraId="24980DCD">
            <w:pPr>
              <w:pStyle w:val="44"/>
              <w:rPr>
                <w:color w:val="auto"/>
              </w:rPr>
            </w:pPr>
            <w:r>
              <w:rPr>
                <w:color w:val="auto"/>
              </w:rPr>
              <w:t>重庆新明玮家居有限公司</w:t>
            </w:r>
          </w:p>
        </w:tc>
        <w:tc>
          <w:tcPr>
            <w:tcW w:w="919" w:type="pct"/>
            <w:vMerge w:val="continue"/>
            <w:shd w:val="clear" w:color="auto" w:fill="auto"/>
            <w:vAlign w:val="center"/>
          </w:tcPr>
          <w:p w14:paraId="3F6A7982">
            <w:pPr>
              <w:pStyle w:val="44"/>
              <w:rPr>
                <w:color w:val="auto"/>
              </w:rPr>
            </w:pPr>
          </w:p>
        </w:tc>
        <w:tc>
          <w:tcPr>
            <w:tcW w:w="528" w:type="pct"/>
            <w:shd w:val="clear" w:color="auto" w:fill="auto"/>
            <w:noWrap/>
            <w:vAlign w:val="center"/>
          </w:tcPr>
          <w:p w14:paraId="7D9E93F9">
            <w:pPr>
              <w:pStyle w:val="44"/>
              <w:rPr>
                <w:color w:val="auto"/>
              </w:rPr>
            </w:pPr>
            <w:r>
              <w:rPr>
                <w:color w:val="auto"/>
              </w:rPr>
              <w:t>2013年</w:t>
            </w:r>
          </w:p>
        </w:tc>
      </w:tr>
      <w:tr w14:paraId="26843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16556899">
            <w:pPr>
              <w:pStyle w:val="44"/>
              <w:rPr>
                <w:color w:val="auto"/>
              </w:rPr>
            </w:pPr>
            <w:r>
              <w:rPr>
                <w:color w:val="auto"/>
              </w:rPr>
              <w:t>11</w:t>
            </w:r>
          </w:p>
        </w:tc>
        <w:tc>
          <w:tcPr>
            <w:tcW w:w="751" w:type="pct"/>
            <w:vMerge w:val="continue"/>
            <w:shd w:val="clear" w:color="auto" w:fill="auto"/>
            <w:vAlign w:val="center"/>
          </w:tcPr>
          <w:p w14:paraId="36D63070">
            <w:pPr>
              <w:pStyle w:val="44"/>
              <w:rPr>
                <w:color w:val="auto"/>
              </w:rPr>
            </w:pPr>
          </w:p>
        </w:tc>
        <w:tc>
          <w:tcPr>
            <w:tcW w:w="2416" w:type="pct"/>
            <w:shd w:val="clear" w:color="auto" w:fill="auto"/>
            <w:noWrap/>
            <w:vAlign w:val="center"/>
          </w:tcPr>
          <w:p w14:paraId="7A3137C1">
            <w:pPr>
              <w:pStyle w:val="44"/>
              <w:rPr>
                <w:color w:val="auto"/>
              </w:rPr>
            </w:pPr>
            <w:r>
              <w:rPr>
                <w:color w:val="auto"/>
              </w:rPr>
              <w:t>大欧亚板材</w:t>
            </w:r>
          </w:p>
        </w:tc>
        <w:tc>
          <w:tcPr>
            <w:tcW w:w="919" w:type="pct"/>
            <w:vMerge w:val="continue"/>
            <w:shd w:val="clear" w:color="auto" w:fill="auto"/>
            <w:vAlign w:val="center"/>
          </w:tcPr>
          <w:p w14:paraId="2953F9F3">
            <w:pPr>
              <w:pStyle w:val="44"/>
              <w:rPr>
                <w:color w:val="auto"/>
              </w:rPr>
            </w:pPr>
          </w:p>
        </w:tc>
        <w:tc>
          <w:tcPr>
            <w:tcW w:w="528" w:type="pct"/>
            <w:shd w:val="clear" w:color="auto" w:fill="auto"/>
            <w:noWrap/>
            <w:vAlign w:val="center"/>
          </w:tcPr>
          <w:p w14:paraId="79C9B07C">
            <w:pPr>
              <w:pStyle w:val="44"/>
              <w:rPr>
                <w:color w:val="auto"/>
              </w:rPr>
            </w:pPr>
            <w:r>
              <w:rPr>
                <w:color w:val="auto"/>
              </w:rPr>
              <w:t>2014年</w:t>
            </w:r>
          </w:p>
        </w:tc>
      </w:tr>
      <w:tr w14:paraId="33D83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01FDB56D">
            <w:pPr>
              <w:pStyle w:val="44"/>
              <w:rPr>
                <w:color w:val="auto"/>
              </w:rPr>
            </w:pPr>
            <w:r>
              <w:rPr>
                <w:color w:val="auto"/>
              </w:rPr>
              <w:t>12</w:t>
            </w:r>
          </w:p>
        </w:tc>
        <w:tc>
          <w:tcPr>
            <w:tcW w:w="751" w:type="pct"/>
            <w:shd w:val="clear" w:color="auto" w:fill="auto"/>
            <w:noWrap/>
            <w:vAlign w:val="center"/>
          </w:tcPr>
          <w:p w14:paraId="589AB21E">
            <w:pPr>
              <w:pStyle w:val="44"/>
              <w:rPr>
                <w:color w:val="auto"/>
              </w:rPr>
            </w:pPr>
            <w:r>
              <w:rPr>
                <w:color w:val="auto"/>
              </w:rPr>
              <w:t>L6/02</w:t>
            </w:r>
          </w:p>
        </w:tc>
        <w:tc>
          <w:tcPr>
            <w:tcW w:w="2416" w:type="pct"/>
            <w:shd w:val="clear" w:color="auto" w:fill="auto"/>
            <w:noWrap/>
            <w:vAlign w:val="center"/>
          </w:tcPr>
          <w:p w14:paraId="3185EB60">
            <w:pPr>
              <w:pStyle w:val="44"/>
              <w:rPr>
                <w:color w:val="auto"/>
              </w:rPr>
            </w:pPr>
            <w:r>
              <w:rPr>
                <w:color w:val="auto"/>
              </w:rPr>
              <w:t>盛源模具</w:t>
            </w:r>
          </w:p>
        </w:tc>
        <w:tc>
          <w:tcPr>
            <w:tcW w:w="919" w:type="pct"/>
            <w:shd w:val="clear" w:color="auto" w:fill="auto"/>
            <w:noWrap/>
            <w:vAlign w:val="center"/>
          </w:tcPr>
          <w:p w14:paraId="7C014685">
            <w:pPr>
              <w:pStyle w:val="44"/>
              <w:rPr>
                <w:color w:val="auto"/>
              </w:rPr>
            </w:pPr>
            <w:r>
              <w:rPr>
                <w:color w:val="auto"/>
              </w:rPr>
              <w:t>4.76</w:t>
            </w:r>
          </w:p>
        </w:tc>
        <w:tc>
          <w:tcPr>
            <w:tcW w:w="528" w:type="pct"/>
            <w:shd w:val="clear" w:color="auto" w:fill="auto"/>
            <w:noWrap/>
            <w:vAlign w:val="center"/>
          </w:tcPr>
          <w:p w14:paraId="6A3EE980">
            <w:pPr>
              <w:pStyle w:val="44"/>
              <w:rPr>
                <w:color w:val="auto"/>
              </w:rPr>
            </w:pPr>
            <w:r>
              <w:rPr>
                <w:color w:val="auto"/>
              </w:rPr>
              <w:t>2014年</w:t>
            </w:r>
          </w:p>
        </w:tc>
      </w:tr>
      <w:tr w14:paraId="7DD09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4A8303DD">
            <w:pPr>
              <w:pStyle w:val="44"/>
              <w:rPr>
                <w:color w:val="auto"/>
              </w:rPr>
            </w:pPr>
            <w:r>
              <w:rPr>
                <w:color w:val="auto"/>
              </w:rPr>
              <w:t>13</w:t>
            </w:r>
          </w:p>
        </w:tc>
        <w:tc>
          <w:tcPr>
            <w:tcW w:w="751" w:type="pct"/>
            <w:shd w:val="clear" w:color="auto" w:fill="auto"/>
            <w:noWrap/>
            <w:vAlign w:val="center"/>
          </w:tcPr>
          <w:p w14:paraId="5975A369">
            <w:pPr>
              <w:pStyle w:val="44"/>
              <w:rPr>
                <w:color w:val="auto"/>
              </w:rPr>
            </w:pPr>
            <w:r>
              <w:rPr>
                <w:color w:val="auto"/>
              </w:rPr>
              <w:t>L8/02</w:t>
            </w:r>
          </w:p>
        </w:tc>
        <w:tc>
          <w:tcPr>
            <w:tcW w:w="2416" w:type="pct"/>
            <w:shd w:val="clear" w:color="auto" w:fill="auto"/>
            <w:noWrap/>
            <w:vAlign w:val="center"/>
          </w:tcPr>
          <w:p w14:paraId="6973430E">
            <w:pPr>
              <w:pStyle w:val="44"/>
              <w:rPr>
                <w:color w:val="auto"/>
              </w:rPr>
            </w:pPr>
            <w:r>
              <w:rPr>
                <w:color w:val="auto"/>
              </w:rPr>
              <w:t>园浦产业园</w:t>
            </w:r>
          </w:p>
        </w:tc>
        <w:tc>
          <w:tcPr>
            <w:tcW w:w="919" w:type="pct"/>
            <w:shd w:val="clear" w:color="auto" w:fill="auto"/>
            <w:noWrap/>
            <w:vAlign w:val="center"/>
          </w:tcPr>
          <w:p w14:paraId="71AADE8F">
            <w:pPr>
              <w:pStyle w:val="44"/>
              <w:rPr>
                <w:color w:val="auto"/>
              </w:rPr>
            </w:pPr>
            <w:r>
              <w:rPr>
                <w:color w:val="auto"/>
              </w:rPr>
              <w:t>5.36</w:t>
            </w:r>
          </w:p>
        </w:tc>
        <w:tc>
          <w:tcPr>
            <w:tcW w:w="528" w:type="pct"/>
            <w:shd w:val="clear" w:color="auto" w:fill="auto"/>
            <w:noWrap/>
            <w:vAlign w:val="center"/>
          </w:tcPr>
          <w:p w14:paraId="0E2F22FE">
            <w:pPr>
              <w:pStyle w:val="44"/>
              <w:rPr>
                <w:color w:val="auto"/>
              </w:rPr>
            </w:pPr>
            <w:r>
              <w:rPr>
                <w:color w:val="auto"/>
              </w:rPr>
              <w:t>2012年</w:t>
            </w:r>
          </w:p>
        </w:tc>
      </w:tr>
      <w:tr w14:paraId="67AA4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6B2C6A14">
            <w:pPr>
              <w:pStyle w:val="44"/>
              <w:rPr>
                <w:color w:val="auto"/>
              </w:rPr>
            </w:pPr>
            <w:r>
              <w:rPr>
                <w:color w:val="auto"/>
              </w:rPr>
              <w:t>14</w:t>
            </w:r>
          </w:p>
        </w:tc>
        <w:tc>
          <w:tcPr>
            <w:tcW w:w="751" w:type="pct"/>
            <w:vMerge w:val="restart"/>
            <w:shd w:val="clear" w:color="auto" w:fill="auto"/>
            <w:noWrap/>
            <w:vAlign w:val="center"/>
          </w:tcPr>
          <w:p w14:paraId="411E4358">
            <w:pPr>
              <w:pStyle w:val="44"/>
              <w:rPr>
                <w:color w:val="auto"/>
              </w:rPr>
            </w:pPr>
            <w:r>
              <w:rPr>
                <w:color w:val="auto"/>
              </w:rPr>
              <w:t>L10-01/02</w:t>
            </w:r>
          </w:p>
        </w:tc>
        <w:tc>
          <w:tcPr>
            <w:tcW w:w="2416" w:type="pct"/>
            <w:shd w:val="clear" w:color="auto" w:fill="auto"/>
            <w:noWrap/>
            <w:vAlign w:val="center"/>
          </w:tcPr>
          <w:p w14:paraId="2F57453C">
            <w:pPr>
              <w:pStyle w:val="44"/>
              <w:rPr>
                <w:color w:val="auto"/>
              </w:rPr>
            </w:pPr>
            <w:r>
              <w:rPr>
                <w:color w:val="auto"/>
              </w:rPr>
              <w:t>重庆开来汽车配件有限公司</w:t>
            </w:r>
          </w:p>
        </w:tc>
        <w:tc>
          <w:tcPr>
            <w:tcW w:w="919" w:type="pct"/>
            <w:vMerge w:val="restart"/>
            <w:shd w:val="clear" w:color="auto" w:fill="auto"/>
            <w:noWrap/>
            <w:vAlign w:val="center"/>
          </w:tcPr>
          <w:p w14:paraId="4023A198">
            <w:pPr>
              <w:pStyle w:val="44"/>
              <w:rPr>
                <w:color w:val="auto"/>
              </w:rPr>
            </w:pPr>
            <w:r>
              <w:rPr>
                <w:color w:val="auto"/>
              </w:rPr>
              <w:t>11.01</w:t>
            </w:r>
          </w:p>
        </w:tc>
        <w:tc>
          <w:tcPr>
            <w:tcW w:w="528" w:type="pct"/>
            <w:shd w:val="clear" w:color="auto" w:fill="auto"/>
            <w:noWrap/>
            <w:vAlign w:val="center"/>
          </w:tcPr>
          <w:p w14:paraId="7B30DD64">
            <w:pPr>
              <w:pStyle w:val="44"/>
              <w:rPr>
                <w:color w:val="auto"/>
              </w:rPr>
            </w:pPr>
            <w:r>
              <w:rPr>
                <w:color w:val="auto"/>
              </w:rPr>
              <w:t>2014年</w:t>
            </w:r>
          </w:p>
        </w:tc>
      </w:tr>
      <w:tr w14:paraId="644D7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1BC2E0DB">
            <w:pPr>
              <w:pStyle w:val="44"/>
              <w:rPr>
                <w:color w:val="auto"/>
              </w:rPr>
            </w:pPr>
            <w:r>
              <w:rPr>
                <w:color w:val="auto"/>
              </w:rPr>
              <w:t>15</w:t>
            </w:r>
          </w:p>
        </w:tc>
        <w:tc>
          <w:tcPr>
            <w:tcW w:w="751" w:type="pct"/>
            <w:vMerge w:val="continue"/>
            <w:shd w:val="clear" w:color="auto" w:fill="auto"/>
            <w:vAlign w:val="center"/>
          </w:tcPr>
          <w:p w14:paraId="55354818">
            <w:pPr>
              <w:pStyle w:val="44"/>
              <w:rPr>
                <w:color w:val="auto"/>
              </w:rPr>
            </w:pPr>
          </w:p>
        </w:tc>
        <w:tc>
          <w:tcPr>
            <w:tcW w:w="2416" w:type="pct"/>
            <w:shd w:val="clear" w:color="auto" w:fill="auto"/>
            <w:noWrap/>
            <w:vAlign w:val="center"/>
          </w:tcPr>
          <w:p w14:paraId="31EE4160">
            <w:pPr>
              <w:pStyle w:val="44"/>
              <w:rPr>
                <w:color w:val="auto"/>
              </w:rPr>
            </w:pPr>
            <w:r>
              <w:rPr>
                <w:color w:val="auto"/>
              </w:rPr>
              <w:t>森木仓储公司</w:t>
            </w:r>
          </w:p>
        </w:tc>
        <w:tc>
          <w:tcPr>
            <w:tcW w:w="919" w:type="pct"/>
            <w:vMerge w:val="continue"/>
            <w:shd w:val="clear" w:color="auto" w:fill="auto"/>
            <w:vAlign w:val="center"/>
          </w:tcPr>
          <w:p w14:paraId="1DF4F9E2">
            <w:pPr>
              <w:pStyle w:val="44"/>
              <w:rPr>
                <w:color w:val="auto"/>
              </w:rPr>
            </w:pPr>
          </w:p>
        </w:tc>
        <w:tc>
          <w:tcPr>
            <w:tcW w:w="528" w:type="pct"/>
            <w:shd w:val="clear" w:color="auto" w:fill="auto"/>
            <w:noWrap/>
            <w:vAlign w:val="center"/>
          </w:tcPr>
          <w:p w14:paraId="73F684B3">
            <w:pPr>
              <w:pStyle w:val="44"/>
              <w:rPr>
                <w:color w:val="auto"/>
              </w:rPr>
            </w:pPr>
            <w:r>
              <w:rPr>
                <w:color w:val="auto"/>
              </w:rPr>
              <w:t>2013年</w:t>
            </w:r>
          </w:p>
        </w:tc>
      </w:tr>
      <w:tr w14:paraId="2B57C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17954387">
            <w:pPr>
              <w:pStyle w:val="44"/>
              <w:rPr>
                <w:color w:val="auto"/>
              </w:rPr>
            </w:pPr>
            <w:r>
              <w:rPr>
                <w:color w:val="auto"/>
              </w:rPr>
              <w:t>16</w:t>
            </w:r>
          </w:p>
        </w:tc>
        <w:tc>
          <w:tcPr>
            <w:tcW w:w="751" w:type="pct"/>
            <w:vMerge w:val="continue"/>
            <w:shd w:val="clear" w:color="auto" w:fill="auto"/>
            <w:vAlign w:val="center"/>
          </w:tcPr>
          <w:p w14:paraId="73EAC4E4">
            <w:pPr>
              <w:pStyle w:val="44"/>
              <w:rPr>
                <w:color w:val="auto"/>
              </w:rPr>
            </w:pPr>
          </w:p>
        </w:tc>
        <w:tc>
          <w:tcPr>
            <w:tcW w:w="2416" w:type="pct"/>
            <w:shd w:val="clear" w:color="auto" w:fill="auto"/>
            <w:noWrap/>
            <w:vAlign w:val="center"/>
          </w:tcPr>
          <w:p w14:paraId="44562D83">
            <w:pPr>
              <w:pStyle w:val="44"/>
              <w:rPr>
                <w:color w:val="auto"/>
              </w:rPr>
            </w:pPr>
            <w:r>
              <w:rPr>
                <w:color w:val="auto"/>
              </w:rPr>
              <w:t>禾可香粮油</w:t>
            </w:r>
          </w:p>
        </w:tc>
        <w:tc>
          <w:tcPr>
            <w:tcW w:w="919" w:type="pct"/>
            <w:vMerge w:val="continue"/>
            <w:shd w:val="clear" w:color="auto" w:fill="auto"/>
            <w:vAlign w:val="center"/>
          </w:tcPr>
          <w:p w14:paraId="5AD34054">
            <w:pPr>
              <w:pStyle w:val="44"/>
              <w:rPr>
                <w:color w:val="auto"/>
              </w:rPr>
            </w:pPr>
          </w:p>
        </w:tc>
        <w:tc>
          <w:tcPr>
            <w:tcW w:w="528" w:type="pct"/>
            <w:shd w:val="clear" w:color="auto" w:fill="auto"/>
            <w:noWrap/>
            <w:vAlign w:val="center"/>
          </w:tcPr>
          <w:p w14:paraId="48CB96B6">
            <w:pPr>
              <w:pStyle w:val="44"/>
              <w:rPr>
                <w:color w:val="auto"/>
              </w:rPr>
            </w:pPr>
            <w:r>
              <w:rPr>
                <w:color w:val="auto"/>
              </w:rPr>
              <w:t>2015年</w:t>
            </w:r>
          </w:p>
        </w:tc>
      </w:tr>
      <w:tr w14:paraId="32519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2601D573">
            <w:pPr>
              <w:pStyle w:val="44"/>
              <w:rPr>
                <w:color w:val="auto"/>
              </w:rPr>
            </w:pPr>
            <w:r>
              <w:rPr>
                <w:color w:val="auto"/>
              </w:rPr>
              <w:t>17</w:t>
            </w:r>
          </w:p>
        </w:tc>
        <w:tc>
          <w:tcPr>
            <w:tcW w:w="751" w:type="pct"/>
            <w:vMerge w:val="continue"/>
            <w:shd w:val="clear" w:color="auto" w:fill="auto"/>
            <w:vAlign w:val="center"/>
          </w:tcPr>
          <w:p w14:paraId="7791856B">
            <w:pPr>
              <w:pStyle w:val="44"/>
              <w:rPr>
                <w:color w:val="auto"/>
              </w:rPr>
            </w:pPr>
          </w:p>
        </w:tc>
        <w:tc>
          <w:tcPr>
            <w:tcW w:w="2416" w:type="pct"/>
            <w:shd w:val="clear" w:color="auto" w:fill="auto"/>
            <w:noWrap/>
            <w:vAlign w:val="center"/>
          </w:tcPr>
          <w:p w14:paraId="59B9583A">
            <w:pPr>
              <w:pStyle w:val="44"/>
              <w:rPr>
                <w:color w:val="auto"/>
              </w:rPr>
            </w:pPr>
            <w:r>
              <w:rPr>
                <w:color w:val="auto"/>
              </w:rPr>
              <w:t>博森板业</w:t>
            </w:r>
          </w:p>
        </w:tc>
        <w:tc>
          <w:tcPr>
            <w:tcW w:w="919" w:type="pct"/>
            <w:vMerge w:val="continue"/>
            <w:shd w:val="clear" w:color="auto" w:fill="auto"/>
            <w:vAlign w:val="center"/>
          </w:tcPr>
          <w:p w14:paraId="24DB2F4F">
            <w:pPr>
              <w:pStyle w:val="44"/>
              <w:rPr>
                <w:color w:val="auto"/>
              </w:rPr>
            </w:pPr>
          </w:p>
        </w:tc>
        <w:tc>
          <w:tcPr>
            <w:tcW w:w="528" w:type="pct"/>
            <w:shd w:val="clear" w:color="auto" w:fill="auto"/>
            <w:noWrap/>
            <w:vAlign w:val="center"/>
          </w:tcPr>
          <w:p w14:paraId="5BBF32A7">
            <w:pPr>
              <w:pStyle w:val="44"/>
              <w:rPr>
                <w:color w:val="auto"/>
              </w:rPr>
            </w:pPr>
            <w:r>
              <w:rPr>
                <w:color w:val="auto"/>
              </w:rPr>
              <w:t>2014年</w:t>
            </w:r>
          </w:p>
        </w:tc>
      </w:tr>
      <w:tr w14:paraId="61A30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71158637">
            <w:pPr>
              <w:pStyle w:val="44"/>
              <w:rPr>
                <w:color w:val="auto"/>
              </w:rPr>
            </w:pPr>
            <w:r>
              <w:rPr>
                <w:color w:val="auto"/>
              </w:rPr>
              <w:t>18</w:t>
            </w:r>
          </w:p>
        </w:tc>
        <w:tc>
          <w:tcPr>
            <w:tcW w:w="751" w:type="pct"/>
            <w:vMerge w:val="continue"/>
            <w:shd w:val="clear" w:color="auto" w:fill="auto"/>
            <w:vAlign w:val="center"/>
          </w:tcPr>
          <w:p w14:paraId="3AFE80B8">
            <w:pPr>
              <w:pStyle w:val="44"/>
              <w:rPr>
                <w:color w:val="auto"/>
              </w:rPr>
            </w:pPr>
          </w:p>
        </w:tc>
        <w:tc>
          <w:tcPr>
            <w:tcW w:w="2416" w:type="pct"/>
            <w:shd w:val="clear" w:color="auto" w:fill="auto"/>
            <w:noWrap/>
            <w:vAlign w:val="center"/>
          </w:tcPr>
          <w:p w14:paraId="17B8EAE7">
            <w:pPr>
              <w:pStyle w:val="44"/>
              <w:rPr>
                <w:color w:val="auto"/>
              </w:rPr>
            </w:pPr>
            <w:r>
              <w:rPr>
                <w:color w:val="auto"/>
              </w:rPr>
              <w:t>佳怡汽车维修有限公司</w:t>
            </w:r>
          </w:p>
        </w:tc>
        <w:tc>
          <w:tcPr>
            <w:tcW w:w="919" w:type="pct"/>
            <w:vMerge w:val="continue"/>
            <w:shd w:val="clear" w:color="auto" w:fill="auto"/>
            <w:vAlign w:val="center"/>
          </w:tcPr>
          <w:p w14:paraId="557078CD">
            <w:pPr>
              <w:pStyle w:val="44"/>
              <w:rPr>
                <w:color w:val="auto"/>
              </w:rPr>
            </w:pPr>
          </w:p>
        </w:tc>
        <w:tc>
          <w:tcPr>
            <w:tcW w:w="528" w:type="pct"/>
            <w:shd w:val="clear" w:color="auto" w:fill="auto"/>
            <w:noWrap/>
            <w:vAlign w:val="center"/>
          </w:tcPr>
          <w:p w14:paraId="76A95AE0">
            <w:pPr>
              <w:pStyle w:val="44"/>
              <w:rPr>
                <w:color w:val="auto"/>
              </w:rPr>
            </w:pPr>
            <w:r>
              <w:rPr>
                <w:color w:val="auto"/>
              </w:rPr>
              <w:t>2016年</w:t>
            </w:r>
          </w:p>
        </w:tc>
      </w:tr>
      <w:tr w14:paraId="156D2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0C675A84">
            <w:pPr>
              <w:pStyle w:val="44"/>
              <w:rPr>
                <w:color w:val="auto"/>
              </w:rPr>
            </w:pPr>
            <w:r>
              <w:rPr>
                <w:color w:val="auto"/>
              </w:rPr>
              <w:t>19</w:t>
            </w:r>
          </w:p>
        </w:tc>
        <w:tc>
          <w:tcPr>
            <w:tcW w:w="751" w:type="pct"/>
            <w:vMerge w:val="continue"/>
            <w:shd w:val="clear" w:color="auto" w:fill="auto"/>
            <w:vAlign w:val="center"/>
          </w:tcPr>
          <w:p w14:paraId="5A553910">
            <w:pPr>
              <w:pStyle w:val="44"/>
              <w:rPr>
                <w:color w:val="auto"/>
              </w:rPr>
            </w:pPr>
          </w:p>
        </w:tc>
        <w:tc>
          <w:tcPr>
            <w:tcW w:w="2416" w:type="pct"/>
            <w:shd w:val="clear" w:color="auto" w:fill="auto"/>
            <w:noWrap/>
            <w:vAlign w:val="center"/>
          </w:tcPr>
          <w:p w14:paraId="721A9AE5">
            <w:pPr>
              <w:pStyle w:val="44"/>
              <w:rPr>
                <w:color w:val="auto"/>
              </w:rPr>
            </w:pPr>
            <w:r>
              <w:rPr>
                <w:color w:val="auto"/>
              </w:rPr>
              <w:t>川田门业家具有限公司</w:t>
            </w:r>
          </w:p>
        </w:tc>
        <w:tc>
          <w:tcPr>
            <w:tcW w:w="919" w:type="pct"/>
            <w:vMerge w:val="continue"/>
            <w:shd w:val="clear" w:color="auto" w:fill="auto"/>
            <w:vAlign w:val="center"/>
          </w:tcPr>
          <w:p w14:paraId="64E1FCB2">
            <w:pPr>
              <w:pStyle w:val="44"/>
              <w:rPr>
                <w:color w:val="auto"/>
              </w:rPr>
            </w:pPr>
          </w:p>
        </w:tc>
        <w:tc>
          <w:tcPr>
            <w:tcW w:w="528" w:type="pct"/>
            <w:shd w:val="clear" w:color="auto" w:fill="auto"/>
            <w:noWrap/>
            <w:vAlign w:val="center"/>
          </w:tcPr>
          <w:p w14:paraId="32C5C6FD">
            <w:pPr>
              <w:pStyle w:val="44"/>
              <w:rPr>
                <w:color w:val="auto"/>
              </w:rPr>
            </w:pPr>
            <w:r>
              <w:rPr>
                <w:color w:val="auto"/>
              </w:rPr>
              <w:t>2013年</w:t>
            </w:r>
          </w:p>
        </w:tc>
      </w:tr>
      <w:tr w14:paraId="06BDF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4A0E399D">
            <w:pPr>
              <w:pStyle w:val="44"/>
              <w:rPr>
                <w:color w:val="auto"/>
              </w:rPr>
            </w:pPr>
            <w:r>
              <w:rPr>
                <w:color w:val="auto"/>
              </w:rPr>
              <w:t>20</w:t>
            </w:r>
          </w:p>
        </w:tc>
        <w:tc>
          <w:tcPr>
            <w:tcW w:w="751" w:type="pct"/>
            <w:vMerge w:val="continue"/>
            <w:shd w:val="clear" w:color="auto" w:fill="auto"/>
            <w:vAlign w:val="center"/>
          </w:tcPr>
          <w:p w14:paraId="4FC403EF">
            <w:pPr>
              <w:pStyle w:val="44"/>
              <w:rPr>
                <w:color w:val="auto"/>
              </w:rPr>
            </w:pPr>
          </w:p>
        </w:tc>
        <w:tc>
          <w:tcPr>
            <w:tcW w:w="2416" w:type="pct"/>
            <w:shd w:val="clear" w:color="auto" w:fill="auto"/>
            <w:noWrap/>
            <w:vAlign w:val="center"/>
          </w:tcPr>
          <w:p w14:paraId="029152F4">
            <w:pPr>
              <w:pStyle w:val="44"/>
              <w:rPr>
                <w:color w:val="auto"/>
              </w:rPr>
            </w:pPr>
            <w:r>
              <w:rPr>
                <w:color w:val="auto"/>
              </w:rPr>
              <w:t>黄河摩托车有限公司</w:t>
            </w:r>
          </w:p>
        </w:tc>
        <w:tc>
          <w:tcPr>
            <w:tcW w:w="919" w:type="pct"/>
            <w:vMerge w:val="continue"/>
            <w:shd w:val="clear" w:color="auto" w:fill="auto"/>
            <w:vAlign w:val="center"/>
          </w:tcPr>
          <w:p w14:paraId="733E8D2F">
            <w:pPr>
              <w:pStyle w:val="44"/>
              <w:rPr>
                <w:color w:val="auto"/>
              </w:rPr>
            </w:pPr>
          </w:p>
        </w:tc>
        <w:tc>
          <w:tcPr>
            <w:tcW w:w="528" w:type="pct"/>
            <w:shd w:val="clear" w:color="auto" w:fill="auto"/>
            <w:noWrap/>
            <w:vAlign w:val="center"/>
          </w:tcPr>
          <w:p w14:paraId="6B776FC7">
            <w:pPr>
              <w:pStyle w:val="44"/>
              <w:rPr>
                <w:color w:val="auto"/>
              </w:rPr>
            </w:pPr>
            <w:r>
              <w:rPr>
                <w:color w:val="auto"/>
              </w:rPr>
              <w:t>2012年</w:t>
            </w:r>
          </w:p>
        </w:tc>
      </w:tr>
      <w:tr w14:paraId="43E85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72AFDD0D">
            <w:pPr>
              <w:pStyle w:val="44"/>
              <w:rPr>
                <w:color w:val="auto"/>
              </w:rPr>
            </w:pPr>
            <w:r>
              <w:rPr>
                <w:color w:val="auto"/>
              </w:rPr>
              <w:t>21</w:t>
            </w:r>
          </w:p>
        </w:tc>
        <w:tc>
          <w:tcPr>
            <w:tcW w:w="751" w:type="pct"/>
            <w:vMerge w:val="restart"/>
            <w:shd w:val="clear" w:color="auto" w:fill="auto"/>
            <w:noWrap/>
            <w:vAlign w:val="center"/>
          </w:tcPr>
          <w:p w14:paraId="42D799D1">
            <w:pPr>
              <w:pStyle w:val="44"/>
              <w:rPr>
                <w:color w:val="auto"/>
              </w:rPr>
            </w:pPr>
            <w:r>
              <w:rPr>
                <w:color w:val="auto"/>
              </w:rPr>
              <w:t>L12/02</w:t>
            </w:r>
          </w:p>
        </w:tc>
        <w:tc>
          <w:tcPr>
            <w:tcW w:w="2416" w:type="pct"/>
            <w:shd w:val="clear" w:color="auto" w:fill="auto"/>
            <w:noWrap/>
            <w:vAlign w:val="center"/>
          </w:tcPr>
          <w:p w14:paraId="57A9DC28">
            <w:pPr>
              <w:pStyle w:val="44"/>
              <w:rPr>
                <w:color w:val="auto"/>
              </w:rPr>
            </w:pPr>
            <w:r>
              <w:rPr>
                <w:color w:val="auto"/>
              </w:rPr>
              <w:t>尚润食品</w:t>
            </w:r>
          </w:p>
        </w:tc>
        <w:tc>
          <w:tcPr>
            <w:tcW w:w="919" w:type="pct"/>
            <w:vMerge w:val="restart"/>
            <w:shd w:val="clear" w:color="auto" w:fill="auto"/>
            <w:noWrap/>
            <w:vAlign w:val="center"/>
          </w:tcPr>
          <w:p w14:paraId="12DEBF21">
            <w:pPr>
              <w:pStyle w:val="44"/>
              <w:rPr>
                <w:color w:val="auto"/>
              </w:rPr>
            </w:pPr>
            <w:r>
              <w:rPr>
                <w:color w:val="auto"/>
              </w:rPr>
              <w:t>9.94</w:t>
            </w:r>
          </w:p>
        </w:tc>
        <w:tc>
          <w:tcPr>
            <w:tcW w:w="528" w:type="pct"/>
            <w:vMerge w:val="restart"/>
            <w:shd w:val="clear" w:color="auto" w:fill="auto"/>
            <w:noWrap/>
            <w:vAlign w:val="center"/>
          </w:tcPr>
          <w:p w14:paraId="2C4F70DB">
            <w:pPr>
              <w:pStyle w:val="44"/>
              <w:rPr>
                <w:color w:val="auto"/>
              </w:rPr>
            </w:pPr>
            <w:r>
              <w:rPr>
                <w:color w:val="auto"/>
              </w:rPr>
              <w:t>2015年</w:t>
            </w:r>
          </w:p>
        </w:tc>
      </w:tr>
      <w:tr w14:paraId="0DCA9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00F007F5">
            <w:pPr>
              <w:pStyle w:val="44"/>
              <w:rPr>
                <w:color w:val="auto"/>
              </w:rPr>
            </w:pPr>
            <w:r>
              <w:rPr>
                <w:color w:val="auto"/>
              </w:rPr>
              <w:t>22</w:t>
            </w:r>
          </w:p>
        </w:tc>
        <w:tc>
          <w:tcPr>
            <w:tcW w:w="751" w:type="pct"/>
            <w:vMerge w:val="continue"/>
            <w:shd w:val="clear" w:color="auto" w:fill="auto"/>
            <w:vAlign w:val="center"/>
          </w:tcPr>
          <w:p w14:paraId="32ECFCFB">
            <w:pPr>
              <w:pStyle w:val="44"/>
              <w:rPr>
                <w:color w:val="auto"/>
              </w:rPr>
            </w:pPr>
          </w:p>
        </w:tc>
        <w:tc>
          <w:tcPr>
            <w:tcW w:w="2416" w:type="pct"/>
            <w:shd w:val="clear" w:color="auto" w:fill="auto"/>
            <w:noWrap/>
            <w:vAlign w:val="center"/>
          </w:tcPr>
          <w:p w14:paraId="5D876AF0">
            <w:pPr>
              <w:pStyle w:val="44"/>
              <w:rPr>
                <w:color w:val="auto"/>
              </w:rPr>
            </w:pPr>
            <w:r>
              <w:rPr>
                <w:color w:val="auto"/>
              </w:rPr>
              <w:t>龙鼎企业中心服务平台（金科龙鼎小区）</w:t>
            </w:r>
          </w:p>
        </w:tc>
        <w:tc>
          <w:tcPr>
            <w:tcW w:w="919" w:type="pct"/>
            <w:vMerge w:val="continue"/>
            <w:vAlign w:val="center"/>
          </w:tcPr>
          <w:p w14:paraId="30CA4826">
            <w:pPr>
              <w:pStyle w:val="44"/>
              <w:rPr>
                <w:color w:val="auto"/>
              </w:rPr>
            </w:pPr>
          </w:p>
        </w:tc>
        <w:tc>
          <w:tcPr>
            <w:tcW w:w="528" w:type="pct"/>
            <w:vMerge w:val="continue"/>
            <w:vAlign w:val="center"/>
          </w:tcPr>
          <w:p w14:paraId="0C2EC38A">
            <w:pPr>
              <w:pStyle w:val="44"/>
              <w:rPr>
                <w:color w:val="auto"/>
              </w:rPr>
            </w:pPr>
          </w:p>
        </w:tc>
      </w:tr>
      <w:tr w14:paraId="392DD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0C72117F">
            <w:pPr>
              <w:pStyle w:val="44"/>
              <w:rPr>
                <w:color w:val="auto"/>
              </w:rPr>
            </w:pPr>
            <w:r>
              <w:rPr>
                <w:color w:val="auto"/>
              </w:rPr>
              <w:t>23</w:t>
            </w:r>
          </w:p>
        </w:tc>
        <w:tc>
          <w:tcPr>
            <w:tcW w:w="751" w:type="pct"/>
            <w:vMerge w:val="continue"/>
            <w:shd w:val="clear" w:color="auto" w:fill="auto"/>
            <w:vAlign w:val="center"/>
          </w:tcPr>
          <w:p w14:paraId="0214248C">
            <w:pPr>
              <w:pStyle w:val="44"/>
              <w:rPr>
                <w:color w:val="auto"/>
              </w:rPr>
            </w:pPr>
          </w:p>
        </w:tc>
        <w:tc>
          <w:tcPr>
            <w:tcW w:w="2416" w:type="pct"/>
            <w:shd w:val="clear" w:color="auto" w:fill="auto"/>
            <w:noWrap/>
            <w:vAlign w:val="center"/>
          </w:tcPr>
          <w:p w14:paraId="290074F8">
            <w:pPr>
              <w:pStyle w:val="44"/>
              <w:rPr>
                <w:color w:val="auto"/>
              </w:rPr>
            </w:pPr>
            <w:r>
              <w:rPr>
                <w:color w:val="auto"/>
              </w:rPr>
              <w:t>重庆九龙节能环保产业园管委会</w:t>
            </w:r>
          </w:p>
        </w:tc>
        <w:tc>
          <w:tcPr>
            <w:tcW w:w="919" w:type="pct"/>
            <w:vMerge w:val="continue"/>
            <w:vAlign w:val="center"/>
          </w:tcPr>
          <w:p w14:paraId="4403E411">
            <w:pPr>
              <w:pStyle w:val="44"/>
              <w:rPr>
                <w:color w:val="auto"/>
              </w:rPr>
            </w:pPr>
          </w:p>
        </w:tc>
        <w:tc>
          <w:tcPr>
            <w:tcW w:w="528" w:type="pct"/>
            <w:vMerge w:val="continue"/>
            <w:vAlign w:val="center"/>
          </w:tcPr>
          <w:p w14:paraId="2ABA5E18">
            <w:pPr>
              <w:pStyle w:val="44"/>
              <w:rPr>
                <w:color w:val="auto"/>
              </w:rPr>
            </w:pPr>
          </w:p>
        </w:tc>
      </w:tr>
      <w:tr w14:paraId="4FACA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52AF14AA">
            <w:pPr>
              <w:pStyle w:val="44"/>
              <w:rPr>
                <w:color w:val="auto"/>
              </w:rPr>
            </w:pPr>
            <w:r>
              <w:rPr>
                <w:color w:val="auto"/>
              </w:rPr>
              <w:t>24</w:t>
            </w:r>
          </w:p>
        </w:tc>
        <w:tc>
          <w:tcPr>
            <w:tcW w:w="751" w:type="pct"/>
            <w:vMerge w:val="continue"/>
            <w:shd w:val="clear" w:color="auto" w:fill="auto"/>
            <w:vAlign w:val="center"/>
          </w:tcPr>
          <w:p w14:paraId="7B3C4DDB">
            <w:pPr>
              <w:pStyle w:val="44"/>
              <w:rPr>
                <w:color w:val="auto"/>
              </w:rPr>
            </w:pPr>
          </w:p>
        </w:tc>
        <w:tc>
          <w:tcPr>
            <w:tcW w:w="2416" w:type="pct"/>
            <w:shd w:val="clear" w:color="auto" w:fill="auto"/>
            <w:noWrap/>
            <w:vAlign w:val="center"/>
          </w:tcPr>
          <w:p w14:paraId="62A2823B">
            <w:pPr>
              <w:pStyle w:val="44"/>
              <w:rPr>
                <w:color w:val="auto"/>
              </w:rPr>
            </w:pPr>
            <w:r>
              <w:rPr>
                <w:color w:val="auto"/>
              </w:rPr>
              <w:t>深圳前海股权交易中心梧桐上市孵化基地</w:t>
            </w:r>
          </w:p>
        </w:tc>
        <w:tc>
          <w:tcPr>
            <w:tcW w:w="919" w:type="pct"/>
            <w:vMerge w:val="continue"/>
            <w:vAlign w:val="center"/>
          </w:tcPr>
          <w:p w14:paraId="027324C9">
            <w:pPr>
              <w:pStyle w:val="44"/>
              <w:rPr>
                <w:color w:val="auto"/>
              </w:rPr>
            </w:pPr>
          </w:p>
        </w:tc>
        <w:tc>
          <w:tcPr>
            <w:tcW w:w="528" w:type="pct"/>
            <w:vMerge w:val="continue"/>
            <w:vAlign w:val="center"/>
          </w:tcPr>
          <w:p w14:paraId="70AF86F2">
            <w:pPr>
              <w:pStyle w:val="44"/>
              <w:rPr>
                <w:color w:val="auto"/>
              </w:rPr>
            </w:pPr>
          </w:p>
        </w:tc>
      </w:tr>
      <w:tr w14:paraId="45586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52A1852F">
            <w:pPr>
              <w:pStyle w:val="44"/>
              <w:rPr>
                <w:color w:val="auto"/>
              </w:rPr>
            </w:pPr>
            <w:r>
              <w:rPr>
                <w:color w:val="auto"/>
              </w:rPr>
              <w:t>25</w:t>
            </w:r>
          </w:p>
        </w:tc>
        <w:tc>
          <w:tcPr>
            <w:tcW w:w="751" w:type="pct"/>
            <w:vMerge w:val="continue"/>
            <w:shd w:val="clear" w:color="auto" w:fill="auto"/>
            <w:vAlign w:val="center"/>
          </w:tcPr>
          <w:p w14:paraId="421AFA7D">
            <w:pPr>
              <w:pStyle w:val="44"/>
              <w:rPr>
                <w:color w:val="auto"/>
              </w:rPr>
            </w:pPr>
          </w:p>
        </w:tc>
        <w:tc>
          <w:tcPr>
            <w:tcW w:w="2416" w:type="pct"/>
            <w:shd w:val="clear" w:color="auto" w:fill="auto"/>
            <w:noWrap/>
            <w:vAlign w:val="center"/>
          </w:tcPr>
          <w:p w14:paraId="5829C89C">
            <w:pPr>
              <w:pStyle w:val="44"/>
              <w:rPr>
                <w:color w:val="auto"/>
              </w:rPr>
            </w:pPr>
            <w:r>
              <w:rPr>
                <w:color w:val="auto"/>
              </w:rPr>
              <w:t>春风机电</w:t>
            </w:r>
          </w:p>
        </w:tc>
        <w:tc>
          <w:tcPr>
            <w:tcW w:w="919" w:type="pct"/>
            <w:vMerge w:val="continue"/>
            <w:vAlign w:val="center"/>
          </w:tcPr>
          <w:p w14:paraId="65EBA0AC">
            <w:pPr>
              <w:pStyle w:val="44"/>
              <w:rPr>
                <w:color w:val="auto"/>
              </w:rPr>
            </w:pPr>
          </w:p>
        </w:tc>
        <w:tc>
          <w:tcPr>
            <w:tcW w:w="528" w:type="pct"/>
            <w:vMerge w:val="continue"/>
            <w:vAlign w:val="center"/>
          </w:tcPr>
          <w:p w14:paraId="4D1F45A6">
            <w:pPr>
              <w:pStyle w:val="44"/>
              <w:rPr>
                <w:color w:val="auto"/>
              </w:rPr>
            </w:pPr>
          </w:p>
        </w:tc>
      </w:tr>
      <w:tr w14:paraId="2EBBF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6C4E0002">
            <w:pPr>
              <w:pStyle w:val="44"/>
              <w:rPr>
                <w:color w:val="auto"/>
              </w:rPr>
            </w:pPr>
            <w:r>
              <w:rPr>
                <w:color w:val="auto"/>
              </w:rPr>
              <w:t>26</w:t>
            </w:r>
          </w:p>
        </w:tc>
        <w:tc>
          <w:tcPr>
            <w:tcW w:w="751" w:type="pct"/>
            <w:vMerge w:val="restart"/>
            <w:shd w:val="clear" w:color="auto" w:fill="auto"/>
            <w:noWrap/>
            <w:vAlign w:val="center"/>
          </w:tcPr>
          <w:p w14:paraId="7E5DB340">
            <w:pPr>
              <w:pStyle w:val="44"/>
              <w:rPr>
                <w:color w:val="auto"/>
              </w:rPr>
            </w:pPr>
            <w:r>
              <w:rPr>
                <w:color w:val="auto"/>
              </w:rPr>
              <w:t>L13-01/02</w:t>
            </w:r>
          </w:p>
        </w:tc>
        <w:tc>
          <w:tcPr>
            <w:tcW w:w="2416" w:type="pct"/>
            <w:shd w:val="clear" w:color="auto" w:fill="auto"/>
            <w:noWrap/>
            <w:vAlign w:val="center"/>
          </w:tcPr>
          <w:p w14:paraId="2BBFDC73">
            <w:pPr>
              <w:pStyle w:val="44"/>
              <w:rPr>
                <w:color w:val="auto"/>
              </w:rPr>
            </w:pPr>
            <w:r>
              <w:rPr>
                <w:color w:val="auto"/>
              </w:rPr>
              <w:t>九龙智能制造产业园（帅能、多鎏实业、海泉等企业）</w:t>
            </w:r>
          </w:p>
        </w:tc>
        <w:tc>
          <w:tcPr>
            <w:tcW w:w="919" w:type="pct"/>
            <w:vMerge w:val="restart"/>
            <w:shd w:val="clear" w:color="auto" w:fill="auto"/>
            <w:noWrap/>
            <w:vAlign w:val="center"/>
          </w:tcPr>
          <w:p w14:paraId="5B22CD05">
            <w:pPr>
              <w:pStyle w:val="44"/>
              <w:rPr>
                <w:color w:val="auto"/>
              </w:rPr>
            </w:pPr>
            <w:r>
              <w:rPr>
                <w:color w:val="auto"/>
              </w:rPr>
              <w:t>6.82</w:t>
            </w:r>
          </w:p>
        </w:tc>
        <w:tc>
          <w:tcPr>
            <w:tcW w:w="528" w:type="pct"/>
            <w:vMerge w:val="restart"/>
            <w:shd w:val="clear" w:color="auto" w:fill="auto"/>
            <w:noWrap/>
            <w:vAlign w:val="center"/>
          </w:tcPr>
          <w:p w14:paraId="291D0BC2">
            <w:pPr>
              <w:pStyle w:val="44"/>
              <w:rPr>
                <w:color w:val="auto"/>
              </w:rPr>
            </w:pPr>
            <w:r>
              <w:rPr>
                <w:color w:val="auto"/>
              </w:rPr>
              <w:t>2016年</w:t>
            </w:r>
          </w:p>
        </w:tc>
      </w:tr>
      <w:tr w14:paraId="42180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0D2F3959">
            <w:pPr>
              <w:pStyle w:val="44"/>
              <w:rPr>
                <w:color w:val="auto"/>
              </w:rPr>
            </w:pPr>
            <w:r>
              <w:rPr>
                <w:color w:val="auto"/>
              </w:rPr>
              <w:t>27</w:t>
            </w:r>
          </w:p>
        </w:tc>
        <w:tc>
          <w:tcPr>
            <w:tcW w:w="751" w:type="pct"/>
            <w:vMerge w:val="continue"/>
            <w:shd w:val="clear" w:color="auto" w:fill="auto"/>
            <w:vAlign w:val="center"/>
          </w:tcPr>
          <w:p w14:paraId="79728D70">
            <w:pPr>
              <w:pStyle w:val="44"/>
              <w:rPr>
                <w:color w:val="auto"/>
              </w:rPr>
            </w:pPr>
          </w:p>
        </w:tc>
        <w:tc>
          <w:tcPr>
            <w:tcW w:w="2416" w:type="pct"/>
            <w:shd w:val="clear" w:color="auto" w:fill="auto"/>
            <w:noWrap/>
            <w:vAlign w:val="center"/>
          </w:tcPr>
          <w:p w14:paraId="5AA6F105">
            <w:pPr>
              <w:pStyle w:val="44"/>
              <w:rPr>
                <w:color w:val="auto"/>
              </w:rPr>
            </w:pPr>
            <w:r>
              <w:rPr>
                <w:color w:val="auto"/>
              </w:rPr>
              <w:t>九龙节能环保产业园（龙鼎企业中心）</w:t>
            </w:r>
          </w:p>
        </w:tc>
        <w:tc>
          <w:tcPr>
            <w:tcW w:w="919" w:type="pct"/>
            <w:vMerge w:val="continue"/>
            <w:vAlign w:val="center"/>
          </w:tcPr>
          <w:p w14:paraId="6D026F5B">
            <w:pPr>
              <w:pStyle w:val="44"/>
              <w:rPr>
                <w:color w:val="auto"/>
              </w:rPr>
            </w:pPr>
          </w:p>
        </w:tc>
        <w:tc>
          <w:tcPr>
            <w:tcW w:w="528" w:type="pct"/>
            <w:vMerge w:val="continue"/>
            <w:vAlign w:val="center"/>
          </w:tcPr>
          <w:p w14:paraId="63CD6762">
            <w:pPr>
              <w:pStyle w:val="44"/>
              <w:rPr>
                <w:color w:val="auto"/>
              </w:rPr>
            </w:pPr>
          </w:p>
        </w:tc>
      </w:tr>
      <w:tr w14:paraId="030A8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2C78B8FD">
            <w:pPr>
              <w:pStyle w:val="44"/>
              <w:rPr>
                <w:color w:val="auto"/>
              </w:rPr>
            </w:pPr>
            <w:r>
              <w:rPr>
                <w:color w:val="auto"/>
              </w:rPr>
              <w:t>28</w:t>
            </w:r>
          </w:p>
        </w:tc>
        <w:tc>
          <w:tcPr>
            <w:tcW w:w="751" w:type="pct"/>
            <w:vMerge w:val="restart"/>
            <w:shd w:val="clear" w:color="auto" w:fill="auto"/>
            <w:noWrap/>
            <w:vAlign w:val="center"/>
          </w:tcPr>
          <w:p w14:paraId="5253C6AD">
            <w:pPr>
              <w:pStyle w:val="44"/>
              <w:rPr>
                <w:color w:val="auto"/>
              </w:rPr>
            </w:pPr>
            <w:r>
              <w:rPr>
                <w:color w:val="auto"/>
              </w:rPr>
              <w:t>L14-02/02</w:t>
            </w:r>
          </w:p>
        </w:tc>
        <w:tc>
          <w:tcPr>
            <w:tcW w:w="2416" w:type="pct"/>
            <w:shd w:val="clear" w:color="auto" w:fill="auto"/>
            <w:noWrap/>
            <w:vAlign w:val="center"/>
          </w:tcPr>
          <w:p w14:paraId="6D2208DE">
            <w:pPr>
              <w:pStyle w:val="44"/>
              <w:rPr>
                <w:color w:val="auto"/>
              </w:rPr>
            </w:pPr>
            <w:r>
              <w:rPr>
                <w:color w:val="auto"/>
              </w:rPr>
              <w:t>凯正机电</w:t>
            </w:r>
          </w:p>
        </w:tc>
        <w:tc>
          <w:tcPr>
            <w:tcW w:w="919" w:type="pct"/>
            <w:vMerge w:val="restart"/>
            <w:shd w:val="clear" w:color="auto" w:fill="auto"/>
            <w:noWrap/>
            <w:vAlign w:val="center"/>
          </w:tcPr>
          <w:p w14:paraId="2D27DF20">
            <w:pPr>
              <w:pStyle w:val="44"/>
              <w:rPr>
                <w:color w:val="auto"/>
              </w:rPr>
            </w:pPr>
            <w:r>
              <w:rPr>
                <w:color w:val="auto"/>
              </w:rPr>
              <w:t>4</w:t>
            </w:r>
          </w:p>
        </w:tc>
        <w:tc>
          <w:tcPr>
            <w:tcW w:w="528" w:type="pct"/>
            <w:vMerge w:val="restart"/>
            <w:shd w:val="clear" w:color="auto" w:fill="auto"/>
            <w:noWrap/>
            <w:vAlign w:val="center"/>
          </w:tcPr>
          <w:p w14:paraId="0433AA92">
            <w:pPr>
              <w:pStyle w:val="44"/>
              <w:rPr>
                <w:color w:val="auto"/>
              </w:rPr>
            </w:pPr>
            <w:r>
              <w:rPr>
                <w:color w:val="auto"/>
              </w:rPr>
              <w:t>2016年</w:t>
            </w:r>
          </w:p>
        </w:tc>
      </w:tr>
      <w:tr w14:paraId="514FE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17368345">
            <w:pPr>
              <w:pStyle w:val="44"/>
              <w:rPr>
                <w:color w:val="auto"/>
              </w:rPr>
            </w:pPr>
            <w:r>
              <w:rPr>
                <w:color w:val="auto"/>
              </w:rPr>
              <w:t>29</w:t>
            </w:r>
          </w:p>
        </w:tc>
        <w:tc>
          <w:tcPr>
            <w:tcW w:w="751" w:type="pct"/>
            <w:vMerge w:val="continue"/>
            <w:shd w:val="clear" w:color="auto" w:fill="auto"/>
            <w:vAlign w:val="center"/>
          </w:tcPr>
          <w:p w14:paraId="51448E24">
            <w:pPr>
              <w:pStyle w:val="44"/>
              <w:rPr>
                <w:color w:val="auto"/>
              </w:rPr>
            </w:pPr>
          </w:p>
        </w:tc>
        <w:tc>
          <w:tcPr>
            <w:tcW w:w="2416" w:type="pct"/>
            <w:shd w:val="clear" w:color="auto" w:fill="auto"/>
            <w:noWrap/>
            <w:vAlign w:val="center"/>
          </w:tcPr>
          <w:p w14:paraId="5BEB1660">
            <w:pPr>
              <w:pStyle w:val="44"/>
              <w:rPr>
                <w:color w:val="auto"/>
              </w:rPr>
            </w:pPr>
            <w:r>
              <w:rPr>
                <w:color w:val="auto"/>
              </w:rPr>
              <w:t>万通标件</w:t>
            </w:r>
          </w:p>
        </w:tc>
        <w:tc>
          <w:tcPr>
            <w:tcW w:w="919" w:type="pct"/>
            <w:vMerge w:val="continue"/>
            <w:vAlign w:val="center"/>
          </w:tcPr>
          <w:p w14:paraId="05C46825">
            <w:pPr>
              <w:pStyle w:val="44"/>
              <w:rPr>
                <w:color w:val="auto"/>
              </w:rPr>
            </w:pPr>
          </w:p>
        </w:tc>
        <w:tc>
          <w:tcPr>
            <w:tcW w:w="528" w:type="pct"/>
            <w:vMerge w:val="continue"/>
            <w:vAlign w:val="center"/>
          </w:tcPr>
          <w:p w14:paraId="77B9313B">
            <w:pPr>
              <w:pStyle w:val="44"/>
              <w:rPr>
                <w:color w:val="auto"/>
              </w:rPr>
            </w:pPr>
          </w:p>
        </w:tc>
      </w:tr>
      <w:tr w14:paraId="607C7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3AF4C7C4">
            <w:pPr>
              <w:pStyle w:val="44"/>
              <w:rPr>
                <w:color w:val="auto"/>
              </w:rPr>
            </w:pPr>
            <w:r>
              <w:rPr>
                <w:color w:val="auto"/>
              </w:rPr>
              <w:t>30</w:t>
            </w:r>
          </w:p>
        </w:tc>
        <w:tc>
          <w:tcPr>
            <w:tcW w:w="751" w:type="pct"/>
            <w:vMerge w:val="continue"/>
            <w:shd w:val="clear" w:color="auto" w:fill="auto"/>
            <w:vAlign w:val="center"/>
          </w:tcPr>
          <w:p w14:paraId="1A15C675">
            <w:pPr>
              <w:pStyle w:val="44"/>
              <w:rPr>
                <w:color w:val="auto"/>
              </w:rPr>
            </w:pPr>
          </w:p>
        </w:tc>
        <w:tc>
          <w:tcPr>
            <w:tcW w:w="2416" w:type="pct"/>
            <w:shd w:val="clear" w:color="auto" w:fill="auto"/>
            <w:noWrap/>
            <w:vAlign w:val="center"/>
          </w:tcPr>
          <w:p w14:paraId="204EE6EF">
            <w:pPr>
              <w:pStyle w:val="44"/>
              <w:rPr>
                <w:color w:val="auto"/>
              </w:rPr>
            </w:pPr>
            <w:r>
              <w:rPr>
                <w:color w:val="auto"/>
              </w:rPr>
              <w:t>虎劲工业</w:t>
            </w:r>
          </w:p>
        </w:tc>
        <w:tc>
          <w:tcPr>
            <w:tcW w:w="919" w:type="pct"/>
            <w:vMerge w:val="continue"/>
            <w:vAlign w:val="center"/>
          </w:tcPr>
          <w:p w14:paraId="20EF4DD8">
            <w:pPr>
              <w:pStyle w:val="44"/>
              <w:rPr>
                <w:color w:val="auto"/>
              </w:rPr>
            </w:pPr>
          </w:p>
        </w:tc>
        <w:tc>
          <w:tcPr>
            <w:tcW w:w="528" w:type="pct"/>
            <w:vMerge w:val="continue"/>
            <w:vAlign w:val="center"/>
          </w:tcPr>
          <w:p w14:paraId="08BF5A09">
            <w:pPr>
              <w:pStyle w:val="44"/>
              <w:rPr>
                <w:color w:val="auto"/>
              </w:rPr>
            </w:pPr>
          </w:p>
        </w:tc>
      </w:tr>
      <w:tr w14:paraId="43E6C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68B65CE6">
            <w:pPr>
              <w:pStyle w:val="44"/>
              <w:rPr>
                <w:color w:val="auto"/>
              </w:rPr>
            </w:pPr>
            <w:r>
              <w:rPr>
                <w:color w:val="auto"/>
              </w:rPr>
              <w:t>31</w:t>
            </w:r>
          </w:p>
        </w:tc>
        <w:tc>
          <w:tcPr>
            <w:tcW w:w="751" w:type="pct"/>
            <w:shd w:val="clear" w:color="auto" w:fill="auto"/>
            <w:noWrap/>
            <w:vAlign w:val="center"/>
          </w:tcPr>
          <w:p w14:paraId="534A64EB">
            <w:pPr>
              <w:pStyle w:val="44"/>
              <w:rPr>
                <w:color w:val="auto"/>
              </w:rPr>
            </w:pPr>
            <w:r>
              <w:rPr>
                <w:color w:val="auto"/>
              </w:rPr>
              <w:t>L14-05/02</w:t>
            </w:r>
          </w:p>
        </w:tc>
        <w:tc>
          <w:tcPr>
            <w:tcW w:w="2416" w:type="pct"/>
            <w:shd w:val="clear" w:color="auto" w:fill="auto"/>
            <w:noWrap/>
            <w:vAlign w:val="center"/>
          </w:tcPr>
          <w:p w14:paraId="6292B402">
            <w:pPr>
              <w:pStyle w:val="44"/>
              <w:rPr>
                <w:color w:val="auto"/>
              </w:rPr>
            </w:pPr>
            <w:r>
              <w:rPr>
                <w:color w:val="auto"/>
              </w:rPr>
              <w:t>重庆维冠混凝土有限公司</w:t>
            </w:r>
          </w:p>
        </w:tc>
        <w:tc>
          <w:tcPr>
            <w:tcW w:w="919" w:type="pct"/>
            <w:shd w:val="clear" w:color="auto" w:fill="auto"/>
            <w:noWrap/>
            <w:vAlign w:val="center"/>
          </w:tcPr>
          <w:p w14:paraId="696FB712">
            <w:pPr>
              <w:pStyle w:val="44"/>
              <w:rPr>
                <w:color w:val="auto"/>
              </w:rPr>
            </w:pPr>
            <w:r>
              <w:rPr>
                <w:color w:val="auto"/>
              </w:rPr>
              <w:t>6.89</w:t>
            </w:r>
          </w:p>
        </w:tc>
        <w:tc>
          <w:tcPr>
            <w:tcW w:w="528" w:type="pct"/>
            <w:shd w:val="clear" w:color="auto" w:fill="auto"/>
            <w:noWrap/>
            <w:vAlign w:val="center"/>
          </w:tcPr>
          <w:p w14:paraId="61593BB9">
            <w:pPr>
              <w:pStyle w:val="44"/>
              <w:rPr>
                <w:color w:val="auto"/>
              </w:rPr>
            </w:pPr>
            <w:r>
              <w:rPr>
                <w:color w:val="auto"/>
              </w:rPr>
              <w:t>2011年</w:t>
            </w:r>
          </w:p>
        </w:tc>
      </w:tr>
      <w:tr w14:paraId="310C9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573B053F">
            <w:pPr>
              <w:pStyle w:val="44"/>
              <w:rPr>
                <w:color w:val="auto"/>
              </w:rPr>
            </w:pPr>
            <w:r>
              <w:rPr>
                <w:color w:val="auto"/>
              </w:rPr>
              <w:t>32</w:t>
            </w:r>
          </w:p>
        </w:tc>
        <w:tc>
          <w:tcPr>
            <w:tcW w:w="751" w:type="pct"/>
            <w:vMerge w:val="restart"/>
            <w:shd w:val="clear" w:color="auto" w:fill="auto"/>
            <w:noWrap/>
            <w:vAlign w:val="center"/>
          </w:tcPr>
          <w:p w14:paraId="12090150">
            <w:pPr>
              <w:pStyle w:val="44"/>
              <w:rPr>
                <w:color w:val="auto"/>
              </w:rPr>
            </w:pPr>
            <w:r>
              <w:rPr>
                <w:color w:val="auto"/>
              </w:rPr>
              <w:t>L15-01-1/04</w:t>
            </w:r>
          </w:p>
        </w:tc>
        <w:tc>
          <w:tcPr>
            <w:tcW w:w="2416" w:type="pct"/>
            <w:shd w:val="clear" w:color="auto" w:fill="auto"/>
            <w:noWrap/>
            <w:vAlign w:val="center"/>
          </w:tcPr>
          <w:p w14:paraId="098C8941">
            <w:pPr>
              <w:pStyle w:val="44"/>
              <w:rPr>
                <w:color w:val="auto"/>
              </w:rPr>
            </w:pPr>
            <w:r>
              <w:rPr>
                <w:color w:val="auto"/>
              </w:rPr>
              <w:t>士杰铝业</w:t>
            </w:r>
          </w:p>
        </w:tc>
        <w:tc>
          <w:tcPr>
            <w:tcW w:w="919" w:type="pct"/>
            <w:vMerge w:val="restart"/>
            <w:shd w:val="clear" w:color="auto" w:fill="auto"/>
            <w:noWrap/>
            <w:vAlign w:val="center"/>
          </w:tcPr>
          <w:p w14:paraId="06182385">
            <w:pPr>
              <w:pStyle w:val="44"/>
              <w:rPr>
                <w:color w:val="auto"/>
              </w:rPr>
            </w:pPr>
            <w:r>
              <w:rPr>
                <w:color w:val="auto"/>
              </w:rPr>
              <w:t>6.22</w:t>
            </w:r>
          </w:p>
        </w:tc>
        <w:tc>
          <w:tcPr>
            <w:tcW w:w="528" w:type="pct"/>
            <w:shd w:val="clear" w:color="auto" w:fill="auto"/>
            <w:noWrap/>
            <w:vAlign w:val="center"/>
          </w:tcPr>
          <w:p w14:paraId="37274E1F">
            <w:pPr>
              <w:pStyle w:val="44"/>
              <w:rPr>
                <w:color w:val="auto"/>
              </w:rPr>
            </w:pPr>
            <w:r>
              <w:rPr>
                <w:color w:val="auto"/>
              </w:rPr>
              <w:t>2014年</w:t>
            </w:r>
          </w:p>
        </w:tc>
      </w:tr>
      <w:tr w14:paraId="37C8B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4CE40DF4">
            <w:pPr>
              <w:pStyle w:val="44"/>
              <w:rPr>
                <w:color w:val="auto"/>
              </w:rPr>
            </w:pPr>
            <w:r>
              <w:rPr>
                <w:color w:val="auto"/>
              </w:rPr>
              <w:t>33</w:t>
            </w:r>
          </w:p>
        </w:tc>
        <w:tc>
          <w:tcPr>
            <w:tcW w:w="751" w:type="pct"/>
            <w:vMerge w:val="continue"/>
            <w:shd w:val="clear" w:color="auto" w:fill="auto"/>
            <w:vAlign w:val="center"/>
          </w:tcPr>
          <w:p w14:paraId="41F724F7">
            <w:pPr>
              <w:pStyle w:val="44"/>
              <w:rPr>
                <w:color w:val="auto"/>
              </w:rPr>
            </w:pPr>
          </w:p>
        </w:tc>
        <w:tc>
          <w:tcPr>
            <w:tcW w:w="2416" w:type="pct"/>
            <w:shd w:val="clear" w:color="auto" w:fill="auto"/>
            <w:noWrap/>
            <w:vAlign w:val="center"/>
          </w:tcPr>
          <w:p w14:paraId="0088B5C2">
            <w:pPr>
              <w:pStyle w:val="44"/>
              <w:rPr>
                <w:color w:val="auto"/>
              </w:rPr>
            </w:pPr>
            <w:r>
              <w:rPr>
                <w:color w:val="auto"/>
              </w:rPr>
              <w:t>旭光科技</w:t>
            </w:r>
          </w:p>
        </w:tc>
        <w:tc>
          <w:tcPr>
            <w:tcW w:w="919" w:type="pct"/>
            <w:vMerge w:val="continue"/>
            <w:shd w:val="clear" w:color="auto" w:fill="auto"/>
            <w:vAlign w:val="center"/>
          </w:tcPr>
          <w:p w14:paraId="63002310">
            <w:pPr>
              <w:pStyle w:val="44"/>
              <w:rPr>
                <w:color w:val="auto"/>
              </w:rPr>
            </w:pPr>
          </w:p>
        </w:tc>
        <w:tc>
          <w:tcPr>
            <w:tcW w:w="528" w:type="pct"/>
            <w:shd w:val="clear" w:color="auto" w:fill="auto"/>
            <w:noWrap/>
            <w:vAlign w:val="center"/>
          </w:tcPr>
          <w:p w14:paraId="238780A7">
            <w:pPr>
              <w:pStyle w:val="44"/>
              <w:rPr>
                <w:color w:val="auto"/>
              </w:rPr>
            </w:pPr>
            <w:r>
              <w:rPr>
                <w:color w:val="auto"/>
              </w:rPr>
              <w:t>2015年</w:t>
            </w:r>
          </w:p>
        </w:tc>
      </w:tr>
      <w:tr w14:paraId="75270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1B926E16">
            <w:pPr>
              <w:pStyle w:val="44"/>
              <w:rPr>
                <w:color w:val="auto"/>
              </w:rPr>
            </w:pPr>
            <w:r>
              <w:rPr>
                <w:color w:val="auto"/>
              </w:rPr>
              <w:t>34</w:t>
            </w:r>
          </w:p>
        </w:tc>
        <w:tc>
          <w:tcPr>
            <w:tcW w:w="751" w:type="pct"/>
            <w:vMerge w:val="continue"/>
            <w:shd w:val="clear" w:color="auto" w:fill="auto"/>
            <w:vAlign w:val="center"/>
          </w:tcPr>
          <w:p w14:paraId="2F10CB56">
            <w:pPr>
              <w:pStyle w:val="44"/>
              <w:rPr>
                <w:color w:val="auto"/>
              </w:rPr>
            </w:pPr>
          </w:p>
        </w:tc>
        <w:tc>
          <w:tcPr>
            <w:tcW w:w="2416" w:type="pct"/>
            <w:shd w:val="clear" w:color="auto" w:fill="auto"/>
            <w:noWrap/>
            <w:vAlign w:val="center"/>
          </w:tcPr>
          <w:p w14:paraId="565F2B38">
            <w:pPr>
              <w:pStyle w:val="44"/>
              <w:rPr>
                <w:color w:val="auto"/>
              </w:rPr>
            </w:pPr>
            <w:r>
              <w:rPr>
                <w:color w:val="auto"/>
              </w:rPr>
              <w:t>匠心装饰材料</w:t>
            </w:r>
          </w:p>
        </w:tc>
        <w:tc>
          <w:tcPr>
            <w:tcW w:w="919" w:type="pct"/>
            <w:vMerge w:val="continue"/>
            <w:shd w:val="clear" w:color="auto" w:fill="auto"/>
            <w:vAlign w:val="center"/>
          </w:tcPr>
          <w:p w14:paraId="7CFA6EF2">
            <w:pPr>
              <w:pStyle w:val="44"/>
              <w:rPr>
                <w:color w:val="auto"/>
              </w:rPr>
            </w:pPr>
          </w:p>
        </w:tc>
        <w:tc>
          <w:tcPr>
            <w:tcW w:w="528" w:type="pct"/>
            <w:shd w:val="clear" w:color="auto" w:fill="auto"/>
            <w:noWrap/>
            <w:vAlign w:val="center"/>
          </w:tcPr>
          <w:p w14:paraId="70FE60C4">
            <w:pPr>
              <w:pStyle w:val="44"/>
              <w:rPr>
                <w:color w:val="auto"/>
              </w:rPr>
            </w:pPr>
            <w:r>
              <w:rPr>
                <w:color w:val="auto"/>
              </w:rPr>
              <w:t>2013年</w:t>
            </w:r>
          </w:p>
        </w:tc>
      </w:tr>
      <w:tr w14:paraId="065A1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44FEEA13">
            <w:pPr>
              <w:pStyle w:val="44"/>
              <w:rPr>
                <w:color w:val="auto"/>
              </w:rPr>
            </w:pPr>
            <w:r>
              <w:rPr>
                <w:color w:val="auto"/>
              </w:rPr>
              <w:t>35</w:t>
            </w:r>
          </w:p>
        </w:tc>
        <w:tc>
          <w:tcPr>
            <w:tcW w:w="751" w:type="pct"/>
            <w:vMerge w:val="continue"/>
            <w:shd w:val="clear" w:color="auto" w:fill="auto"/>
            <w:vAlign w:val="center"/>
          </w:tcPr>
          <w:p w14:paraId="55AA7A2B">
            <w:pPr>
              <w:pStyle w:val="44"/>
              <w:rPr>
                <w:color w:val="auto"/>
              </w:rPr>
            </w:pPr>
          </w:p>
        </w:tc>
        <w:tc>
          <w:tcPr>
            <w:tcW w:w="2416" w:type="pct"/>
            <w:shd w:val="clear" w:color="auto" w:fill="auto"/>
            <w:noWrap/>
            <w:vAlign w:val="center"/>
          </w:tcPr>
          <w:p w14:paraId="573F7885">
            <w:pPr>
              <w:pStyle w:val="44"/>
              <w:rPr>
                <w:color w:val="auto"/>
              </w:rPr>
            </w:pPr>
            <w:r>
              <w:rPr>
                <w:color w:val="auto"/>
              </w:rPr>
              <w:t>乔森建材</w:t>
            </w:r>
          </w:p>
        </w:tc>
        <w:tc>
          <w:tcPr>
            <w:tcW w:w="919" w:type="pct"/>
            <w:vMerge w:val="continue"/>
            <w:shd w:val="clear" w:color="auto" w:fill="auto"/>
            <w:vAlign w:val="center"/>
          </w:tcPr>
          <w:p w14:paraId="301516D7">
            <w:pPr>
              <w:pStyle w:val="44"/>
              <w:rPr>
                <w:color w:val="auto"/>
              </w:rPr>
            </w:pPr>
          </w:p>
        </w:tc>
        <w:tc>
          <w:tcPr>
            <w:tcW w:w="528" w:type="pct"/>
            <w:shd w:val="clear" w:color="auto" w:fill="auto"/>
            <w:noWrap/>
            <w:vAlign w:val="center"/>
          </w:tcPr>
          <w:p w14:paraId="0E489FAA">
            <w:pPr>
              <w:pStyle w:val="44"/>
              <w:rPr>
                <w:color w:val="auto"/>
              </w:rPr>
            </w:pPr>
            <w:r>
              <w:rPr>
                <w:color w:val="auto"/>
              </w:rPr>
              <w:t xml:space="preserve">2012年 </w:t>
            </w:r>
          </w:p>
        </w:tc>
      </w:tr>
      <w:tr w14:paraId="3824F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258A812D">
            <w:pPr>
              <w:pStyle w:val="44"/>
              <w:rPr>
                <w:color w:val="auto"/>
              </w:rPr>
            </w:pPr>
            <w:r>
              <w:rPr>
                <w:color w:val="auto"/>
              </w:rPr>
              <w:t>36</w:t>
            </w:r>
          </w:p>
        </w:tc>
        <w:tc>
          <w:tcPr>
            <w:tcW w:w="751" w:type="pct"/>
            <w:vMerge w:val="restart"/>
            <w:shd w:val="clear" w:color="auto" w:fill="auto"/>
            <w:noWrap/>
            <w:vAlign w:val="center"/>
          </w:tcPr>
          <w:p w14:paraId="279D3806">
            <w:pPr>
              <w:pStyle w:val="44"/>
              <w:rPr>
                <w:color w:val="auto"/>
              </w:rPr>
            </w:pPr>
            <w:r>
              <w:rPr>
                <w:color w:val="auto"/>
              </w:rPr>
              <w:t>L15-01-2/04</w:t>
            </w:r>
          </w:p>
        </w:tc>
        <w:tc>
          <w:tcPr>
            <w:tcW w:w="2416" w:type="pct"/>
            <w:shd w:val="clear" w:color="auto" w:fill="auto"/>
            <w:noWrap/>
            <w:vAlign w:val="center"/>
          </w:tcPr>
          <w:p w14:paraId="7EFDCDCE">
            <w:pPr>
              <w:pStyle w:val="44"/>
              <w:rPr>
                <w:color w:val="auto"/>
              </w:rPr>
            </w:pPr>
            <w:r>
              <w:rPr>
                <w:color w:val="auto"/>
              </w:rPr>
              <w:t>重庆中瀚铝业有限公司</w:t>
            </w:r>
          </w:p>
        </w:tc>
        <w:tc>
          <w:tcPr>
            <w:tcW w:w="919" w:type="pct"/>
            <w:vMerge w:val="restart"/>
            <w:shd w:val="clear" w:color="auto" w:fill="auto"/>
            <w:noWrap/>
            <w:vAlign w:val="center"/>
          </w:tcPr>
          <w:p w14:paraId="40A76655">
            <w:pPr>
              <w:pStyle w:val="44"/>
              <w:rPr>
                <w:color w:val="auto"/>
              </w:rPr>
            </w:pPr>
            <w:r>
              <w:rPr>
                <w:color w:val="auto"/>
              </w:rPr>
              <w:t>3.96</w:t>
            </w:r>
          </w:p>
        </w:tc>
        <w:tc>
          <w:tcPr>
            <w:tcW w:w="528" w:type="pct"/>
            <w:shd w:val="clear" w:color="auto" w:fill="auto"/>
            <w:noWrap/>
            <w:vAlign w:val="center"/>
          </w:tcPr>
          <w:p w14:paraId="24BBD3A6">
            <w:pPr>
              <w:pStyle w:val="44"/>
              <w:rPr>
                <w:color w:val="auto"/>
              </w:rPr>
            </w:pPr>
            <w:r>
              <w:rPr>
                <w:color w:val="auto"/>
              </w:rPr>
              <w:t xml:space="preserve">2012年 </w:t>
            </w:r>
          </w:p>
        </w:tc>
      </w:tr>
      <w:tr w14:paraId="72842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00F544B7">
            <w:pPr>
              <w:pStyle w:val="44"/>
              <w:rPr>
                <w:color w:val="auto"/>
              </w:rPr>
            </w:pPr>
            <w:r>
              <w:rPr>
                <w:color w:val="auto"/>
              </w:rPr>
              <w:t>37</w:t>
            </w:r>
          </w:p>
        </w:tc>
        <w:tc>
          <w:tcPr>
            <w:tcW w:w="751" w:type="pct"/>
            <w:vMerge w:val="continue"/>
            <w:shd w:val="clear" w:color="auto" w:fill="auto"/>
            <w:vAlign w:val="center"/>
          </w:tcPr>
          <w:p w14:paraId="46614841">
            <w:pPr>
              <w:pStyle w:val="44"/>
              <w:rPr>
                <w:color w:val="auto"/>
              </w:rPr>
            </w:pPr>
          </w:p>
        </w:tc>
        <w:tc>
          <w:tcPr>
            <w:tcW w:w="2416" w:type="pct"/>
            <w:shd w:val="clear" w:color="auto" w:fill="auto"/>
            <w:noWrap/>
            <w:vAlign w:val="center"/>
          </w:tcPr>
          <w:p w14:paraId="62E5EF13">
            <w:pPr>
              <w:pStyle w:val="44"/>
              <w:rPr>
                <w:color w:val="auto"/>
              </w:rPr>
            </w:pPr>
            <w:r>
              <w:rPr>
                <w:color w:val="auto"/>
              </w:rPr>
              <w:t>重庆德佑涂料有限公司</w:t>
            </w:r>
          </w:p>
        </w:tc>
        <w:tc>
          <w:tcPr>
            <w:tcW w:w="919" w:type="pct"/>
            <w:vMerge w:val="continue"/>
            <w:shd w:val="clear" w:color="auto" w:fill="auto"/>
            <w:vAlign w:val="center"/>
          </w:tcPr>
          <w:p w14:paraId="06CB3591">
            <w:pPr>
              <w:pStyle w:val="44"/>
              <w:rPr>
                <w:color w:val="auto"/>
              </w:rPr>
            </w:pPr>
          </w:p>
        </w:tc>
        <w:tc>
          <w:tcPr>
            <w:tcW w:w="528" w:type="pct"/>
            <w:shd w:val="clear" w:color="auto" w:fill="auto"/>
            <w:noWrap/>
            <w:vAlign w:val="center"/>
          </w:tcPr>
          <w:p w14:paraId="1C00B48A">
            <w:pPr>
              <w:pStyle w:val="44"/>
              <w:rPr>
                <w:color w:val="auto"/>
              </w:rPr>
            </w:pPr>
            <w:r>
              <w:rPr>
                <w:color w:val="auto"/>
              </w:rPr>
              <w:t>2015年</w:t>
            </w:r>
          </w:p>
        </w:tc>
      </w:tr>
      <w:tr w14:paraId="10403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368DA297">
            <w:pPr>
              <w:pStyle w:val="44"/>
              <w:rPr>
                <w:color w:val="auto"/>
              </w:rPr>
            </w:pPr>
            <w:r>
              <w:rPr>
                <w:color w:val="auto"/>
              </w:rPr>
              <w:t>38</w:t>
            </w:r>
          </w:p>
        </w:tc>
        <w:tc>
          <w:tcPr>
            <w:tcW w:w="751" w:type="pct"/>
            <w:vMerge w:val="continue"/>
            <w:shd w:val="clear" w:color="auto" w:fill="auto"/>
            <w:vAlign w:val="center"/>
          </w:tcPr>
          <w:p w14:paraId="072B3502">
            <w:pPr>
              <w:pStyle w:val="44"/>
              <w:rPr>
                <w:color w:val="auto"/>
              </w:rPr>
            </w:pPr>
          </w:p>
        </w:tc>
        <w:tc>
          <w:tcPr>
            <w:tcW w:w="2416" w:type="pct"/>
            <w:shd w:val="clear" w:color="auto" w:fill="auto"/>
            <w:noWrap/>
            <w:vAlign w:val="center"/>
          </w:tcPr>
          <w:p w14:paraId="62B44FFA">
            <w:pPr>
              <w:pStyle w:val="44"/>
              <w:rPr>
                <w:color w:val="auto"/>
              </w:rPr>
            </w:pPr>
            <w:r>
              <w:rPr>
                <w:color w:val="auto"/>
              </w:rPr>
              <w:t>重庆安驰芯金属制品有限公司</w:t>
            </w:r>
          </w:p>
        </w:tc>
        <w:tc>
          <w:tcPr>
            <w:tcW w:w="919" w:type="pct"/>
            <w:vMerge w:val="continue"/>
            <w:shd w:val="clear" w:color="auto" w:fill="auto"/>
            <w:vAlign w:val="center"/>
          </w:tcPr>
          <w:p w14:paraId="14E24578">
            <w:pPr>
              <w:pStyle w:val="44"/>
              <w:rPr>
                <w:color w:val="auto"/>
              </w:rPr>
            </w:pPr>
          </w:p>
        </w:tc>
        <w:tc>
          <w:tcPr>
            <w:tcW w:w="528" w:type="pct"/>
            <w:shd w:val="clear" w:color="auto" w:fill="auto"/>
            <w:noWrap/>
            <w:vAlign w:val="center"/>
          </w:tcPr>
          <w:p w14:paraId="0D8D096C">
            <w:pPr>
              <w:pStyle w:val="44"/>
              <w:rPr>
                <w:color w:val="auto"/>
              </w:rPr>
            </w:pPr>
            <w:r>
              <w:rPr>
                <w:color w:val="auto"/>
              </w:rPr>
              <w:t>2014年</w:t>
            </w:r>
          </w:p>
        </w:tc>
      </w:tr>
      <w:tr w14:paraId="15CF2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138BA1CC">
            <w:pPr>
              <w:pStyle w:val="44"/>
              <w:rPr>
                <w:color w:val="auto"/>
              </w:rPr>
            </w:pPr>
            <w:r>
              <w:rPr>
                <w:color w:val="auto"/>
              </w:rPr>
              <w:t>39</w:t>
            </w:r>
          </w:p>
        </w:tc>
        <w:tc>
          <w:tcPr>
            <w:tcW w:w="751" w:type="pct"/>
            <w:shd w:val="clear" w:color="auto" w:fill="auto"/>
            <w:noWrap/>
            <w:vAlign w:val="center"/>
          </w:tcPr>
          <w:p w14:paraId="47C1B1F9">
            <w:pPr>
              <w:pStyle w:val="44"/>
              <w:rPr>
                <w:color w:val="auto"/>
              </w:rPr>
            </w:pPr>
            <w:r>
              <w:rPr>
                <w:color w:val="auto"/>
              </w:rPr>
              <w:t>L17-01-1/02</w:t>
            </w:r>
          </w:p>
        </w:tc>
        <w:tc>
          <w:tcPr>
            <w:tcW w:w="2416" w:type="pct"/>
            <w:shd w:val="clear" w:color="auto" w:fill="auto"/>
            <w:noWrap/>
            <w:vAlign w:val="center"/>
          </w:tcPr>
          <w:p w14:paraId="6AC41603">
            <w:pPr>
              <w:pStyle w:val="44"/>
              <w:rPr>
                <w:color w:val="auto"/>
              </w:rPr>
            </w:pPr>
            <w:r>
              <w:rPr>
                <w:color w:val="auto"/>
              </w:rPr>
              <w:t>陶家配气站</w:t>
            </w:r>
          </w:p>
        </w:tc>
        <w:tc>
          <w:tcPr>
            <w:tcW w:w="919" w:type="pct"/>
            <w:shd w:val="clear" w:color="auto" w:fill="auto"/>
            <w:noWrap/>
            <w:vAlign w:val="center"/>
          </w:tcPr>
          <w:p w14:paraId="401141B3">
            <w:pPr>
              <w:pStyle w:val="44"/>
              <w:rPr>
                <w:color w:val="auto"/>
              </w:rPr>
            </w:pPr>
            <w:r>
              <w:rPr>
                <w:color w:val="auto"/>
              </w:rPr>
              <w:t>0.73</w:t>
            </w:r>
          </w:p>
        </w:tc>
        <w:tc>
          <w:tcPr>
            <w:tcW w:w="528" w:type="pct"/>
            <w:shd w:val="clear" w:color="auto" w:fill="auto"/>
            <w:noWrap/>
            <w:vAlign w:val="center"/>
          </w:tcPr>
          <w:p w14:paraId="612C10EE">
            <w:pPr>
              <w:pStyle w:val="44"/>
              <w:rPr>
                <w:color w:val="auto"/>
              </w:rPr>
            </w:pPr>
            <w:r>
              <w:rPr>
                <w:color w:val="auto"/>
              </w:rPr>
              <w:t>2012年</w:t>
            </w:r>
          </w:p>
        </w:tc>
      </w:tr>
      <w:tr w14:paraId="35978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3" w:type="pct"/>
            <w:shd w:val="clear" w:color="auto" w:fill="auto"/>
            <w:noWrap/>
            <w:vAlign w:val="center"/>
          </w:tcPr>
          <w:p w14:paraId="5A9743AA">
            <w:pPr>
              <w:pStyle w:val="44"/>
              <w:rPr>
                <w:color w:val="auto"/>
              </w:rPr>
            </w:pPr>
            <w:r>
              <w:rPr>
                <w:color w:val="auto"/>
              </w:rPr>
              <w:t>40</w:t>
            </w:r>
          </w:p>
        </w:tc>
        <w:tc>
          <w:tcPr>
            <w:tcW w:w="751" w:type="pct"/>
            <w:shd w:val="clear" w:color="auto" w:fill="auto"/>
            <w:noWrap/>
            <w:vAlign w:val="center"/>
          </w:tcPr>
          <w:p w14:paraId="6030C611">
            <w:pPr>
              <w:pStyle w:val="44"/>
              <w:rPr>
                <w:color w:val="auto"/>
              </w:rPr>
            </w:pPr>
            <w:r>
              <w:rPr>
                <w:color w:val="auto"/>
              </w:rPr>
              <w:t>L24-01/02</w:t>
            </w:r>
          </w:p>
        </w:tc>
        <w:tc>
          <w:tcPr>
            <w:tcW w:w="2416" w:type="pct"/>
            <w:shd w:val="clear" w:color="auto" w:fill="auto"/>
            <w:noWrap/>
            <w:vAlign w:val="center"/>
          </w:tcPr>
          <w:p w14:paraId="38D01617">
            <w:pPr>
              <w:pStyle w:val="44"/>
              <w:rPr>
                <w:color w:val="auto"/>
              </w:rPr>
            </w:pPr>
            <w:r>
              <w:rPr>
                <w:color w:val="auto"/>
              </w:rPr>
              <w:t>污水处理厂</w:t>
            </w:r>
          </w:p>
        </w:tc>
        <w:tc>
          <w:tcPr>
            <w:tcW w:w="919" w:type="pct"/>
            <w:shd w:val="clear" w:color="auto" w:fill="auto"/>
            <w:noWrap/>
            <w:vAlign w:val="center"/>
          </w:tcPr>
          <w:p w14:paraId="0D40D348">
            <w:pPr>
              <w:pStyle w:val="44"/>
              <w:rPr>
                <w:color w:val="auto"/>
              </w:rPr>
            </w:pPr>
            <w:r>
              <w:rPr>
                <w:color w:val="auto"/>
              </w:rPr>
              <w:t>11.65</w:t>
            </w:r>
          </w:p>
        </w:tc>
        <w:tc>
          <w:tcPr>
            <w:tcW w:w="528" w:type="pct"/>
            <w:shd w:val="clear" w:color="auto" w:fill="auto"/>
            <w:noWrap/>
            <w:vAlign w:val="center"/>
          </w:tcPr>
          <w:p w14:paraId="0AA1C06A">
            <w:pPr>
              <w:pStyle w:val="44"/>
              <w:rPr>
                <w:color w:val="auto"/>
              </w:rPr>
            </w:pPr>
            <w:r>
              <w:rPr>
                <w:color w:val="auto"/>
              </w:rPr>
              <w:t>2011年</w:t>
            </w:r>
          </w:p>
        </w:tc>
      </w:tr>
      <w:tr w14:paraId="643A7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83" w:type="pct"/>
            <w:shd w:val="clear" w:color="auto" w:fill="auto"/>
            <w:noWrap/>
            <w:vAlign w:val="center"/>
          </w:tcPr>
          <w:p w14:paraId="74B659F7">
            <w:pPr>
              <w:pStyle w:val="44"/>
              <w:rPr>
                <w:color w:val="auto"/>
              </w:rPr>
            </w:pPr>
            <w:r>
              <w:rPr>
                <w:color w:val="auto"/>
              </w:rPr>
              <w:t>合计</w:t>
            </w:r>
          </w:p>
        </w:tc>
        <w:tc>
          <w:tcPr>
            <w:tcW w:w="751" w:type="pct"/>
            <w:shd w:val="clear" w:color="auto" w:fill="auto"/>
            <w:noWrap/>
            <w:vAlign w:val="center"/>
          </w:tcPr>
          <w:p w14:paraId="7BFA802F">
            <w:pPr>
              <w:pStyle w:val="44"/>
              <w:rPr>
                <w:color w:val="auto"/>
              </w:rPr>
            </w:pPr>
            <w:r>
              <w:rPr>
                <w:color w:val="auto"/>
              </w:rPr>
              <w:t>14个地块</w:t>
            </w:r>
          </w:p>
        </w:tc>
        <w:tc>
          <w:tcPr>
            <w:tcW w:w="2416" w:type="pct"/>
            <w:shd w:val="clear" w:color="auto" w:fill="auto"/>
            <w:noWrap/>
            <w:vAlign w:val="center"/>
          </w:tcPr>
          <w:p w14:paraId="5C19AE3D">
            <w:pPr>
              <w:pStyle w:val="44"/>
              <w:rPr>
                <w:color w:val="auto"/>
              </w:rPr>
            </w:pPr>
            <w:r>
              <w:rPr>
                <w:color w:val="auto"/>
              </w:rPr>
              <w:t>　</w:t>
            </w:r>
          </w:p>
        </w:tc>
        <w:tc>
          <w:tcPr>
            <w:tcW w:w="919" w:type="pct"/>
            <w:shd w:val="clear" w:color="auto" w:fill="auto"/>
            <w:noWrap/>
            <w:vAlign w:val="center"/>
          </w:tcPr>
          <w:p w14:paraId="5FD65082">
            <w:pPr>
              <w:pStyle w:val="44"/>
              <w:rPr>
                <w:color w:val="auto"/>
              </w:rPr>
            </w:pPr>
            <w:r>
              <w:rPr>
                <w:color w:val="auto"/>
              </w:rPr>
              <w:t>91.33</w:t>
            </w:r>
          </w:p>
        </w:tc>
        <w:tc>
          <w:tcPr>
            <w:tcW w:w="528" w:type="pct"/>
            <w:shd w:val="clear" w:color="auto" w:fill="auto"/>
            <w:noWrap/>
            <w:vAlign w:val="center"/>
          </w:tcPr>
          <w:p w14:paraId="2FDADF16">
            <w:pPr>
              <w:pStyle w:val="44"/>
              <w:rPr>
                <w:color w:val="auto"/>
              </w:rPr>
            </w:pPr>
            <w:r>
              <w:rPr>
                <w:color w:val="auto"/>
              </w:rPr>
              <w:t>　</w:t>
            </w:r>
          </w:p>
        </w:tc>
      </w:tr>
    </w:tbl>
    <w:p w14:paraId="5FD11E01">
      <w:pPr>
        <w:pStyle w:val="5"/>
        <w:numPr>
          <w:ilvl w:val="0"/>
          <w:numId w:val="0"/>
        </w:numPr>
        <w:spacing w:before="166" w:after="166"/>
        <w:rPr>
          <w:color w:val="auto"/>
        </w:rPr>
      </w:pPr>
      <w:r>
        <w:rPr>
          <w:color w:val="auto"/>
        </w:rPr>
        <w:t>2.3.4现状产业入驻情况与规划的符合性</w:t>
      </w:r>
    </w:p>
    <w:p w14:paraId="3F43C229">
      <w:pPr>
        <w:ind w:firstLine="480"/>
        <w:rPr>
          <w:color w:val="auto"/>
        </w:rPr>
      </w:pPr>
      <w:r>
        <w:rPr>
          <w:color w:val="auto"/>
        </w:rPr>
        <w:t>根据园区规划，园区功能定位有：以高新技术产业开发为主的综合科技新城，</w:t>
      </w:r>
      <w:r>
        <w:rPr>
          <w:color w:val="auto"/>
          <w:szCs w:val="28"/>
        </w:rPr>
        <w:t>发展汽车和摩托车及零部件、精密机械、机电一体化产业，</w:t>
      </w:r>
      <w:r>
        <w:rPr>
          <w:color w:val="auto"/>
        </w:rPr>
        <w:t>以生产型商务和综合服务配套为主导。</w:t>
      </w:r>
    </w:p>
    <w:p w14:paraId="756A0C1E">
      <w:pPr>
        <w:ind w:firstLine="480"/>
        <w:rPr>
          <w:color w:val="auto"/>
        </w:rPr>
      </w:pPr>
      <w:r>
        <w:rPr>
          <w:color w:val="auto"/>
        </w:rPr>
        <w:t>经过多年发展，九龙园区形成了以智能汽车、高端摩托车、智能装备和现代服务业为主导的“3+1”产业集群，拥有庆铃“百亿级”企业1家，ABB、建设雅马哈等产值亿元以上企业61家，规上工业企业131家。拥有国家级企业技术中心2个，市级企业技术中心16个，战略性新兴产业企业3家，</w:t>
      </w:r>
      <w:r>
        <w:rPr>
          <w:b/>
          <w:bCs/>
          <w:color w:val="auto"/>
        </w:rPr>
        <w:t>高新技术企业31家，高新技术产品72个，</w:t>
      </w:r>
      <w:r>
        <w:rPr>
          <w:color w:val="auto"/>
        </w:rPr>
        <w:t>重点新产品115个，中国驰名商标6个。</w:t>
      </w:r>
    </w:p>
    <w:p w14:paraId="124168A3">
      <w:pPr>
        <w:ind w:firstLine="480"/>
        <w:rPr>
          <w:color w:val="auto"/>
        </w:rPr>
      </w:pPr>
      <w:r>
        <w:rPr>
          <w:color w:val="auto"/>
        </w:rPr>
        <w:t>因此园区现状入驻企业基本符合园区规划的功能定位。</w:t>
      </w:r>
    </w:p>
    <w:p w14:paraId="496C1086">
      <w:pPr>
        <w:pStyle w:val="4"/>
        <w:numPr>
          <w:ilvl w:val="1"/>
          <w:numId w:val="0"/>
        </w:numPr>
        <w:spacing w:before="166" w:after="166"/>
        <w:rPr>
          <w:color w:val="auto"/>
        </w:rPr>
      </w:pPr>
      <w:bookmarkStart w:id="22" w:name="_Toc7202"/>
      <w:r>
        <w:rPr>
          <w:color w:val="auto"/>
        </w:rPr>
        <w:t>2.4区域现状供、退水方案</w:t>
      </w:r>
      <w:bookmarkEnd w:id="22"/>
    </w:p>
    <w:p w14:paraId="2488BE0F">
      <w:pPr>
        <w:pStyle w:val="5"/>
        <w:numPr>
          <w:ilvl w:val="0"/>
          <w:numId w:val="0"/>
        </w:numPr>
        <w:spacing w:before="166" w:after="166"/>
        <w:rPr>
          <w:color w:val="auto"/>
        </w:rPr>
      </w:pPr>
      <w:r>
        <w:rPr>
          <w:color w:val="auto"/>
        </w:rPr>
        <w:t>2.4.1现状供水方案</w:t>
      </w:r>
    </w:p>
    <w:p w14:paraId="3B1269AA">
      <w:pPr>
        <w:ind w:firstLine="480"/>
        <w:rPr>
          <w:color w:val="auto"/>
        </w:rPr>
      </w:pPr>
      <w:r>
        <w:rPr>
          <w:color w:val="auto"/>
        </w:rPr>
        <w:t>根据调查，园区现状主要由和尚山水厂、丰收坝水厂、西彭水厂。其中和尚山水厂向九龙工业园区A区供水，丰收坝水厂向九龙工业园区B区供水，西彭水厂向九龙工业园区C区供水。</w:t>
      </w:r>
    </w:p>
    <w:p w14:paraId="4AE56A45">
      <w:pPr>
        <w:ind w:firstLine="480"/>
        <w:rPr>
          <w:color w:val="auto"/>
        </w:rPr>
      </w:pPr>
      <w:r>
        <w:rPr>
          <w:color w:val="auto"/>
        </w:rPr>
        <w:t>和尚山水厂位于重庆市九龙坡区杨家坪天宝路，以长江水作源水，</w:t>
      </w:r>
      <w:r>
        <w:rPr>
          <w:b/>
          <w:bCs/>
          <w:color w:val="auto"/>
        </w:rPr>
        <w:t>水源地位于九龙坡区九龙滩</w:t>
      </w:r>
      <w:r>
        <w:rPr>
          <w:color w:val="auto"/>
        </w:rPr>
        <w:t>，现供水规模为35万m³/d；丰收坝水厂位于大渡口区跳蹬镇石盘村，丰收坝水厂现状规模30万m</w:t>
      </w:r>
      <w:r>
        <w:rPr>
          <w:color w:val="auto"/>
          <w:vertAlign w:val="superscript"/>
        </w:rPr>
        <w:t>3</w:t>
      </w:r>
      <w:r>
        <w:rPr>
          <w:color w:val="auto"/>
        </w:rPr>
        <w:t>/d，以长江为水源，取水点设在石盘村上游150m处，通过位于江心的取水头部经引水隧洞自流至取水泵房后提升至配水井；西彭水厂位于重庆市九龙坡区西彭镇双岗村，现状最大供水能力为5万m</w:t>
      </w:r>
      <w:r>
        <w:rPr>
          <w:color w:val="auto"/>
          <w:vertAlign w:val="superscript"/>
        </w:rPr>
        <w:t>3</w:t>
      </w:r>
      <w:r>
        <w:rPr>
          <w:color w:val="auto"/>
        </w:rPr>
        <w:t>/d。</w:t>
      </w:r>
    </w:p>
    <w:p w14:paraId="05A9D54B">
      <w:pPr>
        <w:pStyle w:val="5"/>
        <w:numPr>
          <w:ilvl w:val="0"/>
          <w:numId w:val="0"/>
        </w:numPr>
        <w:spacing w:before="166" w:after="166"/>
        <w:rPr>
          <w:color w:val="auto"/>
        </w:rPr>
      </w:pPr>
      <w:r>
        <w:rPr>
          <w:color w:val="auto"/>
        </w:rPr>
        <w:t>2.4.2现状退水方案</w:t>
      </w:r>
    </w:p>
    <w:p w14:paraId="342D9BC4">
      <w:pPr>
        <w:ind w:firstLine="480"/>
        <w:rPr>
          <w:color w:val="auto"/>
        </w:rPr>
      </w:pPr>
      <w:r>
        <w:rPr>
          <w:color w:val="auto"/>
        </w:rPr>
        <w:t>九龙园区A区生产废水主要进入主城排水工程截流管C线后，进入鸡冠石污水处理厂集中处理后排入长江；B区生产废水的退水主要包含两部分，其中B3区的生产废水主要进入B3区污水处理厂集中处理后排入跳蹬河支流响水沟，其余区域主要进入大九污水处理厂集中处理后，排入跳蹬河；C区目前产生的生产废水量较少，一部分由临时建设的一体化污水处理设施处理后排入大溪河，一部分经龙塘凼污水处理站集中处理后再进入陶家生活污水处理厂处理后排入大溪河</w:t>
      </w:r>
    </w:p>
    <w:p w14:paraId="49A51BE6">
      <w:pPr>
        <w:ind w:firstLine="480"/>
        <w:rPr>
          <w:color w:val="auto"/>
        </w:rPr>
      </w:pPr>
      <w:r>
        <w:rPr>
          <w:color w:val="auto"/>
        </w:rPr>
        <w:t>九龙园区A区一部分（巴国城片区部分生活污水）进入彩云湖污水处理厂集中处理后排入彩云湖，另一部分进入主城排水工程截流管C线后，进入鸡冠石污水处理厂集中处理后排入长江；B区生活污水的退水主要包含两部分，其中B3区的生活污水主要进入B3区污水处理厂集中处理后排入跳蹬河支流响水沟，其余区域主要进入大九污水处理厂集中处理后，排入跳蹬河；C区生活污水主要进入陶家生活污水处理厂集中处理后，排入大溪河。</w:t>
      </w:r>
      <w:r>
        <w:rPr>
          <w:color w:val="auto"/>
        </w:rPr>
        <w:br w:type="page"/>
      </w:r>
    </w:p>
    <w:p w14:paraId="01F1D2AD">
      <w:pPr>
        <w:pStyle w:val="3"/>
        <w:numPr>
          <w:ilvl w:val="0"/>
          <w:numId w:val="0"/>
        </w:numPr>
        <w:spacing w:before="333" w:after="333"/>
        <w:rPr>
          <w:color w:val="auto"/>
        </w:rPr>
      </w:pPr>
      <w:bookmarkStart w:id="23" w:name="_Toc27587"/>
      <w:r>
        <w:rPr>
          <w:color w:val="auto"/>
        </w:rPr>
        <w:t>3区域水资源条件分析</w:t>
      </w:r>
      <w:bookmarkEnd w:id="21"/>
      <w:bookmarkEnd w:id="23"/>
    </w:p>
    <w:p w14:paraId="6E61CBBA">
      <w:pPr>
        <w:pStyle w:val="4"/>
        <w:numPr>
          <w:ilvl w:val="1"/>
          <w:numId w:val="0"/>
        </w:numPr>
        <w:spacing w:before="166" w:after="166"/>
        <w:rPr>
          <w:color w:val="auto"/>
        </w:rPr>
      </w:pPr>
      <w:bookmarkStart w:id="24" w:name="_Toc21136"/>
      <w:bookmarkStart w:id="25" w:name="_Toc25802"/>
      <w:r>
        <w:rPr>
          <w:color w:val="auto"/>
        </w:rPr>
        <w:t>3.1水资源状况</w:t>
      </w:r>
      <w:bookmarkEnd w:id="24"/>
      <w:bookmarkEnd w:id="25"/>
    </w:p>
    <w:p w14:paraId="6FB4490A">
      <w:pPr>
        <w:pStyle w:val="5"/>
        <w:numPr>
          <w:ilvl w:val="0"/>
          <w:numId w:val="0"/>
        </w:numPr>
        <w:spacing w:before="166" w:after="166"/>
        <w:rPr>
          <w:color w:val="auto"/>
        </w:rPr>
      </w:pPr>
      <w:r>
        <w:rPr>
          <w:color w:val="auto"/>
        </w:rPr>
        <w:t>3.1.1区域概况</w:t>
      </w:r>
    </w:p>
    <w:p w14:paraId="3CF42499">
      <w:pPr>
        <w:pStyle w:val="6"/>
        <w:numPr>
          <w:ilvl w:val="3"/>
          <w:numId w:val="0"/>
        </w:numPr>
        <w:rPr>
          <w:color w:val="auto"/>
        </w:rPr>
      </w:pPr>
      <w:r>
        <w:rPr>
          <w:color w:val="auto"/>
        </w:rPr>
        <w:t>3.2.1.1自然地理</w:t>
      </w:r>
    </w:p>
    <w:p w14:paraId="4F1EF74C">
      <w:pPr>
        <w:ind w:firstLine="480"/>
        <w:rPr>
          <w:color w:val="auto"/>
          <w:szCs w:val="24"/>
          <w:shd w:val="clear" w:color="auto" w:fill="FFFFFF"/>
        </w:rPr>
      </w:pPr>
      <w:r>
        <w:rPr>
          <w:color w:val="auto"/>
        </w:rPr>
        <w:t>九龙坡区位于重庆市主城区西南部，是长江和嘉陵江环抱的重庆渝中半岛的重要组成部分，因“滩在（长）江心，有九石翘首若龙”而得名。九龙坡区位于东经106°15′～106°35′、北纬29°15′～29°35′之间，东接渝中区，南靠大渡口区，西邻江津区、壁山区，北与沙坪坝区接壤，与南岸区、巴南区隔江相望。九龙坡区东西间最大距离约30.4km，南北间最大距离约36.1km，幅员面积430.78km</w:t>
      </w:r>
      <w:r>
        <w:rPr>
          <w:color w:val="auto"/>
          <w:vertAlign w:val="superscript"/>
        </w:rPr>
        <w:t>2</w:t>
      </w:r>
      <w:r>
        <w:rPr>
          <w:color w:val="auto"/>
        </w:rPr>
        <w:t>，下辖9个街道、10个镇，常住人口逾123万人，其中有6个镇（包含白市驿镇、走马镇、含谷镇、巴福镇、金凤镇、石板镇全域）近200km</w:t>
      </w:r>
      <w:r>
        <w:rPr>
          <w:color w:val="auto"/>
          <w:vertAlign w:val="superscript"/>
        </w:rPr>
        <w:t>2</w:t>
      </w:r>
      <w:r>
        <w:rPr>
          <w:color w:val="auto"/>
        </w:rPr>
        <w:t>纳入重庆高新区直管园。</w:t>
      </w:r>
    </w:p>
    <w:p w14:paraId="45575AFF">
      <w:pPr>
        <w:ind w:firstLine="480"/>
        <w:rPr>
          <w:color w:val="auto"/>
        </w:rPr>
      </w:pPr>
      <w:r>
        <w:rPr>
          <w:color w:val="auto"/>
        </w:rPr>
        <w:t>重庆九龙工业园区位于九龙坡区九龙街道、中梁山街道、华岩镇、陶家镇。其中重庆九龙工业园区A区位于九龙街道，B区位于中梁山街道和华岩镇，C区位于陶家镇。</w:t>
      </w:r>
    </w:p>
    <w:p w14:paraId="1BC4433A">
      <w:pPr>
        <w:pStyle w:val="6"/>
        <w:numPr>
          <w:ilvl w:val="3"/>
          <w:numId w:val="0"/>
        </w:numPr>
        <w:rPr>
          <w:color w:val="auto"/>
        </w:rPr>
      </w:pPr>
      <w:r>
        <w:rPr>
          <w:color w:val="auto"/>
        </w:rPr>
        <w:t>3.2.1.2社会经济</w:t>
      </w:r>
    </w:p>
    <w:p w14:paraId="1C549389">
      <w:pPr>
        <w:ind w:firstLine="480"/>
        <w:rPr>
          <w:color w:val="auto"/>
        </w:rPr>
      </w:pPr>
      <w:r>
        <w:rPr>
          <w:color w:val="auto"/>
        </w:rPr>
        <w:t>（1）九龙坡区社会经济</w:t>
      </w:r>
    </w:p>
    <w:p w14:paraId="2B298750">
      <w:pPr>
        <w:ind w:firstLine="480"/>
        <w:rPr>
          <w:color w:val="auto"/>
        </w:rPr>
      </w:pPr>
      <w:r>
        <w:rPr>
          <w:color w:val="auto"/>
        </w:rPr>
        <w:t>2019年全年实现地区生产总值1211.25亿元，按不变价格计算，比上年增长3.6%。按常住人口计算，全年人均地区生产总值99279元，比上年增长2.6%。分产业看，第一产业增加值6.30亿元，比上年增长0.2%；第二产业增加值459.82亿元，增长1.4%；第三产业增加值745.13亿元，增长5.0%。第一产业增加值占地区生产总值的比重为0.5%，第二产业增加值比重为38.0%，第三产业增加值比重为61.5%。</w:t>
      </w:r>
    </w:p>
    <w:p w14:paraId="5C7B8F2C">
      <w:pPr>
        <w:numPr>
          <w:ilvl w:val="0"/>
          <w:numId w:val="3"/>
        </w:numPr>
        <w:ind w:firstLine="480"/>
        <w:rPr>
          <w:color w:val="auto"/>
        </w:rPr>
      </w:pPr>
      <w:r>
        <w:rPr>
          <w:color w:val="auto"/>
        </w:rPr>
        <w:t>园区社会经济概况</w:t>
      </w:r>
    </w:p>
    <w:p w14:paraId="201684A7">
      <w:pPr>
        <w:ind w:firstLine="480"/>
        <w:rPr>
          <w:color w:val="auto"/>
        </w:rPr>
      </w:pPr>
      <w:r>
        <w:rPr>
          <w:color w:val="auto"/>
        </w:rPr>
        <w:t>经过多年发展，九龙园区形成了以智能汽车、高端摩托车、智能装备和现代服务业为主导的“3+1”产业集群，拥有庆铃“百亿级”企业1家，ABB、建设雅马哈等产值亿元以上企业61家，规上工业企业131家。拥有国家级企业技术中心2个，市级企业技术中心16个，战略性新兴产业企业3家，高新技术企业31家，高新技术产品72个，重点新产品115个，中国驰名商标6个。园区实现规上工业总产值380.7亿元。</w:t>
      </w:r>
    </w:p>
    <w:p w14:paraId="1D3B302D">
      <w:pPr>
        <w:pStyle w:val="6"/>
        <w:numPr>
          <w:ilvl w:val="3"/>
          <w:numId w:val="0"/>
        </w:numPr>
        <w:rPr>
          <w:color w:val="auto"/>
        </w:rPr>
      </w:pPr>
      <w:r>
        <w:rPr>
          <w:color w:val="auto"/>
        </w:rPr>
        <w:t>3.2.1.3水文气象</w:t>
      </w:r>
    </w:p>
    <w:p w14:paraId="786FFF1F">
      <w:pPr>
        <w:ind w:firstLine="480"/>
        <w:rPr>
          <w:color w:val="auto"/>
        </w:rPr>
      </w:pPr>
      <w:r>
        <w:rPr>
          <w:color w:val="auto"/>
        </w:rPr>
        <w:t>（1）水文</w:t>
      </w:r>
    </w:p>
    <w:p w14:paraId="4E633C3D">
      <w:pPr>
        <w:ind w:firstLine="480"/>
        <w:rPr>
          <w:color w:val="auto"/>
        </w:rPr>
      </w:pPr>
      <w:r>
        <w:rPr>
          <w:color w:val="auto"/>
        </w:rPr>
        <w:t>区境内径流主要来源于降雨，少量为地下水补给，径流的年内变化与降雨一致。每年3月随着降水增加，径流量也相应增大，4月～9月雨量进一步增多，流域进入汛期，径流量大增，但本流域常发生伏旱，在伏旱期径流显著减少，10月～11月降水减少，径流补给也逐渐减少，12月～翌年2月很少降水，主要由地下水补给，是径流的最枯时期。规划区多年平均径流深504.9mm，多年平均径流模数16.0L/（s·km</w:t>
      </w:r>
      <w:r>
        <w:rPr>
          <w:color w:val="auto"/>
          <w:vertAlign w:val="superscript"/>
        </w:rPr>
        <w:t>2</w:t>
      </w:r>
      <w:r>
        <w:rPr>
          <w:color w:val="auto"/>
        </w:rPr>
        <w:t>），径流年内分配不均，丰水期（4月～10月）水量占全年水量的84.3%，枯水期（11月～次年3月）水量占年水量的15.7%。径流年际变化不大，最丰水年与最枯水年平均流量分别为多年平均流量的1.72倍和0.42倍，年径流相对稳定。</w:t>
      </w:r>
    </w:p>
    <w:p w14:paraId="26F241C8">
      <w:pPr>
        <w:ind w:firstLine="480"/>
        <w:rPr>
          <w:color w:val="auto"/>
        </w:rPr>
      </w:pPr>
      <w:r>
        <w:rPr>
          <w:color w:val="auto"/>
        </w:rPr>
        <w:t>（2）气象</w:t>
      </w:r>
    </w:p>
    <w:p w14:paraId="64B3AD1D">
      <w:pPr>
        <w:ind w:firstLine="480"/>
        <w:rPr>
          <w:color w:val="auto"/>
        </w:rPr>
      </w:pPr>
      <w:r>
        <w:rPr>
          <w:color w:val="auto"/>
        </w:rPr>
        <w:t>九龙坡区属亚热带湿润季风气候区中的盆地南部长江河谷区，气候主要受西风带天气系统及西太平副高、西南低涡、西藏高压的影响，流域冬季受偏北气流控制，夏季受偏南季风影响，太平洋副热带高压常西伸抵达本流域，因此流域气候具有四季分明、气候温和、降水丰沛、空气湿润，且冬暖春早，初夏多雨，盛夏炎热常伏旱，秋迟多连绵阴雨，以及无霜期长、风速小、湿度大、云雾多、日照少等气象特征。</w:t>
      </w:r>
    </w:p>
    <w:p w14:paraId="63CD0A54">
      <w:pPr>
        <w:ind w:firstLine="480"/>
        <w:rPr>
          <w:color w:val="auto"/>
        </w:rPr>
      </w:pPr>
      <w:r>
        <w:rPr>
          <w:color w:val="auto"/>
        </w:rPr>
        <w:t>区内无气象观测站，根据邻近的沙坪坝气象站1952～2018年实测资料统计：</w:t>
      </w:r>
    </w:p>
    <w:p w14:paraId="2DCE4645">
      <w:pPr>
        <w:ind w:firstLine="480"/>
        <w:rPr>
          <w:color w:val="auto"/>
        </w:rPr>
      </w:pPr>
      <w:r>
        <w:rPr>
          <w:color w:val="auto"/>
        </w:rPr>
        <w:t>降雨：多年平均降雨1180mm，冬半年（10月～3月）降雨约占全年降雨量的23%，夏半年（4月～9月）降雨约占全年降雨量的77%，历年的雨日为130d～192d，多年平均159d。年内暴雨（日雨量大于50mm）多在5月～9月，个别年份却始于3月27日，终于10月21日，出现的次数各年不一，最多的5次，最少的0次，平均每年近3次。暴雨的持续时间一般为一天，最长不超过两天。根据沙坪坝区气象站2007年7月17日～18日实测资料，最大24h降雨量为271.0mm。</w:t>
      </w:r>
    </w:p>
    <w:p w14:paraId="666C89A9">
      <w:pPr>
        <w:ind w:firstLine="480"/>
        <w:rPr>
          <w:color w:val="auto"/>
        </w:rPr>
      </w:pPr>
      <w:r>
        <w:rPr>
          <w:color w:val="auto"/>
        </w:rPr>
        <w:t>气温：多年平均气温18.4℃，年际变化不大，但年内变化较大，以7、8月最高，1月最低，极端最高气温43.0℃，极端最低气温－2.9℃。</w:t>
      </w:r>
    </w:p>
    <w:p w14:paraId="381E19DA">
      <w:pPr>
        <w:ind w:firstLine="480"/>
        <w:rPr>
          <w:color w:val="auto"/>
        </w:rPr>
      </w:pPr>
      <w:r>
        <w:rPr>
          <w:color w:val="auto"/>
        </w:rPr>
        <w:t>日照：多年平均日照为1364h，8月份日照最多，最高可达323.3h，12月份日照最少，最低只有3.3h。</w:t>
      </w:r>
    </w:p>
    <w:p w14:paraId="7878C3D1">
      <w:pPr>
        <w:ind w:firstLine="480"/>
        <w:rPr>
          <w:color w:val="auto"/>
        </w:rPr>
      </w:pPr>
      <w:r>
        <w:rPr>
          <w:color w:val="auto"/>
        </w:rPr>
        <w:t>湿度：多年平均相对湿度81%左右。</w:t>
      </w:r>
    </w:p>
    <w:p w14:paraId="75D0A37D">
      <w:pPr>
        <w:ind w:firstLine="480"/>
        <w:rPr>
          <w:color w:val="auto"/>
        </w:rPr>
      </w:pPr>
      <w:r>
        <w:rPr>
          <w:color w:val="auto"/>
        </w:rPr>
        <w:t>风速、风向：多年平均风速为1.6m/s，多年平均最大风速为14m/s。实测最大风速为18.7m/s（风向缺测），发生在8月份，年内一般多北风、东风。</w:t>
      </w:r>
    </w:p>
    <w:p w14:paraId="24DA7501">
      <w:pPr>
        <w:ind w:firstLine="480"/>
        <w:rPr>
          <w:color w:val="auto"/>
        </w:rPr>
      </w:pPr>
      <w:r>
        <w:rPr>
          <w:color w:val="auto"/>
        </w:rPr>
        <w:t>蒸发：多年平均蒸发量为864mm，最大蒸发月为1964年7月，蒸发量为259.0mm，最小蒸发月为1977年1月，蒸发量为12.2mm。</w:t>
      </w:r>
    </w:p>
    <w:p w14:paraId="1B9240E3">
      <w:pPr>
        <w:pStyle w:val="6"/>
        <w:numPr>
          <w:ilvl w:val="3"/>
          <w:numId w:val="0"/>
        </w:numPr>
        <w:rPr>
          <w:color w:val="auto"/>
        </w:rPr>
      </w:pPr>
      <w:r>
        <w:rPr>
          <w:color w:val="auto"/>
        </w:rPr>
        <w:t>3.2.1.4河流水系</w:t>
      </w:r>
    </w:p>
    <w:p w14:paraId="3BD221CA">
      <w:pPr>
        <w:ind w:firstLine="480"/>
        <w:rPr>
          <w:color w:val="auto"/>
        </w:rPr>
      </w:pPr>
      <w:r>
        <w:rPr>
          <w:color w:val="auto"/>
        </w:rPr>
        <w:t>九龙坡区南部属长江水系，西北部属嘉陵江水系。南北地表水分水岭位于走马镇东南部的马鞍山，高程400～450m，马鞍山以南为长江水系，主要支流有大溪河、跳蹬河、桃花溪等，地表水由北向南流入长江；马鞍山以北属嘉陵江水系，一级支流为梁滩河，其流向由南向北流入北碚的梁滩河至北碚汇入嘉陵江。</w:t>
      </w:r>
    </w:p>
    <w:p w14:paraId="4264FAE1">
      <w:pPr>
        <w:ind w:firstLine="480"/>
        <w:rPr>
          <w:color w:val="auto"/>
        </w:rPr>
      </w:pPr>
      <w:r>
        <w:rPr>
          <w:color w:val="auto"/>
        </w:rPr>
        <w:t>长江在西彭罗家院流入区境至铜罐驿黄金堡出境后，又于九龙上游村入区境至谢家湾出境，区境内长30km。据寸滩水文站资料统计，多年平均流量1.15万m³/s，最大流量8.57万m³/s，最小流量0.277万m³/s，变幅近40倍。年平均水位175m，平均最枯水位170m，常年洪水位187.39m，特大洪水位193.11m。</w:t>
      </w:r>
    </w:p>
    <w:p w14:paraId="4985734B">
      <w:pPr>
        <w:ind w:firstLine="480"/>
        <w:rPr>
          <w:color w:val="auto"/>
        </w:rPr>
      </w:pPr>
      <w:r>
        <w:rPr>
          <w:color w:val="auto"/>
        </w:rPr>
        <w:t>九龙坡区共有大小河流78条，其中集雨面积大于100km</w:t>
      </w:r>
      <w:r>
        <w:rPr>
          <w:color w:val="auto"/>
          <w:vertAlign w:val="superscript"/>
        </w:rPr>
        <w:t>2</w:t>
      </w:r>
      <w:r>
        <w:rPr>
          <w:color w:val="auto"/>
        </w:rPr>
        <w:t>的河流1条，集雨面积介于10km</w:t>
      </w:r>
      <w:r>
        <w:rPr>
          <w:color w:val="auto"/>
          <w:vertAlign w:val="superscript"/>
        </w:rPr>
        <w:t>2</w:t>
      </w:r>
      <w:r>
        <w:rPr>
          <w:color w:val="auto"/>
        </w:rPr>
        <w:t>与100km</w:t>
      </w:r>
      <w:r>
        <w:rPr>
          <w:color w:val="auto"/>
          <w:vertAlign w:val="superscript"/>
        </w:rPr>
        <w:t>2</w:t>
      </w:r>
      <w:r>
        <w:rPr>
          <w:color w:val="auto"/>
        </w:rPr>
        <w:t>之间的河流有12条，10km</w:t>
      </w:r>
      <w:r>
        <w:rPr>
          <w:color w:val="auto"/>
          <w:vertAlign w:val="superscript"/>
        </w:rPr>
        <w:t>2</w:t>
      </w:r>
      <w:r>
        <w:rPr>
          <w:color w:val="auto"/>
        </w:rPr>
        <w:t>以下的河流65条。九龙坡区内主要河流有大溪河、跳蹬河、桃花溪和梁滩河及其支流莲花滩河，均不通航。</w:t>
      </w:r>
    </w:p>
    <w:p w14:paraId="367D4DA7">
      <w:pPr>
        <w:ind w:firstLine="480"/>
        <w:rPr>
          <w:color w:val="auto"/>
        </w:rPr>
      </w:pPr>
      <w:r>
        <w:rPr>
          <w:color w:val="auto"/>
        </w:rPr>
        <w:t>（1）梁滩河</w:t>
      </w:r>
    </w:p>
    <w:p w14:paraId="5B6B380A">
      <w:pPr>
        <w:ind w:firstLine="480"/>
        <w:rPr>
          <w:color w:val="auto"/>
        </w:rPr>
      </w:pPr>
      <w:r>
        <w:rPr>
          <w:color w:val="auto"/>
        </w:rPr>
        <w:t>梁滩河源头在区境内，右支流（梁滩河干流）发源于巴福镇童家石岭，流经白市驿镇、含谷镇，进入沙坪坝区西永、土主；左支流（莲花滩河）发源于走马镇的仰天窝，流经金凤镇，沙坪坝区曾家、陈家桥，在土主与右支流汇合后，在北碚区龙凤镇的毛背沱注入嘉陵江。梁滩河干流全长80.9km，区境内长21.4km，流域面积510.1km²，区境内144.70km²，多年平均径流量2.0814亿m³，平均坡降2.60‰，总落差224m。莲花滩河全长25.64km，区境内长13.13km，流域面积106.81km²，区境内61.54km²，多年平均径流量0.2684亿m³，平均坡降1.83‰，总落差96.8m。</w:t>
      </w:r>
    </w:p>
    <w:p w14:paraId="77B5BC6A">
      <w:pPr>
        <w:ind w:firstLine="480"/>
        <w:rPr>
          <w:color w:val="auto"/>
        </w:rPr>
      </w:pPr>
      <w:r>
        <w:rPr>
          <w:color w:val="auto"/>
        </w:rPr>
        <w:t>（2）大溪河</w:t>
      </w:r>
    </w:p>
    <w:p w14:paraId="690F5A3A">
      <w:pPr>
        <w:ind w:firstLine="480"/>
        <w:rPr>
          <w:color w:val="auto"/>
        </w:rPr>
      </w:pPr>
      <w:r>
        <w:rPr>
          <w:color w:val="auto"/>
        </w:rPr>
        <w:t>大溪河发源于九龙坡区的走马镇石坝子，自北向南流经江津双福新区后进入团结水库库区，经团结水库坝址，后自西北向东南进入九龙坡区西彭镇、陶家镇，于九龙坡区铜罐驿的下游注入长江。河道全长47.3km，流域面积199.05km²，河道天然落差478m，区境内长29.61km，区境内面积134.95km²，多年平均径流量0.7013亿m³，平均坡降1.20‰，总落差200m，在境内有支流磨刀溪。</w:t>
      </w:r>
    </w:p>
    <w:p w14:paraId="6DFEF552">
      <w:pPr>
        <w:ind w:firstLine="480"/>
        <w:rPr>
          <w:color w:val="auto"/>
        </w:rPr>
      </w:pPr>
      <w:r>
        <w:rPr>
          <w:color w:val="auto"/>
        </w:rPr>
        <w:t>（3）跳蹬河</w:t>
      </w:r>
    </w:p>
    <w:p w14:paraId="30A24A40">
      <w:pPr>
        <w:ind w:firstLine="480"/>
        <w:rPr>
          <w:color w:val="auto"/>
        </w:rPr>
      </w:pPr>
      <w:r>
        <w:rPr>
          <w:color w:val="auto"/>
        </w:rPr>
        <w:t>跳蹬河发源于沙坪坝区歌乐山狮子岩，流经覃家岗镇进入本区华岩镇，由大渡口区跳蹬镇小南海注入长江。全长15.25km，区境内长14.15km，流域面积68.32km²，区境内面积44.48km²，多年平均径流量0.2807亿m³，平均坡降2.4‰。</w:t>
      </w:r>
    </w:p>
    <w:p w14:paraId="04D79770">
      <w:pPr>
        <w:ind w:firstLine="480"/>
        <w:rPr>
          <w:color w:val="auto"/>
        </w:rPr>
      </w:pPr>
      <w:r>
        <w:rPr>
          <w:color w:val="auto"/>
        </w:rPr>
        <w:t>（4）桃花溪</w:t>
      </w:r>
    </w:p>
    <w:p w14:paraId="39A3F624">
      <w:pPr>
        <w:ind w:firstLine="480"/>
        <w:rPr>
          <w:color w:val="auto"/>
        </w:rPr>
      </w:pPr>
      <w:r>
        <w:rPr>
          <w:color w:val="auto"/>
        </w:rPr>
        <w:t>桃花溪为境内河流，发源于石桥镇唐家堡，经九龙镇鱼鳅浩注入长江。全长15.79km，流域面积31.12km²，多年平均径流量0.1261亿m³，平均坡降12.59‰。</w:t>
      </w:r>
    </w:p>
    <w:p w14:paraId="549F17DB">
      <w:pPr>
        <w:ind w:firstLine="480"/>
        <w:rPr>
          <w:color w:val="auto"/>
        </w:rPr>
      </w:pPr>
      <w:r>
        <w:rPr>
          <w:color w:val="auto"/>
        </w:rPr>
        <w:t>九龙坡区主要河流流域基本情况见表3.1-1。</w:t>
      </w:r>
    </w:p>
    <w:p w14:paraId="550CBAB9">
      <w:pPr>
        <w:pStyle w:val="43"/>
        <w:rPr>
          <w:color w:val="auto"/>
        </w:rPr>
      </w:pPr>
      <w:r>
        <w:rPr>
          <w:color w:val="auto"/>
        </w:rPr>
        <w:t>表3.1-1                九龙坡区主要河流流域基本情况表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22"/>
        <w:gridCol w:w="1035"/>
        <w:gridCol w:w="1035"/>
        <w:gridCol w:w="1035"/>
        <w:gridCol w:w="1035"/>
        <w:gridCol w:w="1035"/>
        <w:gridCol w:w="1035"/>
        <w:gridCol w:w="1592"/>
      </w:tblGrid>
      <w:tr w14:paraId="77681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Merge w:val="restart"/>
            <w:vAlign w:val="center"/>
          </w:tcPr>
          <w:p w14:paraId="28D6145B">
            <w:pPr>
              <w:pStyle w:val="44"/>
              <w:rPr>
                <w:color w:val="auto"/>
              </w:rPr>
            </w:pPr>
            <w:r>
              <w:rPr>
                <w:color w:val="auto"/>
              </w:rPr>
              <w:t>河流名称</w:t>
            </w:r>
          </w:p>
        </w:tc>
        <w:tc>
          <w:tcPr>
            <w:tcW w:w="2070" w:type="dxa"/>
            <w:gridSpan w:val="2"/>
            <w:vAlign w:val="center"/>
          </w:tcPr>
          <w:p w14:paraId="16426A76">
            <w:pPr>
              <w:pStyle w:val="44"/>
              <w:rPr>
                <w:color w:val="auto"/>
              </w:rPr>
            </w:pPr>
            <w:r>
              <w:rPr>
                <w:color w:val="auto"/>
              </w:rPr>
              <w:t>流域面积（km²）</w:t>
            </w:r>
          </w:p>
        </w:tc>
        <w:tc>
          <w:tcPr>
            <w:tcW w:w="2070" w:type="dxa"/>
            <w:gridSpan w:val="2"/>
            <w:vAlign w:val="center"/>
          </w:tcPr>
          <w:p w14:paraId="200606CA">
            <w:pPr>
              <w:pStyle w:val="44"/>
              <w:rPr>
                <w:color w:val="auto"/>
              </w:rPr>
            </w:pPr>
            <w:r>
              <w:rPr>
                <w:color w:val="auto"/>
              </w:rPr>
              <w:t>河道长度（km）</w:t>
            </w:r>
          </w:p>
        </w:tc>
        <w:tc>
          <w:tcPr>
            <w:tcW w:w="1035" w:type="dxa"/>
            <w:vMerge w:val="restart"/>
            <w:vAlign w:val="center"/>
          </w:tcPr>
          <w:p w14:paraId="727EA2E7">
            <w:pPr>
              <w:pStyle w:val="44"/>
              <w:rPr>
                <w:color w:val="auto"/>
              </w:rPr>
            </w:pPr>
            <w:r>
              <w:rPr>
                <w:color w:val="auto"/>
              </w:rPr>
              <w:t>总落差</w:t>
            </w:r>
          </w:p>
          <w:p w14:paraId="3FC5798F">
            <w:pPr>
              <w:pStyle w:val="44"/>
              <w:rPr>
                <w:color w:val="auto"/>
              </w:rPr>
            </w:pPr>
            <w:r>
              <w:rPr>
                <w:color w:val="auto"/>
              </w:rPr>
              <w:t>（m）</w:t>
            </w:r>
          </w:p>
        </w:tc>
        <w:tc>
          <w:tcPr>
            <w:tcW w:w="1035" w:type="dxa"/>
            <w:vMerge w:val="restart"/>
            <w:vAlign w:val="center"/>
          </w:tcPr>
          <w:p w14:paraId="464F4DC1">
            <w:pPr>
              <w:pStyle w:val="44"/>
              <w:rPr>
                <w:color w:val="auto"/>
              </w:rPr>
            </w:pPr>
            <w:r>
              <w:rPr>
                <w:color w:val="auto"/>
              </w:rPr>
              <w:t>平均坡降（‰）</w:t>
            </w:r>
          </w:p>
        </w:tc>
        <w:tc>
          <w:tcPr>
            <w:tcW w:w="1592" w:type="dxa"/>
            <w:vMerge w:val="restart"/>
            <w:vAlign w:val="center"/>
          </w:tcPr>
          <w:p w14:paraId="6AA57C58">
            <w:pPr>
              <w:pStyle w:val="44"/>
              <w:rPr>
                <w:color w:val="auto"/>
              </w:rPr>
            </w:pPr>
            <w:r>
              <w:rPr>
                <w:color w:val="auto"/>
              </w:rPr>
              <w:t>多年平均径流量（亿m³）</w:t>
            </w:r>
          </w:p>
        </w:tc>
      </w:tr>
      <w:tr w14:paraId="009EE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Merge w:val="continue"/>
            <w:vAlign w:val="center"/>
          </w:tcPr>
          <w:p w14:paraId="2FD58A9F">
            <w:pPr>
              <w:pStyle w:val="44"/>
              <w:rPr>
                <w:color w:val="auto"/>
              </w:rPr>
            </w:pPr>
          </w:p>
        </w:tc>
        <w:tc>
          <w:tcPr>
            <w:tcW w:w="1035" w:type="dxa"/>
            <w:vAlign w:val="center"/>
          </w:tcPr>
          <w:p w14:paraId="4EC68BB5">
            <w:pPr>
              <w:pStyle w:val="44"/>
              <w:rPr>
                <w:color w:val="auto"/>
              </w:rPr>
            </w:pPr>
            <w:r>
              <w:rPr>
                <w:color w:val="auto"/>
              </w:rPr>
              <w:t>全流域</w:t>
            </w:r>
          </w:p>
        </w:tc>
        <w:tc>
          <w:tcPr>
            <w:tcW w:w="1035" w:type="dxa"/>
            <w:vAlign w:val="center"/>
          </w:tcPr>
          <w:p w14:paraId="2F437232">
            <w:pPr>
              <w:pStyle w:val="44"/>
              <w:rPr>
                <w:color w:val="auto"/>
              </w:rPr>
            </w:pPr>
            <w:r>
              <w:rPr>
                <w:color w:val="auto"/>
              </w:rPr>
              <w:t>区境内</w:t>
            </w:r>
          </w:p>
        </w:tc>
        <w:tc>
          <w:tcPr>
            <w:tcW w:w="1035" w:type="dxa"/>
            <w:vAlign w:val="center"/>
          </w:tcPr>
          <w:p w14:paraId="742572FA">
            <w:pPr>
              <w:pStyle w:val="44"/>
              <w:rPr>
                <w:color w:val="auto"/>
              </w:rPr>
            </w:pPr>
            <w:r>
              <w:rPr>
                <w:color w:val="auto"/>
              </w:rPr>
              <w:t>全流域</w:t>
            </w:r>
          </w:p>
        </w:tc>
        <w:tc>
          <w:tcPr>
            <w:tcW w:w="1035" w:type="dxa"/>
            <w:vAlign w:val="center"/>
          </w:tcPr>
          <w:p w14:paraId="3F48718A">
            <w:pPr>
              <w:pStyle w:val="44"/>
              <w:rPr>
                <w:color w:val="auto"/>
              </w:rPr>
            </w:pPr>
            <w:r>
              <w:rPr>
                <w:color w:val="auto"/>
              </w:rPr>
              <w:t>区境内</w:t>
            </w:r>
          </w:p>
        </w:tc>
        <w:tc>
          <w:tcPr>
            <w:tcW w:w="1035" w:type="dxa"/>
            <w:vMerge w:val="continue"/>
            <w:vAlign w:val="center"/>
          </w:tcPr>
          <w:p w14:paraId="2FF899E7">
            <w:pPr>
              <w:pStyle w:val="44"/>
              <w:rPr>
                <w:color w:val="auto"/>
              </w:rPr>
            </w:pPr>
          </w:p>
        </w:tc>
        <w:tc>
          <w:tcPr>
            <w:tcW w:w="1035" w:type="dxa"/>
            <w:vMerge w:val="continue"/>
            <w:vAlign w:val="center"/>
          </w:tcPr>
          <w:p w14:paraId="370D38E6">
            <w:pPr>
              <w:pStyle w:val="44"/>
              <w:rPr>
                <w:color w:val="auto"/>
              </w:rPr>
            </w:pPr>
          </w:p>
        </w:tc>
        <w:tc>
          <w:tcPr>
            <w:tcW w:w="1592" w:type="dxa"/>
            <w:vMerge w:val="continue"/>
            <w:vAlign w:val="center"/>
          </w:tcPr>
          <w:p w14:paraId="0432D02F">
            <w:pPr>
              <w:pStyle w:val="44"/>
              <w:rPr>
                <w:color w:val="auto"/>
              </w:rPr>
            </w:pPr>
          </w:p>
        </w:tc>
      </w:tr>
      <w:tr w14:paraId="173DF4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Align w:val="center"/>
          </w:tcPr>
          <w:p w14:paraId="65D90F2C">
            <w:pPr>
              <w:pStyle w:val="44"/>
              <w:rPr>
                <w:color w:val="auto"/>
              </w:rPr>
            </w:pPr>
            <w:r>
              <w:rPr>
                <w:color w:val="auto"/>
              </w:rPr>
              <w:t>长江</w:t>
            </w:r>
          </w:p>
        </w:tc>
        <w:tc>
          <w:tcPr>
            <w:tcW w:w="1035" w:type="dxa"/>
            <w:vAlign w:val="center"/>
          </w:tcPr>
          <w:p w14:paraId="0A7EAC37">
            <w:pPr>
              <w:pStyle w:val="44"/>
              <w:rPr>
                <w:color w:val="auto"/>
              </w:rPr>
            </w:pPr>
            <w:r>
              <w:rPr>
                <w:color w:val="auto"/>
              </w:rPr>
              <w:t>1800000</w:t>
            </w:r>
          </w:p>
        </w:tc>
        <w:tc>
          <w:tcPr>
            <w:tcW w:w="1035" w:type="dxa"/>
            <w:vAlign w:val="center"/>
          </w:tcPr>
          <w:p w14:paraId="3CF25F49">
            <w:pPr>
              <w:pStyle w:val="44"/>
              <w:rPr>
                <w:color w:val="auto"/>
              </w:rPr>
            </w:pPr>
            <w:r>
              <w:rPr>
                <w:color w:val="auto"/>
              </w:rPr>
              <w:t>76.61</w:t>
            </w:r>
          </w:p>
        </w:tc>
        <w:tc>
          <w:tcPr>
            <w:tcW w:w="1035" w:type="dxa"/>
            <w:vAlign w:val="center"/>
          </w:tcPr>
          <w:p w14:paraId="61D58E6A">
            <w:pPr>
              <w:pStyle w:val="44"/>
              <w:rPr>
                <w:color w:val="auto"/>
              </w:rPr>
            </w:pPr>
            <w:r>
              <w:rPr>
                <w:color w:val="auto"/>
              </w:rPr>
              <w:t>6300</w:t>
            </w:r>
          </w:p>
        </w:tc>
        <w:tc>
          <w:tcPr>
            <w:tcW w:w="1035" w:type="dxa"/>
            <w:vAlign w:val="center"/>
          </w:tcPr>
          <w:p w14:paraId="78B5CF2E">
            <w:pPr>
              <w:pStyle w:val="44"/>
              <w:rPr>
                <w:color w:val="auto"/>
              </w:rPr>
            </w:pPr>
            <w:r>
              <w:rPr>
                <w:color w:val="auto"/>
              </w:rPr>
              <w:t>33.00</w:t>
            </w:r>
          </w:p>
        </w:tc>
        <w:tc>
          <w:tcPr>
            <w:tcW w:w="1035" w:type="dxa"/>
            <w:vAlign w:val="center"/>
          </w:tcPr>
          <w:p w14:paraId="2D013A02">
            <w:pPr>
              <w:pStyle w:val="44"/>
              <w:rPr>
                <w:color w:val="auto"/>
              </w:rPr>
            </w:pPr>
            <w:r>
              <w:rPr>
                <w:color w:val="auto"/>
              </w:rPr>
              <w:t>4730</w:t>
            </w:r>
          </w:p>
        </w:tc>
        <w:tc>
          <w:tcPr>
            <w:tcW w:w="1035" w:type="dxa"/>
            <w:vAlign w:val="center"/>
          </w:tcPr>
          <w:p w14:paraId="13B39559">
            <w:pPr>
              <w:pStyle w:val="44"/>
              <w:rPr>
                <w:color w:val="auto"/>
              </w:rPr>
            </w:pPr>
            <w:r>
              <w:rPr>
                <w:color w:val="auto"/>
              </w:rPr>
              <w:t>1.20</w:t>
            </w:r>
          </w:p>
        </w:tc>
        <w:tc>
          <w:tcPr>
            <w:tcW w:w="1592" w:type="dxa"/>
            <w:vAlign w:val="center"/>
          </w:tcPr>
          <w:p w14:paraId="10598978">
            <w:pPr>
              <w:pStyle w:val="44"/>
              <w:rPr>
                <w:color w:val="auto"/>
              </w:rPr>
            </w:pPr>
            <w:r>
              <w:rPr>
                <w:color w:val="auto"/>
              </w:rPr>
              <w:t>2776</w:t>
            </w:r>
          </w:p>
        </w:tc>
      </w:tr>
      <w:tr w14:paraId="24DCC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Align w:val="center"/>
          </w:tcPr>
          <w:p w14:paraId="3DD25109">
            <w:pPr>
              <w:pStyle w:val="44"/>
              <w:rPr>
                <w:color w:val="auto"/>
              </w:rPr>
            </w:pPr>
            <w:r>
              <w:rPr>
                <w:color w:val="auto"/>
              </w:rPr>
              <w:t>梁滩河</w:t>
            </w:r>
          </w:p>
        </w:tc>
        <w:tc>
          <w:tcPr>
            <w:tcW w:w="1035" w:type="dxa"/>
            <w:vAlign w:val="center"/>
          </w:tcPr>
          <w:p w14:paraId="1CB52E2F">
            <w:pPr>
              <w:pStyle w:val="44"/>
              <w:rPr>
                <w:color w:val="auto"/>
              </w:rPr>
            </w:pPr>
            <w:r>
              <w:rPr>
                <w:color w:val="auto"/>
              </w:rPr>
              <w:t>510.10</w:t>
            </w:r>
          </w:p>
        </w:tc>
        <w:tc>
          <w:tcPr>
            <w:tcW w:w="1035" w:type="dxa"/>
            <w:vAlign w:val="center"/>
          </w:tcPr>
          <w:p w14:paraId="68CA0EC4">
            <w:pPr>
              <w:pStyle w:val="44"/>
              <w:rPr>
                <w:color w:val="auto"/>
              </w:rPr>
            </w:pPr>
            <w:r>
              <w:rPr>
                <w:color w:val="auto"/>
              </w:rPr>
              <w:t>144.70</w:t>
            </w:r>
          </w:p>
        </w:tc>
        <w:tc>
          <w:tcPr>
            <w:tcW w:w="1035" w:type="dxa"/>
            <w:vAlign w:val="center"/>
          </w:tcPr>
          <w:p w14:paraId="27E4F896">
            <w:pPr>
              <w:pStyle w:val="44"/>
              <w:rPr>
                <w:color w:val="auto"/>
              </w:rPr>
            </w:pPr>
            <w:r>
              <w:rPr>
                <w:color w:val="auto"/>
              </w:rPr>
              <w:t>80.90</w:t>
            </w:r>
          </w:p>
        </w:tc>
        <w:tc>
          <w:tcPr>
            <w:tcW w:w="1035" w:type="dxa"/>
            <w:vAlign w:val="center"/>
          </w:tcPr>
          <w:p w14:paraId="73FB57B7">
            <w:pPr>
              <w:pStyle w:val="44"/>
              <w:rPr>
                <w:color w:val="auto"/>
              </w:rPr>
            </w:pPr>
            <w:r>
              <w:rPr>
                <w:color w:val="auto"/>
              </w:rPr>
              <w:t>21.40</w:t>
            </w:r>
          </w:p>
        </w:tc>
        <w:tc>
          <w:tcPr>
            <w:tcW w:w="1035" w:type="dxa"/>
            <w:vAlign w:val="center"/>
          </w:tcPr>
          <w:p w14:paraId="1E1B3951">
            <w:pPr>
              <w:pStyle w:val="44"/>
              <w:rPr>
                <w:color w:val="auto"/>
              </w:rPr>
            </w:pPr>
            <w:r>
              <w:rPr>
                <w:color w:val="auto"/>
              </w:rPr>
              <w:t>224.0</w:t>
            </w:r>
          </w:p>
        </w:tc>
        <w:tc>
          <w:tcPr>
            <w:tcW w:w="1035" w:type="dxa"/>
            <w:vAlign w:val="center"/>
          </w:tcPr>
          <w:p w14:paraId="271BE25A">
            <w:pPr>
              <w:pStyle w:val="44"/>
              <w:rPr>
                <w:color w:val="auto"/>
              </w:rPr>
            </w:pPr>
            <w:r>
              <w:rPr>
                <w:color w:val="auto"/>
              </w:rPr>
              <w:t>2.60</w:t>
            </w:r>
          </w:p>
        </w:tc>
        <w:tc>
          <w:tcPr>
            <w:tcW w:w="1592" w:type="dxa"/>
            <w:vAlign w:val="center"/>
          </w:tcPr>
          <w:p w14:paraId="74C52901">
            <w:pPr>
              <w:pStyle w:val="44"/>
              <w:rPr>
                <w:color w:val="auto"/>
              </w:rPr>
            </w:pPr>
            <w:r>
              <w:rPr>
                <w:color w:val="auto"/>
              </w:rPr>
              <w:t>2.0814</w:t>
            </w:r>
          </w:p>
        </w:tc>
      </w:tr>
      <w:tr w14:paraId="5843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Align w:val="center"/>
          </w:tcPr>
          <w:p w14:paraId="71AEC717">
            <w:pPr>
              <w:pStyle w:val="44"/>
              <w:rPr>
                <w:color w:val="auto"/>
              </w:rPr>
            </w:pPr>
            <w:r>
              <w:rPr>
                <w:color w:val="auto"/>
              </w:rPr>
              <w:t>莲花滩河</w:t>
            </w:r>
          </w:p>
        </w:tc>
        <w:tc>
          <w:tcPr>
            <w:tcW w:w="1035" w:type="dxa"/>
            <w:vAlign w:val="center"/>
          </w:tcPr>
          <w:p w14:paraId="22F1DC39">
            <w:pPr>
              <w:pStyle w:val="44"/>
              <w:rPr>
                <w:color w:val="auto"/>
              </w:rPr>
            </w:pPr>
            <w:r>
              <w:rPr>
                <w:color w:val="auto"/>
              </w:rPr>
              <w:t>106.81</w:t>
            </w:r>
          </w:p>
        </w:tc>
        <w:tc>
          <w:tcPr>
            <w:tcW w:w="1035" w:type="dxa"/>
            <w:vAlign w:val="center"/>
          </w:tcPr>
          <w:p w14:paraId="5F0ECBAF">
            <w:pPr>
              <w:pStyle w:val="44"/>
              <w:rPr>
                <w:color w:val="auto"/>
              </w:rPr>
            </w:pPr>
            <w:r>
              <w:rPr>
                <w:color w:val="auto"/>
              </w:rPr>
              <w:t>61.54</w:t>
            </w:r>
          </w:p>
        </w:tc>
        <w:tc>
          <w:tcPr>
            <w:tcW w:w="1035" w:type="dxa"/>
            <w:vAlign w:val="center"/>
          </w:tcPr>
          <w:p w14:paraId="79BA360C">
            <w:pPr>
              <w:pStyle w:val="44"/>
              <w:rPr>
                <w:color w:val="auto"/>
              </w:rPr>
            </w:pPr>
            <w:r>
              <w:rPr>
                <w:color w:val="auto"/>
              </w:rPr>
              <w:t>25.64</w:t>
            </w:r>
          </w:p>
        </w:tc>
        <w:tc>
          <w:tcPr>
            <w:tcW w:w="1035" w:type="dxa"/>
            <w:vAlign w:val="center"/>
          </w:tcPr>
          <w:p w14:paraId="4D0B42BD">
            <w:pPr>
              <w:pStyle w:val="44"/>
              <w:rPr>
                <w:color w:val="auto"/>
              </w:rPr>
            </w:pPr>
            <w:r>
              <w:rPr>
                <w:color w:val="auto"/>
              </w:rPr>
              <w:t>13.13</w:t>
            </w:r>
          </w:p>
        </w:tc>
        <w:tc>
          <w:tcPr>
            <w:tcW w:w="1035" w:type="dxa"/>
            <w:vAlign w:val="center"/>
          </w:tcPr>
          <w:p w14:paraId="09BE645B">
            <w:pPr>
              <w:pStyle w:val="44"/>
              <w:rPr>
                <w:color w:val="auto"/>
              </w:rPr>
            </w:pPr>
            <w:r>
              <w:rPr>
                <w:color w:val="auto"/>
              </w:rPr>
              <w:t>96.8</w:t>
            </w:r>
          </w:p>
        </w:tc>
        <w:tc>
          <w:tcPr>
            <w:tcW w:w="1035" w:type="dxa"/>
            <w:vAlign w:val="center"/>
          </w:tcPr>
          <w:p w14:paraId="257EBB6F">
            <w:pPr>
              <w:pStyle w:val="44"/>
              <w:rPr>
                <w:color w:val="auto"/>
              </w:rPr>
            </w:pPr>
            <w:r>
              <w:rPr>
                <w:color w:val="auto"/>
              </w:rPr>
              <w:t>1.83</w:t>
            </w:r>
          </w:p>
        </w:tc>
        <w:tc>
          <w:tcPr>
            <w:tcW w:w="1592" w:type="dxa"/>
            <w:vAlign w:val="center"/>
          </w:tcPr>
          <w:p w14:paraId="2A9405A6">
            <w:pPr>
              <w:pStyle w:val="44"/>
              <w:rPr>
                <w:color w:val="auto"/>
              </w:rPr>
            </w:pPr>
            <w:r>
              <w:rPr>
                <w:color w:val="auto"/>
              </w:rPr>
              <w:t>0.2684</w:t>
            </w:r>
          </w:p>
        </w:tc>
      </w:tr>
      <w:tr w14:paraId="78620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Align w:val="center"/>
          </w:tcPr>
          <w:p w14:paraId="08AB870E">
            <w:pPr>
              <w:pStyle w:val="44"/>
              <w:rPr>
                <w:color w:val="auto"/>
              </w:rPr>
            </w:pPr>
            <w:r>
              <w:rPr>
                <w:color w:val="auto"/>
              </w:rPr>
              <w:t>大溪河</w:t>
            </w:r>
          </w:p>
        </w:tc>
        <w:tc>
          <w:tcPr>
            <w:tcW w:w="1035" w:type="dxa"/>
            <w:vAlign w:val="center"/>
          </w:tcPr>
          <w:p w14:paraId="21BE2DE4">
            <w:pPr>
              <w:pStyle w:val="44"/>
              <w:rPr>
                <w:color w:val="auto"/>
              </w:rPr>
            </w:pPr>
            <w:r>
              <w:rPr>
                <w:color w:val="auto"/>
              </w:rPr>
              <w:t>199.05</w:t>
            </w:r>
          </w:p>
        </w:tc>
        <w:tc>
          <w:tcPr>
            <w:tcW w:w="1035" w:type="dxa"/>
            <w:vAlign w:val="center"/>
          </w:tcPr>
          <w:p w14:paraId="05F3FC0B">
            <w:pPr>
              <w:pStyle w:val="44"/>
              <w:rPr>
                <w:color w:val="auto"/>
              </w:rPr>
            </w:pPr>
            <w:r>
              <w:rPr>
                <w:color w:val="auto"/>
              </w:rPr>
              <w:t>134.95</w:t>
            </w:r>
          </w:p>
        </w:tc>
        <w:tc>
          <w:tcPr>
            <w:tcW w:w="1035" w:type="dxa"/>
            <w:vAlign w:val="center"/>
          </w:tcPr>
          <w:p w14:paraId="079059A2">
            <w:pPr>
              <w:pStyle w:val="44"/>
              <w:rPr>
                <w:color w:val="auto"/>
              </w:rPr>
            </w:pPr>
            <w:r>
              <w:rPr>
                <w:color w:val="auto"/>
              </w:rPr>
              <w:t>47.30</w:t>
            </w:r>
          </w:p>
        </w:tc>
        <w:tc>
          <w:tcPr>
            <w:tcW w:w="1035" w:type="dxa"/>
            <w:vAlign w:val="center"/>
          </w:tcPr>
          <w:p w14:paraId="00F59E9A">
            <w:pPr>
              <w:pStyle w:val="44"/>
              <w:rPr>
                <w:color w:val="auto"/>
              </w:rPr>
            </w:pPr>
            <w:r>
              <w:rPr>
                <w:color w:val="auto"/>
              </w:rPr>
              <w:t>22.35</w:t>
            </w:r>
          </w:p>
        </w:tc>
        <w:tc>
          <w:tcPr>
            <w:tcW w:w="1035" w:type="dxa"/>
            <w:vAlign w:val="center"/>
          </w:tcPr>
          <w:p w14:paraId="04EFF27B">
            <w:pPr>
              <w:pStyle w:val="44"/>
              <w:rPr>
                <w:color w:val="auto"/>
              </w:rPr>
            </w:pPr>
            <w:r>
              <w:rPr>
                <w:color w:val="auto"/>
              </w:rPr>
              <w:t>200.0</w:t>
            </w:r>
          </w:p>
        </w:tc>
        <w:tc>
          <w:tcPr>
            <w:tcW w:w="1035" w:type="dxa"/>
            <w:vAlign w:val="center"/>
          </w:tcPr>
          <w:p w14:paraId="2CEC8F9B">
            <w:pPr>
              <w:pStyle w:val="44"/>
              <w:rPr>
                <w:color w:val="auto"/>
              </w:rPr>
            </w:pPr>
            <w:r>
              <w:rPr>
                <w:color w:val="auto"/>
              </w:rPr>
              <w:t>1.20</w:t>
            </w:r>
          </w:p>
        </w:tc>
        <w:tc>
          <w:tcPr>
            <w:tcW w:w="1592" w:type="dxa"/>
            <w:vAlign w:val="center"/>
          </w:tcPr>
          <w:p w14:paraId="1E0083D0">
            <w:pPr>
              <w:pStyle w:val="44"/>
              <w:rPr>
                <w:color w:val="auto"/>
              </w:rPr>
            </w:pPr>
            <w:r>
              <w:rPr>
                <w:color w:val="auto"/>
              </w:rPr>
              <w:t>0.7013</w:t>
            </w:r>
          </w:p>
        </w:tc>
      </w:tr>
      <w:tr w14:paraId="5DD3A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Align w:val="center"/>
          </w:tcPr>
          <w:p w14:paraId="72115E2C">
            <w:pPr>
              <w:pStyle w:val="44"/>
              <w:rPr>
                <w:color w:val="auto"/>
              </w:rPr>
            </w:pPr>
            <w:r>
              <w:rPr>
                <w:color w:val="auto"/>
              </w:rPr>
              <w:t>跳蹬河</w:t>
            </w:r>
          </w:p>
        </w:tc>
        <w:tc>
          <w:tcPr>
            <w:tcW w:w="1035" w:type="dxa"/>
            <w:vAlign w:val="center"/>
          </w:tcPr>
          <w:p w14:paraId="1FCA9DB8">
            <w:pPr>
              <w:pStyle w:val="44"/>
              <w:rPr>
                <w:color w:val="auto"/>
              </w:rPr>
            </w:pPr>
            <w:r>
              <w:rPr>
                <w:color w:val="auto"/>
              </w:rPr>
              <w:t>68.32</w:t>
            </w:r>
          </w:p>
        </w:tc>
        <w:tc>
          <w:tcPr>
            <w:tcW w:w="1035" w:type="dxa"/>
            <w:vAlign w:val="center"/>
          </w:tcPr>
          <w:p w14:paraId="3A49ABA3">
            <w:pPr>
              <w:pStyle w:val="44"/>
              <w:rPr>
                <w:color w:val="auto"/>
              </w:rPr>
            </w:pPr>
            <w:r>
              <w:rPr>
                <w:color w:val="auto"/>
              </w:rPr>
              <w:t>44.48</w:t>
            </w:r>
          </w:p>
        </w:tc>
        <w:tc>
          <w:tcPr>
            <w:tcW w:w="1035" w:type="dxa"/>
            <w:vAlign w:val="center"/>
          </w:tcPr>
          <w:p w14:paraId="1A1B4EF0">
            <w:pPr>
              <w:pStyle w:val="44"/>
              <w:rPr>
                <w:color w:val="auto"/>
              </w:rPr>
            </w:pPr>
            <w:r>
              <w:rPr>
                <w:color w:val="auto"/>
              </w:rPr>
              <w:t>15.25</w:t>
            </w:r>
          </w:p>
        </w:tc>
        <w:tc>
          <w:tcPr>
            <w:tcW w:w="1035" w:type="dxa"/>
            <w:vAlign w:val="center"/>
          </w:tcPr>
          <w:p w14:paraId="4E22F56D">
            <w:pPr>
              <w:pStyle w:val="44"/>
              <w:rPr>
                <w:color w:val="auto"/>
              </w:rPr>
            </w:pPr>
            <w:r>
              <w:rPr>
                <w:color w:val="auto"/>
              </w:rPr>
              <w:t>14.15</w:t>
            </w:r>
          </w:p>
        </w:tc>
        <w:tc>
          <w:tcPr>
            <w:tcW w:w="1035" w:type="dxa"/>
            <w:vAlign w:val="center"/>
          </w:tcPr>
          <w:p w14:paraId="275FCC4A">
            <w:pPr>
              <w:pStyle w:val="44"/>
              <w:rPr>
                <w:color w:val="auto"/>
              </w:rPr>
            </w:pPr>
            <w:r>
              <w:rPr>
                <w:color w:val="auto"/>
              </w:rPr>
              <w:t>421.0</w:t>
            </w:r>
          </w:p>
        </w:tc>
        <w:tc>
          <w:tcPr>
            <w:tcW w:w="1035" w:type="dxa"/>
            <w:vAlign w:val="center"/>
          </w:tcPr>
          <w:p w14:paraId="22374D7B">
            <w:pPr>
              <w:pStyle w:val="44"/>
              <w:rPr>
                <w:color w:val="auto"/>
              </w:rPr>
            </w:pPr>
            <w:r>
              <w:rPr>
                <w:color w:val="auto"/>
              </w:rPr>
              <w:t>2.40</w:t>
            </w:r>
          </w:p>
        </w:tc>
        <w:tc>
          <w:tcPr>
            <w:tcW w:w="1592" w:type="dxa"/>
            <w:vAlign w:val="center"/>
          </w:tcPr>
          <w:p w14:paraId="60D7B62C">
            <w:pPr>
              <w:pStyle w:val="44"/>
              <w:rPr>
                <w:color w:val="auto"/>
              </w:rPr>
            </w:pPr>
            <w:r>
              <w:rPr>
                <w:color w:val="auto"/>
              </w:rPr>
              <w:t>0.2807</w:t>
            </w:r>
          </w:p>
        </w:tc>
      </w:tr>
      <w:tr w14:paraId="1E1F7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22" w:type="dxa"/>
            <w:vAlign w:val="center"/>
          </w:tcPr>
          <w:p w14:paraId="21045E74">
            <w:pPr>
              <w:pStyle w:val="44"/>
              <w:rPr>
                <w:color w:val="auto"/>
              </w:rPr>
            </w:pPr>
            <w:r>
              <w:rPr>
                <w:color w:val="auto"/>
              </w:rPr>
              <w:t>桃花溪</w:t>
            </w:r>
          </w:p>
        </w:tc>
        <w:tc>
          <w:tcPr>
            <w:tcW w:w="1035" w:type="dxa"/>
            <w:vAlign w:val="center"/>
          </w:tcPr>
          <w:p w14:paraId="22D4BB63">
            <w:pPr>
              <w:pStyle w:val="44"/>
              <w:rPr>
                <w:color w:val="auto"/>
              </w:rPr>
            </w:pPr>
            <w:r>
              <w:rPr>
                <w:color w:val="auto"/>
              </w:rPr>
              <w:t>31.12</w:t>
            </w:r>
          </w:p>
        </w:tc>
        <w:tc>
          <w:tcPr>
            <w:tcW w:w="1035" w:type="dxa"/>
            <w:vAlign w:val="center"/>
          </w:tcPr>
          <w:p w14:paraId="362C57A7">
            <w:pPr>
              <w:pStyle w:val="44"/>
              <w:rPr>
                <w:color w:val="auto"/>
              </w:rPr>
            </w:pPr>
            <w:r>
              <w:rPr>
                <w:color w:val="auto"/>
              </w:rPr>
              <w:t>31.12</w:t>
            </w:r>
          </w:p>
        </w:tc>
        <w:tc>
          <w:tcPr>
            <w:tcW w:w="1035" w:type="dxa"/>
            <w:vAlign w:val="center"/>
          </w:tcPr>
          <w:p w14:paraId="0AE78C57">
            <w:pPr>
              <w:pStyle w:val="44"/>
              <w:rPr>
                <w:color w:val="auto"/>
              </w:rPr>
            </w:pPr>
            <w:r>
              <w:rPr>
                <w:color w:val="auto"/>
              </w:rPr>
              <w:t>15.79</w:t>
            </w:r>
          </w:p>
        </w:tc>
        <w:tc>
          <w:tcPr>
            <w:tcW w:w="1035" w:type="dxa"/>
            <w:vAlign w:val="center"/>
          </w:tcPr>
          <w:p w14:paraId="4C608CF7">
            <w:pPr>
              <w:pStyle w:val="44"/>
              <w:rPr>
                <w:color w:val="auto"/>
              </w:rPr>
            </w:pPr>
            <w:r>
              <w:rPr>
                <w:color w:val="auto"/>
              </w:rPr>
              <w:t>15.79</w:t>
            </w:r>
          </w:p>
        </w:tc>
        <w:tc>
          <w:tcPr>
            <w:tcW w:w="1035" w:type="dxa"/>
            <w:vAlign w:val="center"/>
          </w:tcPr>
          <w:p w14:paraId="163ABD9E">
            <w:pPr>
              <w:pStyle w:val="44"/>
              <w:rPr>
                <w:color w:val="auto"/>
              </w:rPr>
            </w:pPr>
            <w:r>
              <w:rPr>
                <w:color w:val="auto"/>
              </w:rPr>
              <w:t>247.5</w:t>
            </w:r>
          </w:p>
        </w:tc>
        <w:tc>
          <w:tcPr>
            <w:tcW w:w="1035" w:type="dxa"/>
            <w:vAlign w:val="center"/>
          </w:tcPr>
          <w:p w14:paraId="25BDC325">
            <w:pPr>
              <w:pStyle w:val="44"/>
              <w:rPr>
                <w:color w:val="auto"/>
              </w:rPr>
            </w:pPr>
            <w:r>
              <w:rPr>
                <w:color w:val="auto"/>
              </w:rPr>
              <w:t>12.59</w:t>
            </w:r>
          </w:p>
        </w:tc>
        <w:tc>
          <w:tcPr>
            <w:tcW w:w="1592" w:type="dxa"/>
            <w:vAlign w:val="center"/>
          </w:tcPr>
          <w:p w14:paraId="3E9CB260">
            <w:pPr>
              <w:pStyle w:val="44"/>
              <w:rPr>
                <w:color w:val="auto"/>
              </w:rPr>
            </w:pPr>
            <w:r>
              <w:rPr>
                <w:color w:val="auto"/>
              </w:rPr>
              <w:t>0.1261</w:t>
            </w:r>
          </w:p>
        </w:tc>
      </w:tr>
    </w:tbl>
    <w:p w14:paraId="2409078F">
      <w:pPr>
        <w:pStyle w:val="5"/>
        <w:numPr>
          <w:ilvl w:val="0"/>
          <w:numId w:val="0"/>
        </w:numPr>
        <w:spacing w:before="166" w:after="166"/>
        <w:rPr>
          <w:color w:val="auto"/>
        </w:rPr>
      </w:pPr>
      <w:r>
        <w:rPr>
          <w:color w:val="auto"/>
        </w:rPr>
        <w:t>3.1.2 水功能区划情况</w:t>
      </w:r>
    </w:p>
    <w:p w14:paraId="00EDAB1D">
      <w:pPr>
        <w:pStyle w:val="6"/>
        <w:numPr>
          <w:ilvl w:val="3"/>
          <w:numId w:val="0"/>
        </w:numPr>
        <w:rPr>
          <w:color w:val="auto"/>
        </w:rPr>
      </w:pPr>
      <w:r>
        <w:rPr>
          <w:rFonts w:hint="eastAsia"/>
          <w:color w:val="auto"/>
        </w:rPr>
        <w:t>3.1.2.1水功能区划</w:t>
      </w:r>
    </w:p>
    <w:p w14:paraId="3F829AE8">
      <w:pPr>
        <w:ind w:firstLine="480"/>
        <w:rPr>
          <w:color w:val="auto"/>
        </w:rPr>
      </w:pPr>
      <w:r>
        <w:rPr>
          <w:rFonts w:hint="eastAsia"/>
          <w:color w:val="auto"/>
        </w:rPr>
        <w:t>（1）</w:t>
      </w:r>
      <w:r>
        <w:rPr>
          <w:color w:val="auto"/>
        </w:rPr>
        <w:t>九龙坡区水功能区划</w:t>
      </w:r>
    </w:p>
    <w:p w14:paraId="2800BB87">
      <w:pPr>
        <w:ind w:firstLine="480"/>
        <w:rPr>
          <w:color w:val="auto"/>
        </w:rPr>
      </w:pPr>
      <w:r>
        <w:rPr>
          <w:color w:val="auto"/>
        </w:rPr>
        <w:t>根据《重庆市九龙坡区水功能区划修编报告（2017年）》（重庆禹智水利电力工程咨询有限公司，2017年10月）：</w:t>
      </w:r>
    </w:p>
    <w:p w14:paraId="33906C32">
      <w:pPr>
        <w:ind w:firstLine="480"/>
        <w:rPr>
          <w:color w:val="auto"/>
        </w:rPr>
      </w:pPr>
      <w:r>
        <w:rPr>
          <w:color w:val="auto"/>
        </w:rPr>
        <w:t>九龙坡区境内长江共有2个一级水功能区，2个二级水功能区，一级水功能区包括1个开发利用区，1个保护区，1个开发利用区划分为2个二级水功能区，即长江三峡库区九龙坡饮用水源区，长江三峡库区九龙坡景观娱乐、工业用水区。</w:t>
      </w:r>
    </w:p>
    <w:p w14:paraId="6F634A48">
      <w:pPr>
        <w:ind w:firstLine="480"/>
        <w:rPr>
          <w:color w:val="auto"/>
        </w:rPr>
      </w:pPr>
      <w:r>
        <w:rPr>
          <w:color w:val="auto"/>
        </w:rPr>
        <w:t>桃花溪共有1个一级水功能区，1个二级水功能区。一级水功能区为桃花溪九龙坡开发利用区，二级水功能区为桃花溪景观娱乐用水区。</w:t>
      </w:r>
    </w:p>
    <w:p w14:paraId="78889E59">
      <w:pPr>
        <w:ind w:firstLine="480"/>
        <w:rPr>
          <w:color w:val="auto"/>
        </w:rPr>
      </w:pPr>
      <w:r>
        <w:rPr>
          <w:color w:val="auto"/>
        </w:rPr>
        <w:t>跳蹬河共有1个一级水功能区，1个二级水功能区。一级水功能区为跳蹬河九龙坡开发利用区，二级水功能区为跳蹬河农业用水区。</w:t>
      </w:r>
    </w:p>
    <w:p w14:paraId="07770DF1">
      <w:pPr>
        <w:ind w:firstLine="480"/>
        <w:rPr>
          <w:color w:val="auto"/>
        </w:rPr>
      </w:pPr>
      <w:r>
        <w:rPr>
          <w:color w:val="auto"/>
        </w:rPr>
        <w:t>大溪河共有1个一级水功能区，2个二级水功能区。一级水功能区为个大溪河九龙坡开发利用区， 二级水功能区为大溪河九龙坡农业用水区、大溪河九龙坡景观娱乐用水区。</w:t>
      </w:r>
    </w:p>
    <w:p w14:paraId="7E0B1ADD">
      <w:pPr>
        <w:pStyle w:val="43"/>
        <w:rPr>
          <w:color w:val="auto"/>
        </w:rPr>
      </w:pPr>
      <w:r>
        <w:rPr>
          <w:color w:val="auto"/>
        </w:rPr>
        <w:t xml:space="preserve">表3.1-2                     九龙坡区一级水功能区划情况      </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9"/>
        <w:gridCol w:w="2606"/>
        <w:gridCol w:w="959"/>
        <w:gridCol w:w="1300"/>
        <w:gridCol w:w="1550"/>
        <w:gridCol w:w="905"/>
        <w:gridCol w:w="1063"/>
      </w:tblGrid>
      <w:tr w14:paraId="4BE70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400" w:type="pct"/>
            <w:vAlign w:val="center"/>
          </w:tcPr>
          <w:p w14:paraId="07CA22BD">
            <w:pPr>
              <w:pStyle w:val="44"/>
              <w:rPr>
                <w:color w:val="auto"/>
              </w:rPr>
            </w:pPr>
            <w:r>
              <w:rPr>
                <w:color w:val="auto"/>
              </w:rPr>
              <w:t>编码</w:t>
            </w:r>
          </w:p>
        </w:tc>
        <w:tc>
          <w:tcPr>
            <w:tcW w:w="1429" w:type="pct"/>
            <w:vAlign w:val="center"/>
          </w:tcPr>
          <w:p w14:paraId="3870C017">
            <w:pPr>
              <w:pStyle w:val="44"/>
              <w:rPr>
                <w:color w:val="auto"/>
              </w:rPr>
            </w:pPr>
            <w:r>
              <w:rPr>
                <w:color w:val="auto"/>
              </w:rPr>
              <w:t>水功能一级区名称</w:t>
            </w:r>
          </w:p>
        </w:tc>
        <w:tc>
          <w:tcPr>
            <w:tcW w:w="526" w:type="pct"/>
            <w:vAlign w:val="center"/>
          </w:tcPr>
          <w:p w14:paraId="3D66114C">
            <w:pPr>
              <w:pStyle w:val="44"/>
              <w:rPr>
                <w:color w:val="auto"/>
              </w:rPr>
            </w:pPr>
            <w:r>
              <w:rPr>
                <w:color w:val="auto"/>
              </w:rPr>
              <w:t>所在河流</w:t>
            </w:r>
          </w:p>
        </w:tc>
        <w:tc>
          <w:tcPr>
            <w:tcW w:w="713" w:type="pct"/>
            <w:vAlign w:val="center"/>
          </w:tcPr>
          <w:p w14:paraId="77ADC31F">
            <w:pPr>
              <w:pStyle w:val="44"/>
              <w:rPr>
                <w:color w:val="auto"/>
              </w:rPr>
            </w:pPr>
            <w:r>
              <w:rPr>
                <w:color w:val="auto"/>
              </w:rPr>
              <w:t>起始范围</w:t>
            </w:r>
          </w:p>
        </w:tc>
        <w:tc>
          <w:tcPr>
            <w:tcW w:w="850" w:type="pct"/>
            <w:vAlign w:val="center"/>
          </w:tcPr>
          <w:p w14:paraId="6D04D738">
            <w:pPr>
              <w:pStyle w:val="44"/>
              <w:rPr>
                <w:color w:val="auto"/>
              </w:rPr>
            </w:pPr>
            <w:r>
              <w:rPr>
                <w:color w:val="auto"/>
              </w:rPr>
              <w:t>终止范围</w:t>
            </w:r>
          </w:p>
        </w:tc>
        <w:tc>
          <w:tcPr>
            <w:tcW w:w="496" w:type="pct"/>
            <w:vAlign w:val="center"/>
          </w:tcPr>
          <w:p w14:paraId="2AB864BF">
            <w:pPr>
              <w:pStyle w:val="44"/>
              <w:rPr>
                <w:color w:val="auto"/>
              </w:rPr>
            </w:pPr>
            <w:r>
              <w:rPr>
                <w:color w:val="auto"/>
              </w:rPr>
              <w:t>长度（km</w:t>
            </w:r>
            <w:r>
              <w:rPr>
                <w:rFonts w:hint="eastAsia"/>
                <w:color w:val="auto"/>
              </w:rPr>
              <w:t>）</w:t>
            </w:r>
          </w:p>
        </w:tc>
        <w:tc>
          <w:tcPr>
            <w:tcW w:w="583" w:type="pct"/>
            <w:vAlign w:val="center"/>
          </w:tcPr>
          <w:p w14:paraId="47D9B8E3">
            <w:pPr>
              <w:pStyle w:val="44"/>
              <w:rPr>
                <w:color w:val="auto"/>
              </w:rPr>
            </w:pPr>
            <w:r>
              <w:rPr>
                <w:color w:val="auto"/>
              </w:rPr>
              <w:t>水质目标</w:t>
            </w:r>
          </w:p>
        </w:tc>
      </w:tr>
      <w:tr w14:paraId="39EE9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400" w:type="pct"/>
            <w:vAlign w:val="center"/>
          </w:tcPr>
          <w:p w14:paraId="3503A911">
            <w:pPr>
              <w:pStyle w:val="44"/>
              <w:rPr>
                <w:color w:val="auto"/>
              </w:rPr>
            </w:pPr>
            <w:r>
              <w:rPr>
                <w:color w:val="auto"/>
              </w:rPr>
              <w:t>1</w:t>
            </w:r>
          </w:p>
        </w:tc>
        <w:tc>
          <w:tcPr>
            <w:tcW w:w="1429" w:type="pct"/>
            <w:vAlign w:val="center"/>
          </w:tcPr>
          <w:p w14:paraId="52F742B1">
            <w:pPr>
              <w:pStyle w:val="44"/>
              <w:rPr>
                <w:color w:val="auto"/>
              </w:rPr>
            </w:pPr>
            <w:r>
              <w:rPr>
                <w:color w:val="auto"/>
              </w:rPr>
              <w:t>长江上游珍稀、特有鱼类国家级自然保护区</w:t>
            </w:r>
          </w:p>
          <w:p w14:paraId="037DCC56">
            <w:pPr>
              <w:pStyle w:val="44"/>
              <w:rPr>
                <w:color w:val="auto"/>
              </w:rPr>
            </w:pPr>
            <w:r>
              <w:rPr>
                <w:color w:val="auto"/>
              </w:rPr>
              <w:t>（九龙坡段）</w:t>
            </w:r>
          </w:p>
        </w:tc>
        <w:tc>
          <w:tcPr>
            <w:tcW w:w="526" w:type="pct"/>
            <w:vAlign w:val="center"/>
          </w:tcPr>
          <w:p w14:paraId="510E877D">
            <w:pPr>
              <w:pStyle w:val="44"/>
              <w:rPr>
                <w:color w:val="auto"/>
              </w:rPr>
            </w:pPr>
            <w:r>
              <w:rPr>
                <w:color w:val="auto"/>
              </w:rPr>
              <w:t>长江</w:t>
            </w:r>
          </w:p>
        </w:tc>
        <w:tc>
          <w:tcPr>
            <w:tcW w:w="713" w:type="pct"/>
            <w:vAlign w:val="center"/>
          </w:tcPr>
          <w:p w14:paraId="43BD903F">
            <w:pPr>
              <w:pStyle w:val="44"/>
              <w:rPr>
                <w:color w:val="auto"/>
              </w:rPr>
            </w:pPr>
            <w:r>
              <w:rPr>
                <w:color w:val="auto"/>
              </w:rPr>
              <w:t>西彭镇渡头溪</w:t>
            </w:r>
          </w:p>
        </w:tc>
        <w:tc>
          <w:tcPr>
            <w:tcW w:w="850" w:type="pct"/>
            <w:vAlign w:val="center"/>
          </w:tcPr>
          <w:p w14:paraId="2B4CCF0F">
            <w:pPr>
              <w:pStyle w:val="44"/>
              <w:rPr>
                <w:color w:val="auto"/>
              </w:rPr>
            </w:pPr>
            <w:r>
              <w:rPr>
                <w:color w:val="auto"/>
              </w:rPr>
              <w:t>陶家镇猫儿峡</w:t>
            </w:r>
          </w:p>
        </w:tc>
        <w:tc>
          <w:tcPr>
            <w:tcW w:w="496" w:type="pct"/>
            <w:vAlign w:val="center"/>
          </w:tcPr>
          <w:p w14:paraId="18B289AE">
            <w:pPr>
              <w:pStyle w:val="44"/>
              <w:rPr>
                <w:color w:val="auto"/>
              </w:rPr>
            </w:pPr>
            <w:r>
              <w:rPr>
                <w:color w:val="auto"/>
              </w:rPr>
              <w:t>21.00</w:t>
            </w:r>
          </w:p>
        </w:tc>
        <w:tc>
          <w:tcPr>
            <w:tcW w:w="583" w:type="pct"/>
            <w:vAlign w:val="center"/>
          </w:tcPr>
          <w:p w14:paraId="12FFD188">
            <w:pPr>
              <w:pStyle w:val="44"/>
              <w:rPr>
                <w:color w:val="auto"/>
              </w:rPr>
            </w:pPr>
            <w:r>
              <w:rPr>
                <w:color w:val="auto"/>
              </w:rPr>
              <w:t>Ⅱ类</w:t>
            </w:r>
          </w:p>
        </w:tc>
      </w:tr>
      <w:tr w14:paraId="06249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400" w:type="pct"/>
            <w:vAlign w:val="center"/>
          </w:tcPr>
          <w:p w14:paraId="1828B51A">
            <w:pPr>
              <w:pStyle w:val="44"/>
              <w:rPr>
                <w:color w:val="auto"/>
              </w:rPr>
            </w:pPr>
            <w:r>
              <w:rPr>
                <w:color w:val="auto"/>
              </w:rPr>
              <w:t>2</w:t>
            </w:r>
          </w:p>
        </w:tc>
        <w:tc>
          <w:tcPr>
            <w:tcW w:w="1429" w:type="pct"/>
            <w:vAlign w:val="center"/>
          </w:tcPr>
          <w:p w14:paraId="549CC868">
            <w:pPr>
              <w:pStyle w:val="44"/>
              <w:rPr>
                <w:color w:val="auto"/>
              </w:rPr>
            </w:pPr>
            <w:r>
              <w:rPr>
                <w:color w:val="auto"/>
              </w:rPr>
              <w:t>长江三峡库区重庆城区开发利用区（九龙坡段）</w:t>
            </w:r>
          </w:p>
        </w:tc>
        <w:tc>
          <w:tcPr>
            <w:tcW w:w="526" w:type="pct"/>
            <w:vAlign w:val="center"/>
          </w:tcPr>
          <w:p w14:paraId="10E4634C">
            <w:pPr>
              <w:pStyle w:val="44"/>
              <w:rPr>
                <w:color w:val="auto"/>
              </w:rPr>
            </w:pPr>
            <w:r>
              <w:rPr>
                <w:color w:val="auto"/>
              </w:rPr>
              <w:t>长江</w:t>
            </w:r>
          </w:p>
        </w:tc>
        <w:tc>
          <w:tcPr>
            <w:tcW w:w="713" w:type="pct"/>
            <w:vAlign w:val="center"/>
          </w:tcPr>
          <w:p w14:paraId="2B5E2A2F">
            <w:pPr>
              <w:pStyle w:val="44"/>
              <w:rPr>
                <w:color w:val="auto"/>
              </w:rPr>
            </w:pPr>
            <w:r>
              <w:rPr>
                <w:color w:val="auto"/>
              </w:rPr>
              <w:t>鱼鳅浩</w:t>
            </w:r>
          </w:p>
        </w:tc>
        <w:tc>
          <w:tcPr>
            <w:tcW w:w="850" w:type="pct"/>
            <w:vAlign w:val="center"/>
          </w:tcPr>
          <w:p w14:paraId="722EA4E5">
            <w:pPr>
              <w:pStyle w:val="44"/>
              <w:rPr>
                <w:color w:val="auto"/>
              </w:rPr>
            </w:pPr>
            <w:r>
              <w:rPr>
                <w:color w:val="auto"/>
              </w:rPr>
              <w:t>黄沙溪</w:t>
            </w:r>
          </w:p>
        </w:tc>
        <w:tc>
          <w:tcPr>
            <w:tcW w:w="496" w:type="pct"/>
            <w:vAlign w:val="center"/>
          </w:tcPr>
          <w:p w14:paraId="3CBA4482">
            <w:pPr>
              <w:pStyle w:val="44"/>
              <w:rPr>
                <w:color w:val="auto"/>
              </w:rPr>
            </w:pPr>
            <w:r>
              <w:rPr>
                <w:color w:val="auto"/>
              </w:rPr>
              <w:t>10.00</w:t>
            </w:r>
          </w:p>
        </w:tc>
        <w:tc>
          <w:tcPr>
            <w:tcW w:w="583" w:type="pct"/>
            <w:vAlign w:val="center"/>
          </w:tcPr>
          <w:p w14:paraId="37893CB1">
            <w:pPr>
              <w:pStyle w:val="44"/>
              <w:rPr>
                <w:color w:val="auto"/>
              </w:rPr>
            </w:pPr>
            <w:r>
              <w:rPr>
                <w:color w:val="auto"/>
              </w:rPr>
              <w:t>按二级区划</w:t>
            </w:r>
          </w:p>
        </w:tc>
      </w:tr>
      <w:tr w14:paraId="29A0F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400" w:type="pct"/>
            <w:vAlign w:val="center"/>
          </w:tcPr>
          <w:p w14:paraId="3E7BC2EB">
            <w:pPr>
              <w:pStyle w:val="44"/>
              <w:rPr>
                <w:color w:val="auto"/>
              </w:rPr>
            </w:pPr>
            <w:r>
              <w:rPr>
                <w:color w:val="auto"/>
              </w:rPr>
              <w:t>3</w:t>
            </w:r>
          </w:p>
        </w:tc>
        <w:tc>
          <w:tcPr>
            <w:tcW w:w="1429" w:type="pct"/>
            <w:vAlign w:val="center"/>
          </w:tcPr>
          <w:p w14:paraId="7DDC862F">
            <w:pPr>
              <w:pStyle w:val="44"/>
              <w:rPr>
                <w:color w:val="auto"/>
              </w:rPr>
            </w:pPr>
            <w:r>
              <w:rPr>
                <w:color w:val="auto"/>
              </w:rPr>
              <w:t>桃花溪九龙坡开发利用区</w:t>
            </w:r>
          </w:p>
        </w:tc>
        <w:tc>
          <w:tcPr>
            <w:tcW w:w="526" w:type="pct"/>
            <w:vAlign w:val="center"/>
          </w:tcPr>
          <w:p w14:paraId="42160835">
            <w:pPr>
              <w:pStyle w:val="44"/>
              <w:rPr>
                <w:color w:val="auto"/>
              </w:rPr>
            </w:pPr>
            <w:r>
              <w:rPr>
                <w:color w:val="auto"/>
              </w:rPr>
              <w:t>桃花溪</w:t>
            </w:r>
          </w:p>
        </w:tc>
        <w:tc>
          <w:tcPr>
            <w:tcW w:w="713" w:type="pct"/>
            <w:vAlign w:val="center"/>
          </w:tcPr>
          <w:p w14:paraId="63390450">
            <w:pPr>
              <w:pStyle w:val="44"/>
              <w:rPr>
                <w:color w:val="auto"/>
              </w:rPr>
            </w:pPr>
            <w:r>
              <w:rPr>
                <w:color w:val="auto"/>
              </w:rPr>
              <w:t>石桥镇唐家堡</w:t>
            </w:r>
          </w:p>
        </w:tc>
        <w:tc>
          <w:tcPr>
            <w:tcW w:w="850" w:type="pct"/>
            <w:vAlign w:val="center"/>
          </w:tcPr>
          <w:p w14:paraId="7D4068A4">
            <w:pPr>
              <w:pStyle w:val="44"/>
              <w:rPr>
                <w:color w:val="auto"/>
              </w:rPr>
            </w:pPr>
            <w:r>
              <w:rPr>
                <w:color w:val="auto"/>
              </w:rPr>
              <w:t>河口</w:t>
            </w:r>
          </w:p>
        </w:tc>
        <w:tc>
          <w:tcPr>
            <w:tcW w:w="496" w:type="pct"/>
            <w:vAlign w:val="center"/>
          </w:tcPr>
          <w:p w14:paraId="35195A5B">
            <w:pPr>
              <w:pStyle w:val="44"/>
              <w:rPr>
                <w:color w:val="auto"/>
              </w:rPr>
            </w:pPr>
            <w:r>
              <w:rPr>
                <w:color w:val="auto"/>
              </w:rPr>
              <w:t>15.79</w:t>
            </w:r>
          </w:p>
        </w:tc>
        <w:tc>
          <w:tcPr>
            <w:tcW w:w="583" w:type="pct"/>
            <w:vAlign w:val="center"/>
          </w:tcPr>
          <w:p w14:paraId="2552FE5F">
            <w:pPr>
              <w:pStyle w:val="44"/>
              <w:rPr>
                <w:color w:val="auto"/>
              </w:rPr>
            </w:pPr>
            <w:r>
              <w:rPr>
                <w:color w:val="auto"/>
              </w:rPr>
              <w:t>按二级区划</w:t>
            </w:r>
          </w:p>
        </w:tc>
      </w:tr>
      <w:tr w14:paraId="5B173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400" w:type="pct"/>
            <w:vAlign w:val="center"/>
          </w:tcPr>
          <w:p w14:paraId="7454E484">
            <w:pPr>
              <w:pStyle w:val="44"/>
              <w:rPr>
                <w:color w:val="auto"/>
              </w:rPr>
            </w:pPr>
            <w:r>
              <w:rPr>
                <w:color w:val="auto"/>
              </w:rPr>
              <w:t>4</w:t>
            </w:r>
          </w:p>
        </w:tc>
        <w:tc>
          <w:tcPr>
            <w:tcW w:w="1429" w:type="pct"/>
            <w:vAlign w:val="center"/>
          </w:tcPr>
          <w:p w14:paraId="6A684E59">
            <w:pPr>
              <w:pStyle w:val="44"/>
              <w:rPr>
                <w:color w:val="auto"/>
              </w:rPr>
            </w:pPr>
            <w:r>
              <w:rPr>
                <w:color w:val="auto"/>
              </w:rPr>
              <w:t>跳蹬河九龙坡开发利用区</w:t>
            </w:r>
          </w:p>
        </w:tc>
        <w:tc>
          <w:tcPr>
            <w:tcW w:w="526" w:type="pct"/>
            <w:vAlign w:val="center"/>
          </w:tcPr>
          <w:p w14:paraId="496EA337">
            <w:pPr>
              <w:pStyle w:val="44"/>
              <w:rPr>
                <w:color w:val="auto"/>
              </w:rPr>
            </w:pPr>
            <w:r>
              <w:rPr>
                <w:color w:val="auto"/>
              </w:rPr>
              <w:t>跳蹬河</w:t>
            </w:r>
          </w:p>
        </w:tc>
        <w:tc>
          <w:tcPr>
            <w:tcW w:w="713" w:type="pct"/>
            <w:vAlign w:val="center"/>
          </w:tcPr>
          <w:p w14:paraId="49F303E2">
            <w:pPr>
              <w:pStyle w:val="44"/>
              <w:rPr>
                <w:color w:val="auto"/>
              </w:rPr>
            </w:pPr>
            <w:r>
              <w:rPr>
                <w:color w:val="auto"/>
              </w:rPr>
              <w:t>华岩镇入界</w:t>
            </w:r>
          </w:p>
        </w:tc>
        <w:tc>
          <w:tcPr>
            <w:tcW w:w="850" w:type="pct"/>
            <w:vAlign w:val="center"/>
          </w:tcPr>
          <w:p w14:paraId="6A6A1539">
            <w:pPr>
              <w:pStyle w:val="44"/>
              <w:rPr>
                <w:color w:val="auto"/>
              </w:rPr>
            </w:pPr>
            <w:r>
              <w:rPr>
                <w:color w:val="auto"/>
              </w:rPr>
              <w:t>华岩镇出界</w:t>
            </w:r>
          </w:p>
        </w:tc>
        <w:tc>
          <w:tcPr>
            <w:tcW w:w="496" w:type="pct"/>
            <w:vAlign w:val="center"/>
          </w:tcPr>
          <w:p w14:paraId="095B8A9D">
            <w:pPr>
              <w:pStyle w:val="44"/>
              <w:rPr>
                <w:color w:val="auto"/>
              </w:rPr>
            </w:pPr>
            <w:r>
              <w:rPr>
                <w:color w:val="auto"/>
              </w:rPr>
              <w:t>14.15</w:t>
            </w:r>
          </w:p>
        </w:tc>
        <w:tc>
          <w:tcPr>
            <w:tcW w:w="583" w:type="pct"/>
            <w:vAlign w:val="center"/>
          </w:tcPr>
          <w:p w14:paraId="379CAB10">
            <w:pPr>
              <w:pStyle w:val="44"/>
              <w:rPr>
                <w:color w:val="auto"/>
              </w:rPr>
            </w:pPr>
            <w:r>
              <w:rPr>
                <w:color w:val="auto"/>
              </w:rPr>
              <w:t>按二级区划</w:t>
            </w:r>
          </w:p>
        </w:tc>
      </w:tr>
      <w:tr w14:paraId="39844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400" w:type="pct"/>
            <w:vAlign w:val="center"/>
          </w:tcPr>
          <w:p w14:paraId="4728D3FA">
            <w:pPr>
              <w:pStyle w:val="44"/>
              <w:rPr>
                <w:color w:val="auto"/>
              </w:rPr>
            </w:pPr>
            <w:r>
              <w:rPr>
                <w:color w:val="auto"/>
              </w:rPr>
              <w:t>5</w:t>
            </w:r>
          </w:p>
        </w:tc>
        <w:tc>
          <w:tcPr>
            <w:tcW w:w="1429" w:type="pct"/>
            <w:vAlign w:val="center"/>
          </w:tcPr>
          <w:p w14:paraId="691F8D08">
            <w:pPr>
              <w:pStyle w:val="44"/>
              <w:rPr>
                <w:color w:val="auto"/>
              </w:rPr>
            </w:pPr>
            <w:r>
              <w:rPr>
                <w:color w:val="auto"/>
              </w:rPr>
              <w:t>大溪河九龙坡开发利用区</w:t>
            </w:r>
          </w:p>
        </w:tc>
        <w:tc>
          <w:tcPr>
            <w:tcW w:w="526" w:type="pct"/>
            <w:vAlign w:val="center"/>
          </w:tcPr>
          <w:p w14:paraId="592F870C">
            <w:pPr>
              <w:pStyle w:val="44"/>
              <w:rPr>
                <w:color w:val="auto"/>
              </w:rPr>
            </w:pPr>
            <w:r>
              <w:rPr>
                <w:color w:val="auto"/>
              </w:rPr>
              <w:t>大溪河</w:t>
            </w:r>
          </w:p>
        </w:tc>
        <w:tc>
          <w:tcPr>
            <w:tcW w:w="713" w:type="pct"/>
            <w:vAlign w:val="center"/>
          </w:tcPr>
          <w:p w14:paraId="43115D9B">
            <w:pPr>
              <w:pStyle w:val="44"/>
              <w:rPr>
                <w:color w:val="auto"/>
              </w:rPr>
            </w:pPr>
            <w:r>
              <w:rPr>
                <w:color w:val="auto"/>
              </w:rPr>
              <w:t>西彭镇</w:t>
            </w:r>
          </w:p>
        </w:tc>
        <w:tc>
          <w:tcPr>
            <w:tcW w:w="850" w:type="pct"/>
            <w:vAlign w:val="center"/>
          </w:tcPr>
          <w:p w14:paraId="02C3ADCA">
            <w:pPr>
              <w:pStyle w:val="44"/>
              <w:rPr>
                <w:color w:val="auto"/>
              </w:rPr>
            </w:pPr>
            <w:r>
              <w:rPr>
                <w:color w:val="auto"/>
              </w:rPr>
              <w:t>铜罐驿镇河口</w:t>
            </w:r>
          </w:p>
        </w:tc>
        <w:tc>
          <w:tcPr>
            <w:tcW w:w="496" w:type="pct"/>
            <w:vAlign w:val="center"/>
          </w:tcPr>
          <w:p w14:paraId="723F30EA">
            <w:pPr>
              <w:pStyle w:val="44"/>
              <w:rPr>
                <w:color w:val="auto"/>
              </w:rPr>
            </w:pPr>
            <w:r>
              <w:rPr>
                <w:color w:val="auto"/>
              </w:rPr>
              <w:t>22.35</w:t>
            </w:r>
          </w:p>
        </w:tc>
        <w:tc>
          <w:tcPr>
            <w:tcW w:w="583" w:type="pct"/>
            <w:vAlign w:val="center"/>
          </w:tcPr>
          <w:p w14:paraId="4CF21E09">
            <w:pPr>
              <w:pStyle w:val="44"/>
              <w:rPr>
                <w:color w:val="auto"/>
              </w:rPr>
            </w:pPr>
            <w:r>
              <w:rPr>
                <w:color w:val="auto"/>
              </w:rPr>
              <w:t>按二级区划</w:t>
            </w:r>
          </w:p>
        </w:tc>
      </w:tr>
    </w:tbl>
    <w:p w14:paraId="6B072142">
      <w:pPr>
        <w:pStyle w:val="11"/>
        <w:ind w:firstLine="0" w:firstLineChars="0"/>
        <w:rPr>
          <w:b/>
          <w:color w:val="auto"/>
          <w:szCs w:val="21"/>
        </w:rPr>
      </w:pPr>
      <w:r>
        <w:rPr>
          <w:b/>
          <w:color w:val="auto"/>
          <w:szCs w:val="21"/>
        </w:rPr>
        <w:t xml:space="preserve">表3.1-3                       </w:t>
      </w:r>
      <w:r>
        <w:rPr>
          <w:b/>
          <w:color w:val="auto"/>
        </w:rPr>
        <w:t>九龙坡区</w:t>
      </w:r>
      <w:r>
        <w:rPr>
          <w:b/>
          <w:color w:val="auto"/>
          <w:szCs w:val="21"/>
        </w:rPr>
        <w:t xml:space="preserve">二级水功能区划情况 </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7"/>
        <w:gridCol w:w="2443"/>
        <w:gridCol w:w="1193"/>
        <w:gridCol w:w="1351"/>
        <w:gridCol w:w="1508"/>
        <w:gridCol w:w="905"/>
        <w:gridCol w:w="965"/>
      </w:tblGrid>
      <w:tr w14:paraId="1F28F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tblHeader/>
        </w:trPr>
        <w:tc>
          <w:tcPr>
            <w:tcW w:w="414" w:type="pct"/>
            <w:vAlign w:val="center"/>
          </w:tcPr>
          <w:p w14:paraId="75F89CCF">
            <w:pPr>
              <w:pStyle w:val="44"/>
              <w:rPr>
                <w:color w:val="auto"/>
              </w:rPr>
            </w:pPr>
            <w:r>
              <w:rPr>
                <w:color w:val="auto"/>
              </w:rPr>
              <w:t>编码</w:t>
            </w:r>
          </w:p>
        </w:tc>
        <w:tc>
          <w:tcPr>
            <w:tcW w:w="1344" w:type="pct"/>
            <w:vAlign w:val="center"/>
          </w:tcPr>
          <w:p w14:paraId="09E0CAC2">
            <w:pPr>
              <w:pStyle w:val="44"/>
              <w:rPr>
                <w:color w:val="auto"/>
              </w:rPr>
            </w:pPr>
            <w:r>
              <w:rPr>
                <w:color w:val="auto"/>
              </w:rPr>
              <w:t>水功能二级区名称</w:t>
            </w:r>
          </w:p>
        </w:tc>
        <w:tc>
          <w:tcPr>
            <w:tcW w:w="658" w:type="pct"/>
            <w:vAlign w:val="center"/>
          </w:tcPr>
          <w:p w14:paraId="27FDE900">
            <w:pPr>
              <w:pStyle w:val="44"/>
              <w:rPr>
                <w:color w:val="auto"/>
              </w:rPr>
            </w:pPr>
            <w:r>
              <w:rPr>
                <w:color w:val="auto"/>
              </w:rPr>
              <w:t>所在河流</w:t>
            </w:r>
          </w:p>
        </w:tc>
        <w:tc>
          <w:tcPr>
            <w:tcW w:w="745" w:type="pct"/>
            <w:vAlign w:val="center"/>
          </w:tcPr>
          <w:p w14:paraId="67AED6D3">
            <w:pPr>
              <w:pStyle w:val="44"/>
              <w:rPr>
                <w:color w:val="auto"/>
              </w:rPr>
            </w:pPr>
            <w:r>
              <w:rPr>
                <w:color w:val="auto"/>
              </w:rPr>
              <w:t>起始范围</w:t>
            </w:r>
          </w:p>
        </w:tc>
        <w:tc>
          <w:tcPr>
            <w:tcW w:w="831" w:type="pct"/>
            <w:vAlign w:val="center"/>
          </w:tcPr>
          <w:p w14:paraId="60E878FD">
            <w:pPr>
              <w:pStyle w:val="44"/>
              <w:rPr>
                <w:color w:val="auto"/>
              </w:rPr>
            </w:pPr>
            <w:r>
              <w:rPr>
                <w:color w:val="auto"/>
              </w:rPr>
              <w:t>终止范围</w:t>
            </w:r>
          </w:p>
        </w:tc>
        <w:tc>
          <w:tcPr>
            <w:tcW w:w="472" w:type="pct"/>
            <w:vAlign w:val="center"/>
          </w:tcPr>
          <w:p w14:paraId="14A229DF">
            <w:pPr>
              <w:pStyle w:val="44"/>
              <w:rPr>
                <w:color w:val="auto"/>
              </w:rPr>
            </w:pPr>
            <w:r>
              <w:rPr>
                <w:color w:val="auto"/>
              </w:rPr>
              <w:t>长度（km</w:t>
            </w:r>
            <w:r>
              <w:rPr>
                <w:rFonts w:hint="eastAsia"/>
                <w:color w:val="auto"/>
              </w:rPr>
              <w:t>）</w:t>
            </w:r>
          </w:p>
        </w:tc>
        <w:tc>
          <w:tcPr>
            <w:tcW w:w="533" w:type="pct"/>
            <w:vAlign w:val="center"/>
          </w:tcPr>
          <w:p w14:paraId="04381049">
            <w:pPr>
              <w:pStyle w:val="44"/>
              <w:rPr>
                <w:color w:val="auto"/>
              </w:rPr>
            </w:pPr>
            <w:r>
              <w:rPr>
                <w:color w:val="auto"/>
              </w:rPr>
              <w:t>水质目标</w:t>
            </w:r>
          </w:p>
        </w:tc>
      </w:tr>
      <w:tr w14:paraId="0AE3D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414" w:type="pct"/>
            <w:vAlign w:val="center"/>
          </w:tcPr>
          <w:p w14:paraId="36457D89">
            <w:pPr>
              <w:pStyle w:val="44"/>
              <w:rPr>
                <w:color w:val="auto"/>
              </w:rPr>
            </w:pPr>
            <w:r>
              <w:rPr>
                <w:color w:val="auto"/>
              </w:rPr>
              <w:t>1</w:t>
            </w:r>
          </w:p>
        </w:tc>
        <w:tc>
          <w:tcPr>
            <w:tcW w:w="1344" w:type="pct"/>
            <w:vAlign w:val="center"/>
          </w:tcPr>
          <w:p w14:paraId="426EE6B4">
            <w:pPr>
              <w:pStyle w:val="44"/>
              <w:rPr>
                <w:color w:val="auto"/>
              </w:rPr>
            </w:pPr>
            <w:r>
              <w:rPr>
                <w:color w:val="auto"/>
              </w:rPr>
              <w:t>长江三峡库区九龙坡饮用水源区</w:t>
            </w:r>
          </w:p>
        </w:tc>
        <w:tc>
          <w:tcPr>
            <w:tcW w:w="658" w:type="pct"/>
            <w:vAlign w:val="center"/>
          </w:tcPr>
          <w:p w14:paraId="68E89ED6">
            <w:pPr>
              <w:pStyle w:val="44"/>
              <w:rPr>
                <w:color w:val="auto"/>
              </w:rPr>
            </w:pPr>
            <w:r>
              <w:rPr>
                <w:color w:val="auto"/>
              </w:rPr>
              <w:t>长江</w:t>
            </w:r>
          </w:p>
        </w:tc>
        <w:tc>
          <w:tcPr>
            <w:tcW w:w="745" w:type="pct"/>
            <w:vAlign w:val="center"/>
          </w:tcPr>
          <w:p w14:paraId="3186093D">
            <w:pPr>
              <w:pStyle w:val="44"/>
              <w:rPr>
                <w:color w:val="auto"/>
              </w:rPr>
            </w:pPr>
            <w:r>
              <w:rPr>
                <w:color w:val="auto"/>
              </w:rPr>
              <w:t>鱼鳅浩</w:t>
            </w:r>
          </w:p>
        </w:tc>
        <w:tc>
          <w:tcPr>
            <w:tcW w:w="831" w:type="pct"/>
            <w:vAlign w:val="center"/>
          </w:tcPr>
          <w:p w14:paraId="239A2526">
            <w:pPr>
              <w:pStyle w:val="44"/>
              <w:rPr>
                <w:color w:val="auto"/>
              </w:rPr>
            </w:pPr>
            <w:r>
              <w:rPr>
                <w:color w:val="auto"/>
              </w:rPr>
              <w:t>九老滩</w:t>
            </w:r>
          </w:p>
        </w:tc>
        <w:tc>
          <w:tcPr>
            <w:tcW w:w="472" w:type="pct"/>
            <w:vAlign w:val="center"/>
          </w:tcPr>
          <w:p w14:paraId="2DEA3331">
            <w:pPr>
              <w:pStyle w:val="44"/>
              <w:rPr>
                <w:color w:val="auto"/>
              </w:rPr>
            </w:pPr>
            <w:r>
              <w:rPr>
                <w:color w:val="auto"/>
              </w:rPr>
              <w:t>6.00</w:t>
            </w:r>
          </w:p>
        </w:tc>
        <w:tc>
          <w:tcPr>
            <w:tcW w:w="533" w:type="pct"/>
            <w:vAlign w:val="center"/>
          </w:tcPr>
          <w:p w14:paraId="61723BAD">
            <w:pPr>
              <w:pStyle w:val="44"/>
              <w:rPr>
                <w:color w:val="auto"/>
              </w:rPr>
            </w:pPr>
            <w:r>
              <w:rPr>
                <w:color w:val="auto"/>
              </w:rPr>
              <w:t>Ⅲ</w:t>
            </w:r>
          </w:p>
        </w:tc>
      </w:tr>
      <w:tr w14:paraId="7EFDA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414" w:type="pct"/>
            <w:vAlign w:val="center"/>
          </w:tcPr>
          <w:p w14:paraId="5A46B00C">
            <w:pPr>
              <w:pStyle w:val="44"/>
              <w:rPr>
                <w:color w:val="auto"/>
              </w:rPr>
            </w:pPr>
            <w:r>
              <w:rPr>
                <w:color w:val="auto"/>
              </w:rPr>
              <w:t>2</w:t>
            </w:r>
          </w:p>
        </w:tc>
        <w:tc>
          <w:tcPr>
            <w:tcW w:w="1344" w:type="pct"/>
            <w:vAlign w:val="center"/>
          </w:tcPr>
          <w:p w14:paraId="135C8518">
            <w:pPr>
              <w:pStyle w:val="44"/>
              <w:rPr>
                <w:color w:val="auto"/>
              </w:rPr>
            </w:pPr>
            <w:r>
              <w:rPr>
                <w:color w:val="auto"/>
              </w:rPr>
              <w:t>长江三峡库区九龙坡景观娱乐、工业用水区</w:t>
            </w:r>
          </w:p>
        </w:tc>
        <w:tc>
          <w:tcPr>
            <w:tcW w:w="658" w:type="pct"/>
            <w:vAlign w:val="center"/>
          </w:tcPr>
          <w:p w14:paraId="4CA83BA0">
            <w:pPr>
              <w:pStyle w:val="44"/>
              <w:rPr>
                <w:color w:val="auto"/>
              </w:rPr>
            </w:pPr>
            <w:r>
              <w:rPr>
                <w:color w:val="auto"/>
              </w:rPr>
              <w:t>长江</w:t>
            </w:r>
          </w:p>
        </w:tc>
        <w:tc>
          <w:tcPr>
            <w:tcW w:w="745" w:type="pct"/>
            <w:vAlign w:val="center"/>
          </w:tcPr>
          <w:p w14:paraId="66838885">
            <w:pPr>
              <w:pStyle w:val="44"/>
              <w:rPr>
                <w:color w:val="auto"/>
              </w:rPr>
            </w:pPr>
            <w:r>
              <w:rPr>
                <w:color w:val="auto"/>
              </w:rPr>
              <w:t>九老滩</w:t>
            </w:r>
          </w:p>
        </w:tc>
        <w:tc>
          <w:tcPr>
            <w:tcW w:w="831" w:type="pct"/>
            <w:vAlign w:val="center"/>
          </w:tcPr>
          <w:p w14:paraId="214B859D">
            <w:pPr>
              <w:pStyle w:val="44"/>
              <w:rPr>
                <w:color w:val="auto"/>
              </w:rPr>
            </w:pPr>
            <w:r>
              <w:rPr>
                <w:color w:val="auto"/>
              </w:rPr>
              <w:t>黄沙溪</w:t>
            </w:r>
          </w:p>
        </w:tc>
        <w:tc>
          <w:tcPr>
            <w:tcW w:w="472" w:type="pct"/>
            <w:vAlign w:val="center"/>
          </w:tcPr>
          <w:p w14:paraId="1A4E4C1E">
            <w:pPr>
              <w:pStyle w:val="44"/>
              <w:rPr>
                <w:color w:val="auto"/>
              </w:rPr>
            </w:pPr>
            <w:r>
              <w:rPr>
                <w:color w:val="auto"/>
              </w:rPr>
              <w:t>4.00</w:t>
            </w:r>
          </w:p>
        </w:tc>
        <w:tc>
          <w:tcPr>
            <w:tcW w:w="533" w:type="pct"/>
            <w:vAlign w:val="center"/>
          </w:tcPr>
          <w:p w14:paraId="158508C4">
            <w:pPr>
              <w:pStyle w:val="44"/>
              <w:rPr>
                <w:color w:val="auto"/>
              </w:rPr>
            </w:pPr>
            <w:r>
              <w:rPr>
                <w:color w:val="auto"/>
              </w:rPr>
              <w:t>Ⅲ</w:t>
            </w:r>
          </w:p>
        </w:tc>
      </w:tr>
      <w:tr w14:paraId="555B0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414" w:type="pct"/>
            <w:vAlign w:val="center"/>
          </w:tcPr>
          <w:p w14:paraId="61EAD29E">
            <w:pPr>
              <w:pStyle w:val="44"/>
              <w:rPr>
                <w:color w:val="auto"/>
              </w:rPr>
            </w:pPr>
            <w:r>
              <w:rPr>
                <w:color w:val="auto"/>
              </w:rPr>
              <w:t>3</w:t>
            </w:r>
          </w:p>
        </w:tc>
        <w:tc>
          <w:tcPr>
            <w:tcW w:w="1344" w:type="pct"/>
            <w:vAlign w:val="center"/>
          </w:tcPr>
          <w:p w14:paraId="60552F04">
            <w:pPr>
              <w:pStyle w:val="44"/>
              <w:rPr>
                <w:color w:val="auto"/>
              </w:rPr>
            </w:pPr>
            <w:r>
              <w:rPr>
                <w:color w:val="auto"/>
              </w:rPr>
              <w:t>桃花溪景观娱乐用水区</w:t>
            </w:r>
          </w:p>
        </w:tc>
        <w:tc>
          <w:tcPr>
            <w:tcW w:w="658" w:type="pct"/>
            <w:vAlign w:val="center"/>
          </w:tcPr>
          <w:p w14:paraId="42CC40B5">
            <w:pPr>
              <w:pStyle w:val="44"/>
              <w:rPr>
                <w:color w:val="auto"/>
              </w:rPr>
            </w:pPr>
            <w:r>
              <w:rPr>
                <w:color w:val="auto"/>
              </w:rPr>
              <w:t>桃花溪</w:t>
            </w:r>
          </w:p>
        </w:tc>
        <w:tc>
          <w:tcPr>
            <w:tcW w:w="745" w:type="pct"/>
            <w:vAlign w:val="center"/>
          </w:tcPr>
          <w:p w14:paraId="71537BDA">
            <w:pPr>
              <w:pStyle w:val="44"/>
              <w:rPr>
                <w:color w:val="auto"/>
              </w:rPr>
            </w:pPr>
            <w:r>
              <w:rPr>
                <w:color w:val="auto"/>
              </w:rPr>
              <w:t>石桥镇唐家堡</w:t>
            </w:r>
          </w:p>
        </w:tc>
        <w:tc>
          <w:tcPr>
            <w:tcW w:w="831" w:type="pct"/>
            <w:vAlign w:val="center"/>
          </w:tcPr>
          <w:p w14:paraId="29FE46FA">
            <w:pPr>
              <w:pStyle w:val="44"/>
              <w:rPr>
                <w:color w:val="auto"/>
              </w:rPr>
            </w:pPr>
            <w:r>
              <w:rPr>
                <w:color w:val="auto"/>
              </w:rPr>
              <w:t>九龙镇河口</w:t>
            </w:r>
          </w:p>
        </w:tc>
        <w:tc>
          <w:tcPr>
            <w:tcW w:w="472" w:type="pct"/>
            <w:vAlign w:val="center"/>
          </w:tcPr>
          <w:p w14:paraId="773F80CD">
            <w:pPr>
              <w:pStyle w:val="44"/>
              <w:rPr>
                <w:color w:val="auto"/>
              </w:rPr>
            </w:pPr>
            <w:r>
              <w:rPr>
                <w:color w:val="auto"/>
              </w:rPr>
              <w:t>15.79</w:t>
            </w:r>
          </w:p>
        </w:tc>
        <w:tc>
          <w:tcPr>
            <w:tcW w:w="533" w:type="pct"/>
            <w:vAlign w:val="center"/>
          </w:tcPr>
          <w:p w14:paraId="438242C9">
            <w:pPr>
              <w:pStyle w:val="44"/>
              <w:rPr>
                <w:color w:val="auto"/>
              </w:rPr>
            </w:pPr>
            <w:r>
              <w:rPr>
                <w:color w:val="auto"/>
              </w:rPr>
              <w:t>IV</w:t>
            </w:r>
          </w:p>
        </w:tc>
      </w:tr>
      <w:tr w14:paraId="112E5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414" w:type="pct"/>
            <w:vAlign w:val="center"/>
          </w:tcPr>
          <w:p w14:paraId="5E57F430">
            <w:pPr>
              <w:pStyle w:val="44"/>
              <w:rPr>
                <w:color w:val="auto"/>
              </w:rPr>
            </w:pPr>
            <w:r>
              <w:rPr>
                <w:color w:val="auto"/>
              </w:rPr>
              <w:t>4</w:t>
            </w:r>
          </w:p>
        </w:tc>
        <w:tc>
          <w:tcPr>
            <w:tcW w:w="1344" w:type="pct"/>
            <w:vAlign w:val="center"/>
          </w:tcPr>
          <w:p w14:paraId="343012EB">
            <w:pPr>
              <w:pStyle w:val="44"/>
              <w:rPr>
                <w:color w:val="auto"/>
              </w:rPr>
            </w:pPr>
            <w:r>
              <w:rPr>
                <w:color w:val="auto"/>
              </w:rPr>
              <w:t>跳蹬河农业用水区</w:t>
            </w:r>
          </w:p>
        </w:tc>
        <w:tc>
          <w:tcPr>
            <w:tcW w:w="658" w:type="pct"/>
            <w:vAlign w:val="center"/>
          </w:tcPr>
          <w:p w14:paraId="40734F9A">
            <w:pPr>
              <w:pStyle w:val="44"/>
              <w:rPr>
                <w:color w:val="auto"/>
              </w:rPr>
            </w:pPr>
            <w:r>
              <w:rPr>
                <w:color w:val="auto"/>
              </w:rPr>
              <w:t>跳蹬河</w:t>
            </w:r>
          </w:p>
        </w:tc>
        <w:tc>
          <w:tcPr>
            <w:tcW w:w="745" w:type="pct"/>
            <w:vAlign w:val="center"/>
          </w:tcPr>
          <w:p w14:paraId="1E329317">
            <w:pPr>
              <w:pStyle w:val="44"/>
              <w:rPr>
                <w:color w:val="auto"/>
              </w:rPr>
            </w:pPr>
            <w:r>
              <w:rPr>
                <w:color w:val="auto"/>
              </w:rPr>
              <w:t>华岩镇入界</w:t>
            </w:r>
          </w:p>
        </w:tc>
        <w:tc>
          <w:tcPr>
            <w:tcW w:w="831" w:type="pct"/>
            <w:vAlign w:val="center"/>
          </w:tcPr>
          <w:p w14:paraId="3AE9DC57">
            <w:pPr>
              <w:pStyle w:val="44"/>
              <w:rPr>
                <w:color w:val="auto"/>
              </w:rPr>
            </w:pPr>
            <w:r>
              <w:rPr>
                <w:color w:val="auto"/>
              </w:rPr>
              <w:t>华岩镇出界</w:t>
            </w:r>
          </w:p>
        </w:tc>
        <w:tc>
          <w:tcPr>
            <w:tcW w:w="472" w:type="pct"/>
            <w:vAlign w:val="center"/>
          </w:tcPr>
          <w:p w14:paraId="2C6496D3">
            <w:pPr>
              <w:pStyle w:val="44"/>
              <w:rPr>
                <w:color w:val="auto"/>
              </w:rPr>
            </w:pPr>
            <w:r>
              <w:rPr>
                <w:color w:val="auto"/>
              </w:rPr>
              <w:t>14.15</w:t>
            </w:r>
          </w:p>
        </w:tc>
        <w:tc>
          <w:tcPr>
            <w:tcW w:w="533" w:type="pct"/>
            <w:vAlign w:val="center"/>
          </w:tcPr>
          <w:p w14:paraId="779FD6EC">
            <w:pPr>
              <w:pStyle w:val="44"/>
              <w:rPr>
                <w:color w:val="auto"/>
              </w:rPr>
            </w:pPr>
            <w:r>
              <w:rPr>
                <w:color w:val="auto"/>
              </w:rPr>
              <w:t>Ⅴ</w:t>
            </w:r>
          </w:p>
        </w:tc>
      </w:tr>
      <w:tr w14:paraId="49C3F1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414" w:type="pct"/>
            <w:vAlign w:val="center"/>
          </w:tcPr>
          <w:p w14:paraId="0213C415">
            <w:pPr>
              <w:pStyle w:val="44"/>
              <w:rPr>
                <w:color w:val="auto"/>
              </w:rPr>
            </w:pPr>
            <w:r>
              <w:rPr>
                <w:color w:val="auto"/>
              </w:rPr>
              <w:t>5</w:t>
            </w:r>
          </w:p>
        </w:tc>
        <w:tc>
          <w:tcPr>
            <w:tcW w:w="1344" w:type="pct"/>
            <w:vAlign w:val="center"/>
          </w:tcPr>
          <w:p w14:paraId="1E75B0A6">
            <w:pPr>
              <w:pStyle w:val="44"/>
              <w:rPr>
                <w:color w:val="auto"/>
              </w:rPr>
            </w:pPr>
            <w:r>
              <w:rPr>
                <w:color w:val="auto"/>
              </w:rPr>
              <w:t>大溪河九龙坡农业用水区</w:t>
            </w:r>
          </w:p>
        </w:tc>
        <w:tc>
          <w:tcPr>
            <w:tcW w:w="658" w:type="pct"/>
            <w:vAlign w:val="center"/>
          </w:tcPr>
          <w:p w14:paraId="340F0C57">
            <w:pPr>
              <w:pStyle w:val="44"/>
              <w:rPr>
                <w:color w:val="auto"/>
              </w:rPr>
            </w:pPr>
            <w:r>
              <w:rPr>
                <w:color w:val="auto"/>
              </w:rPr>
              <w:t>大溪河</w:t>
            </w:r>
          </w:p>
        </w:tc>
        <w:tc>
          <w:tcPr>
            <w:tcW w:w="745" w:type="pct"/>
            <w:vAlign w:val="center"/>
          </w:tcPr>
          <w:p w14:paraId="636FEAFC">
            <w:pPr>
              <w:pStyle w:val="44"/>
              <w:rPr>
                <w:color w:val="auto"/>
              </w:rPr>
            </w:pPr>
            <w:r>
              <w:rPr>
                <w:color w:val="auto"/>
              </w:rPr>
              <w:t>西彭镇</w:t>
            </w:r>
          </w:p>
        </w:tc>
        <w:tc>
          <w:tcPr>
            <w:tcW w:w="831" w:type="pct"/>
            <w:vAlign w:val="center"/>
          </w:tcPr>
          <w:p w14:paraId="4B11F611">
            <w:pPr>
              <w:pStyle w:val="44"/>
              <w:rPr>
                <w:color w:val="auto"/>
              </w:rPr>
            </w:pPr>
            <w:r>
              <w:rPr>
                <w:color w:val="auto"/>
              </w:rPr>
              <w:t>二朗滩</w:t>
            </w:r>
          </w:p>
        </w:tc>
        <w:tc>
          <w:tcPr>
            <w:tcW w:w="472" w:type="pct"/>
            <w:vAlign w:val="center"/>
          </w:tcPr>
          <w:p w14:paraId="0DC9E6F7">
            <w:pPr>
              <w:pStyle w:val="44"/>
              <w:rPr>
                <w:color w:val="auto"/>
              </w:rPr>
            </w:pPr>
            <w:r>
              <w:rPr>
                <w:color w:val="auto"/>
              </w:rPr>
              <w:t>15.50</w:t>
            </w:r>
          </w:p>
        </w:tc>
        <w:tc>
          <w:tcPr>
            <w:tcW w:w="533" w:type="pct"/>
            <w:vAlign w:val="center"/>
          </w:tcPr>
          <w:p w14:paraId="3128F70F">
            <w:pPr>
              <w:pStyle w:val="44"/>
              <w:rPr>
                <w:color w:val="auto"/>
              </w:rPr>
            </w:pPr>
            <w:r>
              <w:rPr>
                <w:color w:val="auto"/>
              </w:rPr>
              <w:t>Ⅴ</w:t>
            </w:r>
          </w:p>
        </w:tc>
      </w:tr>
      <w:tr w14:paraId="38D4E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414" w:type="pct"/>
            <w:vAlign w:val="center"/>
          </w:tcPr>
          <w:p w14:paraId="0C0C6118">
            <w:pPr>
              <w:pStyle w:val="44"/>
              <w:rPr>
                <w:color w:val="auto"/>
              </w:rPr>
            </w:pPr>
            <w:r>
              <w:rPr>
                <w:color w:val="auto"/>
              </w:rPr>
              <w:t>6</w:t>
            </w:r>
          </w:p>
        </w:tc>
        <w:tc>
          <w:tcPr>
            <w:tcW w:w="1344" w:type="pct"/>
            <w:vAlign w:val="center"/>
          </w:tcPr>
          <w:p w14:paraId="6C9A8A12">
            <w:pPr>
              <w:pStyle w:val="44"/>
              <w:rPr>
                <w:color w:val="auto"/>
              </w:rPr>
            </w:pPr>
            <w:r>
              <w:rPr>
                <w:color w:val="auto"/>
              </w:rPr>
              <w:t>大溪河九龙坡景观娱乐用水区</w:t>
            </w:r>
          </w:p>
        </w:tc>
        <w:tc>
          <w:tcPr>
            <w:tcW w:w="658" w:type="pct"/>
            <w:vAlign w:val="center"/>
          </w:tcPr>
          <w:p w14:paraId="40B84EF0">
            <w:pPr>
              <w:pStyle w:val="44"/>
              <w:rPr>
                <w:color w:val="auto"/>
              </w:rPr>
            </w:pPr>
            <w:r>
              <w:rPr>
                <w:color w:val="auto"/>
              </w:rPr>
              <w:t>大溪河</w:t>
            </w:r>
          </w:p>
        </w:tc>
        <w:tc>
          <w:tcPr>
            <w:tcW w:w="745" w:type="pct"/>
            <w:vAlign w:val="center"/>
          </w:tcPr>
          <w:p w14:paraId="12172CBD">
            <w:pPr>
              <w:pStyle w:val="44"/>
              <w:rPr>
                <w:color w:val="auto"/>
              </w:rPr>
            </w:pPr>
            <w:r>
              <w:rPr>
                <w:color w:val="auto"/>
              </w:rPr>
              <w:t>二朗滩</w:t>
            </w:r>
          </w:p>
        </w:tc>
        <w:tc>
          <w:tcPr>
            <w:tcW w:w="831" w:type="pct"/>
            <w:vAlign w:val="center"/>
          </w:tcPr>
          <w:p w14:paraId="4A1988F4">
            <w:pPr>
              <w:pStyle w:val="44"/>
              <w:rPr>
                <w:color w:val="auto"/>
              </w:rPr>
            </w:pPr>
            <w:r>
              <w:rPr>
                <w:color w:val="auto"/>
              </w:rPr>
              <w:t>铜罐驿镇河口</w:t>
            </w:r>
          </w:p>
        </w:tc>
        <w:tc>
          <w:tcPr>
            <w:tcW w:w="472" w:type="pct"/>
            <w:vAlign w:val="center"/>
          </w:tcPr>
          <w:p w14:paraId="6198579F">
            <w:pPr>
              <w:pStyle w:val="44"/>
              <w:rPr>
                <w:color w:val="auto"/>
              </w:rPr>
            </w:pPr>
            <w:r>
              <w:rPr>
                <w:color w:val="auto"/>
              </w:rPr>
              <w:t>6.85</w:t>
            </w:r>
          </w:p>
        </w:tc>
        <w:tc>
          <w:tcPr>
            <w:tcW w:w="533" w:type="pct"/>
            <w:vAlign w:val="center"/>
          </w:tcPr>
          <w:p w14:paraId="15137E3A">
            <w:pPr>
              <w:pStyle w:val="44"/>
              <w:rPr>
                <w:color w:val="auto"/>
              </w:rPr>
            </w:pPr>
            <w:r>
              <w:rPr>
                <w:color w:val="auto"/>
              </w:rPr>
              <w:t>IV</w:t>
            </w:r>
          </w:p>
        </w:tc>
      </w:tr>
    </w:tbl>
    <w:p w14:paraId="1E31BB62">
      <w:pPr>
        <w:ind w:firstLine="480"/>
        <w:rPr>
          <w:color w:val="auto"/>
        </w:rPr>
      </w:pPr>
      <w:bookmarkStart w:id="26" w:name="_Toc11930"/>
      <w:r>
        <w:rPr>
          <w:rFonts w:hint="eastAsia"/>
          <w:color w:val="auto"/>
        </w:rPr>
        <w:t>（2）</w:t>
      </w:r>
      <w:r>
        <w:rPr>
          <w:color w:val="auto"/>
        </w:rPr>
        <w:t>重庆市大渡口区水功能区划</w:t>
      </w:r>
    </w:p>
    <w:p w14:paraId="3D2EBD5C">
      <w:pPr>
        <w:pStyle w:val="11"/>
        <w:ind w:firstLine="0" w:firstLineChars="0"/>
        <w:rPr>
          <w:b/>
          <w:color w:val="auto"/>
          <w:szCs w:val="21"/>
        </w:rPr>
      </w:pPr>
      <w:r>
        <w:rPr>
          <w:b/>
          <w:color w:val="auto"/>
          <w:szCs w:val="21"/>
        </w:rPr>
        <w:t>表3.1-4                  大渡口区河流一级水功能区划情况</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9"/>
        <w:gridCol w:w="2911"/>
        <w:gridCol w:w="866"/>
        <w:gridCol w:w="1531"/>
        <w:gridCol w:w="913"/>
        <w:gridCol w:w="900"/>
        <w:gridCol w:w="1372"/>
      </w:tblGrid>
      <w:tr w14:paraId="2F3A6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39" w:type="pct"/>
            <w:vMerge w:val="restart"/>
            <w:tcBorders>
              <w:tl2br w:val="nil"/>
              <w:tr2bl w:val="nil"/>
            </w:tcBorders>
            <w:vAlign w:val="center"/>
          </w:tcPr>
          <w:p w14:paraId="43C9A535">
            <w:pPr>
              <w:pStyle w:val="44"/>
              <w:rPr>
                <w:color w:val="auto"/>
              </w:rPr>
            </w:pPr>
            <w:r>
              <w:rPr>
                <w:color w:val="auto"/>
              </w:rPr>
              <w:t>序号</w:t>
            </w:r>
          </w:p>
        </w:tc>
        <w:tc>
          <w:tcPr>
            <w:tcW w:w="1596" w:type="pct"/>
            <w:vMerge w:val="restart"/>
            <w:tcBorders>
              <w:tl2br w:val="nil"/>
              <w:tr2bl w:val="nil"/>
            </w:tcBorders>
            <w:vAlign w:val="center"/>
          </w:tcPr>
          <w:p w14:paraId="3E630CBC">
            <w:pPr>
              <w:pStyle w:val="44"/>
              <w:rPr>
                <w:color w:val="auto"/>
              </w:rPr>
            </w:pPr>
            <w:r>
              <w:rPr>
                <w:color w:val="auto"/>
              </w:rPr>
              <w:t>一级水功能区</w:t>
            </w:r>
          </w:p>
          <w:p w14:paraId="273E599F">
            <w:pPr>
              <w:pStyle w:val="44"/>
              <w:rPr>
                <w:color w:val="auto"/>
              </w:rPr>
            </w:pPr>
            <w:r>
              <w:rPr>
                <w:color w:val="auto"/>
              </w:rPr>
              <w:t>名称</w:t>
            </w:r>
          </w:p>
        </w:tc>
        <w:tc>
          <w:tcPr>
            <w:tcW w:w="475" w:type="pct"/>
            <w:vMerge w:val="restart"/>
            <w:tcBorders>
              <w:tl2br w:val="nil"/>
              <w:tr2bl w:val="nil"/>
            </w:tcBorders>
            <w:vAlign w:val="center"/>
          </w:tcPr>
          <w:p w14:paraId="08AA8207">
            <w:pPr>
              <w:pStyle w:val="44"/>
              <w:rPr>
                <w:color w:val="auto"/>
              </w:rPr>
            </w:pPr>
            <w:r>
              <w:rPr>
                <w:color w:val="auto"/>
              </w:rPr>
              <w:t>河流</w:t>
            </w:r>
          </w:p>
        </w:tc>
        <w:tc>
          <w:tcPr>
            <w:tcW w:w="1834" w:type="pct"/>
            <w:gridSpan w:val="3"/>
            <w:tcBorders>
              <w:tl2br w:val="nil"/>
              <w:tr2bl w:val="nil"/>
            </w:tcBorders>
            <w:vAlign w:val="center"/>
          </w:tcPr>
          <w:p w14:paraId="14FFC05E">
            <w:pPr>
              <w:pStyle w:val="44"/>
              <w:rPr>
                <w:color w:val="auto"/>
              </w:rPr>
            </w:pPr>
            <w:r>
              <w:rPr>
                <w:color w:val="auto"/>
              </w:rPr>
              <w:t>河段范围</w:t>
            </w:r>
          </w:p>
        </w:tc>
        <w:tc>
          <w:tcPr>
            <w:tcW w:w="753" w:type="pct"/>
            <w:vMerge w:val="restart"/>
            <w:tcBorders>
              <w:tl2br w:val="nil"/>
              <w:tr2bl w:val="nil"/>
            </w:tcBorders>
            <w:vAlign w:val="center"/>
          </w:tcPr>
          <w:p w14:paraId="4E1B98C9">
            <w:pPr>
              <w:pStyle w:val="44"/>
              <w:rPr>
                <w:color w:val="auto"/>
              </w:rPr>
            </w:pPr>
            <w:r>
              <w:rPr>
                <w:color w:val="auto"/>
              </w:rPr>
              <w:t>水质管理</w:t>
            </w:r>
          </w:p>
          <w:p w14:paraId="3BBB442C">
            <w:pPr>
              <w:pStyle w:val="44"/>
              <w:rPr>
                <w:color w:val="auto"/>
              </w:rPr>
            </w:pPr>
            <w:r>
              <w:rPr>
                <w:color w:val="auto"/>
              </w:rPr>
              <w:t>目标</w:t>
            </w:r>
          </w:p>
        </w:tc>
      </w:tr>
      <w:tr w14:paraId="6A0A9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39" w:type="pct"/>
            <w:vMerge w:val="continue"/>
            <w:tcBorders>
              <w:tl2br w:val="nil"/>
              <w:tr2bl w:val="nil"/>
            </w:tcBorders>
            <w:vAlign w:val="center"/>
          </w:tcPr>
          <w:p w14:paraId="1A38992B">
            <w:pPr>
              <w:pStyle w:val="44"/>
              <w:rPr>
                <w:color w:val="auto"/>
              </w:rPr>
            </w:pPr>
          </w:p>
        </w:tc>
        <w:tc>
          <w:tcPr>
            <w:tcW w:w="1596" w:type="pct"/>
            <w:vMerge w:val="continue"/>
            <w:tcBorders>
              <w:tl2br w:val="nil"/>
              <w:tr2bl w:val="nil"/>
            </w:tcBorders>
            <w:vAlign w:val="center"/>
          </w:tcPr>
          <w:p w14:paraId="26BA1AC4">
            <w:pPr>
              <w:pStyle w:val="44"/>
              <w:rPr>
                <w:color w:val="auto"/>
              </w:rPr>
            </w:pPr>
          </w:p>
        </w:tc>
        <w:tc>
          <w:tcPr>
            <w:tcW w:w="475" w:type="pct"/>
            <w:vMerge w:val="continue"/>
            <w:tcBorders>
              <w:tl2br w:val="nil"/>
              <w:tr2bl w:val="nil"/>
            </w:tcBorders>
            <w:vAlign w:val="center"/>
          </w:tcPr>
          <w:p w14:paraId="060B8391">
            <w:pPr>
              <w:pStyle w:val="44"/>
              <w:rPr>
                <w:color w:val="auto"/>
              </w:rPr>
            </w:pPr>
          </w:p>
        </w:tc>
        <w:tc>
          <w:tcPr>
            <w:tcW w:w="839" w:type="pct"/>
            <w:tcBorders>
              <w:tl2br w:val="nil"/>
              <w:tr2bl w:val="nil"/>
            </w:tcBorders>
            <w:vAlign w:val="center"/>
          </w:tcPr>
          <w:p w14:paraId="1BF82F39">
            <w:pPr>
              <w:pStyle w:val="44"/>
              <w:rPr>
                <w:color w:val="auto"/>
              </w:rPr>
            </w:pPr>
            <w:r>
              <w:rPr>
                <w:color w:val="auto"/>
              </w:rPr>
              <w:t>起始断面</w:t>
            </w:r>
          </w:p>
        </w:tc>
        <w:tc>
          <w:tcPr>
            <w:tcW w:w="501" w:type="pct"/>
            <w:tcBorders>
              <w:tl2br w:val="nil"/>
              <w:tr2bl w:val="nil"/>
            </w:tcBorders>
            <w:vAlign w:val="center"/>
          </w:tcPr>
          <w:p w14:paraId="16812C8F">
            <w:pPr>
              <w:pStyle w:val="44"/>
              <w:rPr>
                <w:color w:val="auto"/>
              </w:rPr>
            </w:pPr>
            <w:r>
              <w:rPr>
                <w:color w:val="auto"/>
              </w:rPr>
              <w:t>终止断面</w:t>
            </w:r>
          </w:p>
        </w:tc>
        <w:tc>
          <w:tcPr>
            <w:tcW w:w="493" w:type="pct"/>
            <w:tcBorders>
              <w:tl2br w:val="nil"/>
              <w:tr2bl w:val="nil"/>
            </w:tcBorders>
            <w:vAlign w:val="center"/>
          </w:tcPr>
          <w:p w14:paraId="63509C3E">
            <w:pPr>
              <w:pStyle w:val="44"/>
              <w:rPr>
                <w:color w:val="auto"/>
              </w:rPr>
            </w:pPr>
            <w:r>
              <w:rPr>
                <w:color w:val="auto"/>
              </w:rPr>
              <w:t>长度（Km）</w:t>
            </w:r>
          </w:p>
        </w:tc>
        <w:tc>
          <w:tcPr>
            <w:tcW w:w="753" w:type="pct"/>
            <w:vMerge w:val="continue"/>
            <w:tcBorders>
              <w:tl2br w:val="nil"/>
              <w:tr2bl w:val="nil"/>
            </w:tcBorders>
            <w:vAlign w:val="center"/>
          </w:tcPr>
          <w:p w14:paraId="6D6D42A2">
            <w:pPr>
              <w:pStyle w:val="44"/>
              <w:rPr>
                <w:color w:val="auto"/>
              </w:rPr>
            </w:pPr>
          </w:p>
        </w:tc>
      </w:tr>
      <w:tr w14:paraId="2779A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39" w:type="pct"/>
            <w:tcBorders>
              <w:tl2br w:val="nil"/>
              <w:tr2bl w:val="nil"/>
            </w:tcBorders>
            <w:vAlign w:val="center"/>
          </w:tcPr>
          <w:p w14:paraId="307E90A0">
            <w:pPr>
              <w:pStyle w:val="44"/>
              <w:rPr>
                <w:color w:val="auto"/>
              </w:rPr>
            </w:pPr>
            <w:r>
              <w:rPr>
                <w:color w:val="auto"/>
              </w:rPr>
              <w:t>1</w:t>
            </w:r>
          </w:p>
        </w:tc>
        <w:tc>
          <w:tcPr>
            <w:tcW w:w="1596" w:type="pct"/>
            <w:tcBorders>
              <w:tl2br w:val="nil"/>
              <w:tr2bl w:val="nil"/>
            </w:tcBorders>
            <w:vAlign w:val="center"/>
          </w:tcPr>
          <w:p w14:paraId="31E9505E">
            <w:pPr>
              <w:pStyle w:val="44"/>
              <w:rPr>
                <w:color w:val="auto"/>
              </w:rPr>
            </w:pPr>
            <w:r>
              <w:rPr>
                <w:color w:val="auto"/>
              </w:rPr>
              <w:t>长江三峡库区</w:t>
            </w:r>
          </w:p>
          <w:p w14:paraId="2DD08B15">
            <w:pPr>
              <w:pStyle w:val="44"/>
              <w:rPr>
                <w:color w:val="auto"/>
              </w:rPr>
            </w:pPr>
            <w:r>
              <w:rPr>
                <w:color w:val="auto"/>
              </w:rPr>
              <w:t>重庆城区开发利用区</w:t>
            </w:r>
          </w:p>
        </w:tc>
        <w:tc>
          <w:tcPr>
            <w:tcW w:w="475" w:type="pct"/>
            <w:tcBorders>
              <w:tl2br w:val="nil"/>
              <w:tr2bl w:val="nil"/>
            </w:tcBorders>
            <w:vAlign w:val="center"/>
          </w:tcPr>
          <w:p w14:paraId="0EFB9B24">
            <w:pPr>
              <w:pStyle w:val="44"/>
              <w:rPr>
                <w:color w:val="auto"/>
              </w:rPr>
            </w:pPr>
            <w:r>
              <w:rPr>
                <w:color w:val="auto"/>
              </w:rPr>
              <w:t>长江</w:t>
            </w:r>
          </w:p>
        </w:tc>
        <w:tc>
          <w:tcPr>
            <w:tcW w:w="839" w:type="pct"/>
            <w:tcBorders>
              <w:tl2br w:val="nil"/>
              <w:tr2bl w:val="nil"/>
            </w:tcBorders>
            <w:vAlign w:val="center"/>
          </w:tcPr>
          <w:p w14:paraId="0DE14B35">
            <w:pPr>
              <w:pStyle w:val="44"/>
              <w:rPr>
                <w:color w:val="auto"/>
              </w:rPr>
            </w:pPr>
            <w:r>
              <w:rPr>
                <w:color w:val="auto"/>
              </w:rPr>
              <w:t>跳磴河入口</w:t>
            </w:r>
          </w:p>
        </w:tc>
        <w:tc>
          <w:tcPr>
            <w:tcW w:w="501" w:type="pct"/>
            <w:tcBorders>
              <w:tl2br w:val="nil"/>
              <w:tr2bl w:val="nil"/>
            </w:tcBorders>
            <w:vAlign w:val="center"/>
          </w:tcPr>
          <w:p w14:paraId="2AAD5488">
            <w:pPr>
              <w:pStyle w:val="44"/>
              <w:rPr>
                <w:color w:val="auto"/>
              </w:rPr>
            </w:pPr>
            <w:r>
              <w:rPr>
                <w:color w:val="auto"/>
              </w:rPr>
              <w:t>桃花溪</w:t>
            </w:r>
          </w:p>
        </w:tc>
        <w:tc>
          <w:tcPr>
            <w:tcW w:w="493" w:type="pct"/>
            <w:tcBorders>
              <w:tl2br w:val="nil"/>
              <w:tr2bl w:val="nil"/>
            </w:tcBorders>
            <w:vAlign w:val="center"/>
          </w:tcPr>
          <w:p w14:paraId="7A21976B">
            <w:pPr>
              <w:pStyle w:val="44"/>
              <w:rPr>
                <w:color w:val="auto"/>
              </w:rPr>
            </w:pPr>
            <w:r>
              <w:rPr>
                <w:color w:val="auto"/>
              </w:rPr>
              <w:t>28.0</w:t>
            </w:r>
          </w:p>
        </w:tc>
        <w:tc>
          <w:tcPr>
            <w:tcW w:w="753" w:type="pct"/>
            <w:tcBorders>
              <w:tl2br w:val="nil"/>
              <w:tr2bl w:val="nil"/>
            </w:tcBorders>
            <w:vAlign w:val="center"/>
          </w:tcPr>
          <w:p w14:paraId="7B779574">
            <w:pPr>
              <w:pStyle w:val="44"/>
              <w:rPr>
                <w:color w:val="auto"/>
              </w:rPr>
            </w:pPr>
            <w:r>
              <w:rPr>
                <w:color w:val="auto"/>
              </w:rPr>
              <w:t>Ⅲ</w:t>
            </w:r>
          </w:p>
        </w:tc>
      </w:tr>
      <w:tr w14:paraId="50234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tcBorders>
              <w:tl2br w:val="nil"/>
              <w:tr2bl w:val="nil"/>
            </w:tcBorders>
            <w:vAlign w:val="center"/>
          </w:tcPr>
          <w:p w14:paraId="347949B0">
            <w:pPr>
              <w:pStyle w:val="44"/>
              <w:rPr>
                <w:color w:val="auto"/>
              </w:rPr>
            </w:pPr>
            <w:r>
              <w:rPr>
                <w:color w:val="auto"/>
              </w:rPr>
              <w:t>2</w:t>
            </w:r>
          </w:p>
        </w:tc>
        <w:tc>
          <w:tcPr>
            <w:tcW w:w="1596" w:type="pct"/>
            <w:tcBorders>
              <w:tl2br w:val="nil"/>
              <w:tr2bl w:val="nil"/>
            </w:tcBorders>
            <w:vAlign w:val="center"/>
          </w:tcPr>
          <w:p w14:paraId="7916D4E9">
            <w:pPr>
              <w:pStyle w:val="44"/>
              <w:rPr>
                <w:color w:val="auto"/>
              </w:rPr>
            </w:pPr>
            <w:r>
              <w:rPr>
                <w:color w:val="auto"/>
              </w:rPr>
              <w:t>跳磴河九龙坡大渡口缓冲区</w:t>
            </w:r>
          </w:p>
        </w:tc>
        <w:tc>
          <w:tcPr>
            <w:tcW w:w="475" w:type="pct"/>
            <w:tcBorders>
              <w:tl2br w:val="nil"/>
              <w:tr2bl w:val="nil"/>
            </w:tcBorders>
            <w:vAlign w:val="center"/>
          </w:tcPr>
          <w:p w14:paraId="55AA5803">
            <w:pPr>
              <w:pStyle w:val="44"/>
              <w:rPr>
                <w:color w:val="auto"/>
              </w:rPr>
            </w:pPr>
            <w:r>
              <w:rPr>
                <w:color w:val="auto"/>
              </w:rPr>
              <w:t>跳磴河</w:t>
            </w:r>
          </w:p>
        </w:tc>
        <w:tc>
          <w:tcPr>
            <w:tcW w:w="839" w:type="pct"/>
            <w:tcBorders>
              <w:tl2br w:val="nil"/>
              <w:tr2bl w:val="nil"/>
            </w:tcBorders>
            <w:vAlign w:val="center"/>
          </w:tcPr>
          <w:p w14:paraId="013BF67B">
            <w:pPr>
              <w:pStyle w:val="44"/>
              <w:rPr>
                <w:color w:val="auto"/>
              </w:rPr>
            </w:pPr>
            <w:r>
              <w:rPr>
                <w:color w:val="auto"/>
              </w:rPr>
              <w:t>九龙坡区与大渡口区交界处</w:t>
            </w:r>
          </w:p>
        </w:tc>
        <w:tc>
          <w:tcPr>
            <w:tcW w:w="501" w:type="pct"/>
            <w:tcBorders>
              <w:tl2br w:val="nil"/>
              <w:tr2bl w:val="nil"/>
            </w:tcBorders>
            <w:vAlign w:val="center"/>
          </w:tcPr>
          <w:p w14:paraId="5A23FD05">
            <w:pPr>
              <w:pStyle w:val="44"/>
              <w:rPr>
                <w:color w:val="auto"/>
              </w:rPr>
            </w:pPr>
            <w:r>
              <w:rPr>
                <w:color w:val="auto"/>
              </w:rPr>
              <w:t>跳磴镇跳磴村</w:t>
            </w:r>
          </w:p>
        </w:tc>
        <w:tc>
          <w:tcPr>
            <w:tcW w:w="493" w:type="pct"/>
            <w:tcBorders>
              <w:tl2br w:val="nil"/>
              <w:tr2bl w:val="nil"/>
            </w:tcBorders>
            <w:vAlign w:val="center"/>
          </w:tcPr>
          <w:p w14:paraId="0440E6E9">
            <w:pPr>
              <w:pStyle w:val="44"/>
              <w:rPr>
                <w:color w:val="auto"/>
              </w:rPr>
            </w:pPr>
            <w:r>
              <w:rPr>
                <w:color w:val="auto"/>
              </w:rPr>
              <w:t>2.5</w:t>
            </w:r>
          </w:p>
        </w:tc>
        <w:tc>
          <w:tcPr>
            <w:tcW w:w="753" w:type="pct"/>
            <w:tcBorders>
              <w:tl2br w:val="nil"/>
              <w:tr2bl w:val="nil"/>
            </w:tcBorders>
            <w:vAlign w:val="center"/>
          </w:tcPr>
          <w:p w14:paraId="78151B63">
            <w:pPr>
              <w:pStyle w:val="44"/>
              <w:rPr>
                <w:color w:val="auto"/>
              </w:rPr>
            </w:pPr>
            <w:r>
              <w:rPr>
                <w:color w:val="auto"/>
              </w:rPr>
              <w:t>不低于现状水质</w:t>
            </w:r>
          </w:p>
        </w:tc>
      </w:tr>
      <w:tr w14:paraId="6D837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tcBorders>
              <w:tl2br w:val="nil"/>
              <w:tr2bl w:val="nil"/>
            </w:tcBorders>
            <w:vAlign w:val="center"/>
          </w:tcPr>
          <w:p w14:paraId="74B2F189">
            <w:pPr>
              <w:pStyle w:val="44"/>
              <w:rPr>
                <w:color w:val="auto"/>
              </w:rPr>
            </w:pPr>
            <w:r>
              <w:rPr>
                <w:color w:val="auto"/>
              </w:rPr>
              <w:t>3</w:t>
            </w:r>
          </w:p>
        </w:tc>
        <w:tc>
          <w:tcPr>
            <w:tcW w:w="1596" w:type="pct"/>
            <w:tcBorders>
              <w:tl2br w:val="nil"/>
              <w:tr2bl w:val="nil"/>
            </w:tcBorders>
            <w:vAlign w:val="center"/>
          </w:tcPr>
          <w:p w14:paraId="48491DC0">
            <w:pPr>
              <w:pStyle w:val="44"/>
              <w:rPr>
                <w:color w:val="auto"/>
              </w:rPr>
            </w:pPr>
            <w:r>
              <w:rPr>
                <w:color w:val="auto"/>
              </w:rPr>
              <w:t>跳蹬河大渡口开发利用区</w:t>
            </w:r>
          </w:p>
        </w:tc>
        <w:tc>
          <w:tcPr>
            <w:tcW w:w="475" w:type="pct"/>
            <w:tcBorders>
              <w:tl2br w:val="nil"/>
              <w:tr2bl w:val="nil"/>
            </w:tcBorders>
            <w:vAlign w:val="center"/>
          </w:tcPr>
          <w:p w14:paraId="34843C96">
            <w:pPr>
              <w:pStyle w:val="44"/>
              <w:rPr>
                <w:color w:val="auto"/>
              </w:rPr>
            </w:pPr>
            <w:r>
              <w:rPr>
                <w:color w:val="auto"/>
              </w:rPr>
              <w:t>跳磴河</w:t>
            </w:r>
          </w:p>
        </w:tc>
        <w:tc>
          <w:tcPr>
            <w:tcW w:w="839" w:type="pct"/>
            <w:tcBorders>
              <w:tl2br w:val="nil"/>
              <w:tr2bl w:val="nil"/>
            </w:tcBorders>
            <w:vAlign w:val="center"/>
          </w:tcPr>
          <w:p w14:paraId="464BCD35">
            <w:pPr>
              <w:pStyle w:val="44"/>
              <w:rPr>
                <w:color w:val="auto"/>
              </w:rPr>
            </w:pPr>
            <w:r>
              <w:rPr>
                <w:color w:val="auto"/>
              </w:rPr>
              <w:t>跳磴村</w:t>
            </w:r>
          </w:p>
        </w:tc>
        <w:tc>
          <w:tcPr>
            <w:tcW w:w="501" w:type="pct"/>
            <w:tcBorders>
              <w:tl2br w:val="nil"/>
              <w:tr2bl w:val="nil"/>
            </w:tcBorders>
            <w:vAlign w:val="center"/>
          </w:tcPr>
          <w:p w14:paraId="1AB8B251">
            <w:pPr>
              <w:pStyle w:val="44"/>
              <w:rPr>
                <w:color w:val="auto"/>
              </w:rPr>
            </w:pPr>
            <w:r>
              <w:rPr>
                <w:color w:val="auto"/>
              </w:rPr>
              <w:t>河口</w:t>
            </w:r>
          </w:p>
        </w:tc>
        <w:tc>
          <w:tcPr>
            <w:tcW w:w="493" w:type="pct"/>
            <w:tcBorders>
              <w:tl2br w:val="nil"/>
              <w:tr2bl w:val="nil"/>
            </w:tcBorders>
            <w:vAlign w:val="center"/>
          </w:tcPr>
          <w:p w14:paraId="732EC908">
            <w:pPr>
              <w:pStyle w:val="44"/>
              <w:rPr>
                <w:color w:val="auto"/>
              </w:rPr>
            </w:pPr>
            <w:r>
              <w:rPr>
                <w:color w:val="auto"/>
              </w:rPr>
              <w:t>10.2</w:t>
            </w:r>
          </w:p>
        </w:tc>
        <w:tc>
          <w:tcPr>
            <w:tcW w:w="753" w:type="pct"/>
            <w:tcBorders>
              <w:tl2br w:val="nil"/>
              <w:tr2bl w:val="nil"/>
            </w:tcBorders>
            <w:vAlign w:val="center"/>
          </w:tcPr>
          <w:p w14:paraId="4CABEA36">
            <w:pPr>
              <w:pStyle w:val="44"/>
              <w:rPr>
                <w:color w:val="auto"/>
              </w:rPr>
            </w:pPr>
            <w:r>
              <w:rPr>
                <w:color w:val="auto"/>
              </w:rPr>
              <w:t>按二级水功能区执行</w:t>
            </w:r>
          </w:p>
        </w:tc>
      </w:tr>
    </w:tbl>
    <w:p w14:paraId="209EF783">
      <w:pPr>
        <w:tabs>
          <w:tab w:val="left" w:pos="2297"/>
          <w:tab w:val="center" w:pos="4758"/>
          <w:tab w:val="left" w:pos="11340"/>
        </w:tabs>
        <w:spacing w:line="420" w:lineRule="auto"/>
        <w:ind w:firstLine="0" w:firstLineChars="0"/>
        <w:jc w:val="left"/>
        <w:rPr>
          <w:b/>
          <w:color w:val="auto"/>
          <w:szCs w:val="21"/>
        </w:rPr>
      </w:pPr>
      <w:r>
        <w:rPr>
          <w:b/>
          <w:color w:val="auto"/>
          <w:szCs w:val="21"/>
        </w:rPr>
        <w:t>表3.1-5                 大渡口区河流二级水功能区划登记表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047"/>
        <w:gridCol w:w="993"/>
        <w:gridCol w:w="1310"/>
        <w:gridCol w:w="1298"/>
        <w:gridCol w:w="877"/>
        <w:gridCol w:w="948"/>
      </w:tblGrid>
      <w:tr w14:paraId="06070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50" w:type="pct"/>
            <w:vMerge w:val="restart"/>
            <w:tcBorders>
              <w:tl2br w:val="nil"/>
              <w:tr2bl w:val="nil"/>
            </w:tcBorders>
            <w:vAlign w:val="center"/>
          </w:tcPr>
          <w:p w14:paraId="2992F094">
            <w:pPr>
              <w:pStyle w:val="44"/>
              <w:rPr>
                <w:color w:val="auto"/>
              </w:rPr>
            </w:pPr>
            <w:r>
              <w:rPr>
                <w:color w:val="auto"/>
              </w:rPr>
              <w:t>序号</w:t>
            </w:r>
          </w:p>
        </w:tc>
        <w:tc>
          <w:tcPr>
            <w:tcW w:w="1671" w:type="pct"/>
            <w:vMerge w:val="restart"/>
            <w:tcBorders>
              <w:tl2br w:val="nil"/>
              <w:tr2bl w:val="nil"/>
            </w:tcBorders>
            <w:vAlign w:val="center"/>
          </w:tcPr>
          <w:p w14:paraId="69805E28">
            <w:pPr>
              <w:pStyle w:val="44"/>
              <w:rPr>
                <w:color w:val="auto"/>
              </w:rPr>
            </w:pPr>
            <w:r>
              <w:rPr>
                <w:color w:val="auto"/>
              </w:rPr>
              <w:t>二级水功能区名称</w:t>
            </w:r>
          </w:p>
        </w:tc>
        <w:tc>
          <w:tcPr>
            <w:tcW w:w="545" w:type="pct"/>
            <w:vMerge w:val="restart"/>
            <w:tcBorders>
              <w:tl2br w:val="nil"/>
              <w:tr2bl w:val="nil"/>
            </w:tcBorders>
            <w:vAlign w:val="center"/>
          </w:tcPr>
          <w:p w14:paraId="5720E1F6">
            <w:pPr>
              <w:pStyle w:val="44"/>
              <w:rPr>
                <w:color w:val="auto"/>
              </w:rPr>
            </w:pPr>
            <w:r>
              <w:rPr>
                <w:color w:val="auto"/>
              </w:rPr>
              <w:t>河流</w:t>
            </w:r>
          </w:p>
        </w:tc>
        <w:tc>
          <w:tcPr>
            <w:tcW w:w="1912" w:type="pct"/>
            <w:gridSpan w:val="3"/>
            <w:tcBorders>
              <w:tl2br w:val="nil"/>
              <w:tr2bl w:val="nil"/>
            </w:tcBorders>
            <w:vAlign w:val="center"/>
          </w:tcPr>
          <w:p w14:paraId="0E663696">
            <w:pPr>
              <w:pStyle w:val="44"/>
              <w:rPr>
                <w:color w:val="auto"/>
              </w:rPr>
            </w:pPr>
            <w:r>
              <w:rPr>
                <w:color w:val="auto"/>
              </w:rPr>
              <w:t>河段范围</w:t>
            </w:r>
          </w:p>
        </w:tc>
        <w:tc>
          <w:tcPr>
            <w:tcW w:w="520" w:type="pct"/>
            <w:vMerge w:val="restart"/>
            <w:tcBorders>
              <w:tl2br w:val="nil"/>
              <w:tr2bl w:val="nil"/>
            </w:tcBorders>
            <w:vAlign w:val="center"/>
          </w:tcPr>
          <w:p w14:paraId="4738CA8A">
            <w:pPr>
              <w:pStyle w:val="44"/>
              <w:rPr>
                <w:color w:val="auto"/>
              </w:rPr>
            </w:pPr>
            <w:r>
              <w:rPr>
                <w:color w:val="auto"/>
              </w:rPr>
              <w:t>水质管理目标</w:t>
            </w:r>
          </w:p>
        </w:tc>
      </w:tr>
      <w:tr w14:paraId="5BDAF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9" w:hRule="atLeast"/>
          <w:tblHeader/>
          <w:jc w:val="center"/>
        </w:trPr>
        <w:tc>
          <w:tcPr>
            <w:tcW w:w="350" w:type="pct"/>
            <w:vMerge w:val="continue"/>
            <w:tcBorders>
              <w:tl2br w:val="nil"/>
              <w:tr2bl w:val="nil"/>
            </w:tcBorders>
            <w:vAlign w:val="center"/>
          </w:tcPr>
          <w:p w14:paraId="51E0A0DC">
            <w:pPr>
              <w:pStyle w:val="44"/>
              <w:rPr>
                <w:color w:val="auto"/>
              </w:rPr>
            </w:pPr>
          </w:p>
        </w:tc>
        <w:tc>
          <w:tcPr>
            <w:tcW w:w="1671" w:type="pct"/>
            <w:vMerge w:val="continue"/>
            <w:tcBorders>
              <w:tl2br w:val="nil"/>
              <w:tr2bl w:val="nil"/>
            </w:tcBorders>
            <w:vAlign w:val="center"/>
          </w:tcPr>
          <w:p w14:paraId="4954DDA6">
            <w:pPr>
              <w:pStyle w:val="44"/>
              <w:rPr>
                <w:color w:val="auto"/>
              </w:rPr>
            </w:pPr>
          </w:p>
        </w:tc>
        <w:tc>
          <w:tcPr>
            <w:tcW w:w="545" w:type="pct"/>
            <w:vMerge w:val="continue"/>
            <w:tcBorders>
              <w:tl2br w:val="nil"/>
              <w:tr2bl w:val="nil"/>
            </w:tcBorders>
            <w:vAlign w:val="center"/>
          </w:tcPr>
          <w:p w14:paraId="11A3B09E">
            <w:pPr>
              <w:pStyle w:val="44"/>
              <w:rPr>
                <w:color w:val="auto"/>
              </w:rPr>
            </w:pPr>
          </w:p>
        </w:tc>
        <w:tc>
          <w:tcPr>
            <w:tcW w:w="719" w:type="pct"/>
            <w:tcBorders>
              <w:tl2br w:val="nil"/>
              <w:tr2bl w:val="nil"/>
            </w:tcBorders>
            <w:vAlign w:val="center"/>
          </w:tcPr>
          <w:p w14:paraId="1A9F269A">
            <w:pPr>
              <w:pStyle w:val="44"/>
              <w:rPr>
                <w:color w:val="auto"/>
              </w:rPr>
            </w:pPr>
            <w:r>
              <w:rPr>
                <w:color w:val="auto"/>
              </w:rPr>
              <w:t>起始断面</w:t>
            </w:r>
          </w:p>
        </w:tc>
        <w:tc>
          <w:tcPr>
            <w:tcW w:w="712" w:type="pct"/>
            <w:tcBorders>
              <w:tl2br w:val="nil"/>
              <w:tr2bl w:val="nil"/>
            </w:tcBorders>
            <w:vAlign w:val="center"/>
          </w:tcPr>
          <w:p w14:paraId="23B7C48F">
            <w:pPr>
              <w:pStyle w:val="44"/>
              <w:rPr>
                <w:color w:val="auto"/>
              </w:rPr>
            </w:pPr>
            <w:r>
              <w:rPr>
                <w:color w:val="auto"/>
              </w:rPr>
              <w:t>终止断面</w:t>
            </w:r>
          </w:p>
        </w:tc>
        <w:tc>
          <w:tcPr>
            <w:tcW w:w="480" w:type="pct"/>
            <w:tcBorders>
              <w:tl2br w:val="nil"/>
              <w:tr2bl w:val="nil"/>
            </w:tcBorders>
            <w:vAlign w:val="center"/>
          </w:tcPr>
          <w:p w14:paraId="070DC138">
            <w:pPr>
              <w:pStyle w:val="44"/>
              <w:rPr>
                <w:color w:val="auto"/>
              </w:rPr>
            </w:pPr>
            <w:r>
              <w:rPr>
                <w:color w:val="auto"/>
              </w:rPr>
              <w:t>长度（Km）</w:t>
            </w:r>
          </w:p>
        </w:tc>
        <w:tc>
          <w:tcPr>
            <w:tcW w:w="520" w:type="pct"/>
            <w:vMerge w:val="continue"/>
            <w:tcBorders>
              <w:tl2br w:val="nil"/>
              <w:tr2bl w:val="nil"/>
            </w:tcBorders>
            <w:vAlign w:val="center"/>
          </w:tcPr>
          <w:p w14:paraId="3918C35F">
            <w:pPr>
              <w:pStyle w:val="44"/>
              <w:rPr>
                <w:color w:val="auto"/>
              </w:rPr>
            </w:pPr>
          </w:p>
        </w:tc>
      </w:tr>
      <w:tr w14:paraId="584E5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50" w:type="pct"/>
            <w:tcBorders>
              <w:tl2br w:val="nil"/>
              <w:tr2bl w:val="nil"/>
            </w:tcBorders>
            <w:vAlign w:val="center"/>
          </w:tcPr>
          <w:p w14:paraId="0F5292E7">
            <w:pPr>
              <w:pStyle w:val="44"/>
              <w:rPr>
                <w:color w:val="auto"/>
              </w:rPr>
            </w:pPr>
            <w:r>
              <w:rPr>
                <w:color w:val="auto"/>
              </w:rPr>
              <w:t>1</w:t>
            </w:r>
          </w:p>
        </w:tc>
        <w:tc>
          <w:tcPr>
            <w:tcW w:w="1671" w:type="pct"/>
            <w:tcBorders>
              <w:tl2br w:val="nil"/>
              <w:tr2bl w:val="nil"/>
            </w:tcBorders>
            <w:vAlign w:val="center"/>
          </w:tcPr>
          <w:p w14:paraId="07DC856D">
            <w:pPr>
              <w:pStyle w:val="44"/>
              <w:rPr>
                <w:color w:val="auto"/>
              </w:rPr>
            </w:pPr>
            <w:r>
              <w:rPr>
                <w:color w:val="auto"/>
              </w:rPr>
              <w:t>长江三峡库区</w:t>
            </w:r>
          </w:p>
          <w:p w14:paraId="173A3E66">
            <w:pPr>
              <w:pStyle w:val="44"/>
              <w:rPr>
                <w:color w:val="auto"/>
              </w:rPr>
            </w:pPr>
            <w:r>
              <w:rPr>
                <w:color w:val="auto"/>
              </w:rPr>
              <w:t>大渡口饮用水源区</w:t>
            </w:r>
          </w:p>
        </w:tc>
        <w:tc>
          <w:tcPr>
            <w:tcW w:w="545" w:type="pct"/>
            <w:tcBorders>
              <w:tl2br w:val="nil"/>
              <w:tr2bl w:val="nil"/>
            </w:tcBorders>
            <w:vAlign w:val="center"/>
          </w:tcPr>
          <w:p w14:paraId="65F60640">
            <w:pPr>
              <w:pStyle w:val="44"/>
              <w:rPr>
                <w:color w:val="auto"/>
              </w:rPr>
            </w:pPr>
            <w:r>
              <w:rPr>
                <w:color w:val="auto"/>
              </w:rPr>
              <w:t>长江</w:t>
            </w:r>
          </w:p>
        </w:tc>
        <w:tc>
          <w:tcPr>
            <w:tcW w:w="719" w:type="pct"/>
            <w:tcBorders>
              <w:tl2br w:val="nil"/>
              <w:tr2bl w:val="nil"/>
            </w:tcBorders>
            <w:vAlign w:val="center"/>
          </w:tcPr>
          <w:p w14:paraId="0B844C21">
            <w:pPr>
              <w:pStyle w:val="44"/>
              <w:rPr>
                <w:color w:val="auto"/>
              </w:rPr>
            </w:pPr>
            <w:r>
              <w:rPr>
                <w:color w:val="auto"/>
              </w:rPr>
              <w:t>跳磴河入口</w:t>
            </w:r>
          </w:p>
        </w:tc>
        <w:tc>
          <w:tcPr>
            <w:tcW w:w="712" w:type="pct"/>
            <w:tcBorders>
              <w:tl2br w:val="nil"/>
              <w:tr2bl w:val="nil"/>
            </w:tcBorders>
            <w:vAlign w:val="center"/>
          </w:tcPr>
          <w:p w14:paraId="05107C5E">
            <w:pPr>
              <w:pStyle w:val="44"/>
              <w:rPr>
                <w:color w:val="auto"/>
              </w:rPr>
            </w:pPr>
            <w:r>
              <w:rPr>
                <w:color w:val="auto"/>
              </w:rPr>
              <w:t>茄子溪水厂</w:t>
            </w:r>
          </w:p>
        </w:tc>
        <w:tc>
          <w:tcPr>
            <w:tcW w:w="480" w:type="pct"/>
            <w:tcBorders>
              <w:tl2br w:val="nil"/>
              <w:tr2bl w:val="nil"/>
            </w:tcBorders>
            <w:vAlign w:val="center"/>
          </w:tcPr>
          <w:p w14:paraId="701FBC70">
            <w:pPr>
              <w:pStyle w:val="44"/>
              <w:rPr>
                <w:color w:val="auto"/>
              </w:rPr>
            </w:pPr>
            <w:r>
              <w:rPr>
                <w:color w:val="auto"/>
              </w:rPr>
              <w:t>22.0</w:t>
            </w:r>
          </w:p>
        </w:tc>
        <w:tc>
          <w:tcPr>
            <w:tcW w:w="520" w:type="pct"/>
            <w:tcBorders>
              <w:tl2br w:val="nil"/>
              <w:tr2bl w:val="nil"/>
            </w:tcBorders>
            <w:vAlign w:val="center"/>
          </w:tcPr>
          <w:p w14:paraId="2306DD16">
            <w:pPr>
              <w:pStyle w:val="44"/>
              <w:rPr>
                <w:color w:val="auto"/>
              </w:rPr>
            </w:pPr>
            <w:r>
              <w:rPr>
                <w:color w:val="auto"/>
              </w:rPr>
              <w:t>Ⅲ</w:t>
            </w:r>
          </w:p>
        </w:tc>
      </w:tr>
      <w:tr w14:paraId="0D781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50" w:type="pct"/>
            <w:tcBorders>
              <w:tl2br w:val="nil"/>
              <w:tr2bl w:val="nil"/>
            </w:tcBorders>
            <w:vAlign w:val="center"/>
          </w:tcPr>
          <w:p w14:paraId="3718942A">
            <w:pPr>
              <w:pStyle w:val="44"/>
              <w:rPr>
                <w:color w:val="auto"/>
              </w:rPr>
            </w:pPr>
            <w:r>
              <w:rPr>
                <w:color w:val="auto"/>
              </w:rPr>
              <w:t>2</w:t>
            </w:r>
          </w:p>
        </w:tc>
        <w:tc>
          <w:tcPr>
            <w:tcW w:w="1671" w:type="pct"/>
            <w:tcBorders>
              <w:tl2br w:val="nil"/>
              <w:tr2bl w:val="nil"/>
            </w:tcBorders>
            <w:vAlign w:val="center"/>
          </w:tcPr>
          <w:p w14:paraId="648FD2E6">
            <w:pPr>
              <w:pStyle w:val="44"/>
              <w:rPr>
                <w:color w:val="auto"/>
              </w:rPr>
            </w:pPr>
            <w:r>
              <w:rPr>
                <w:color w:val="auto"/>
              </w:rPr>
              <w:t>长江三峡库区</w:t>
            </w:r>
          </w:p>
          <w:p w14:paraId="10CB3BCB">
            <w:pPr>
              <w:pStyle w:val="44"/>
              <w:rPr>
                <w:color w:val="auto"/>
              </w:rPr>
            </w:pPr>
            <w:r>
              <w:rPr>
                <w:color w:val="auto"/>
              </w:rPr>
              <w:t>大渡口排污控制区</w:t>
            </w:r>
          </w:p>
        </w:tc>
        <w:tc>
          <w:tcPr>
            <w:tcW w:w="545" w:type="pct"/>
            <w:tcBorders>
              <w:tl2br w:val="nil"/>
              <w:tr2bl w:val="nil"/>
            </w:tcBorders>
            <w:vAlign w:val="center"/>
          </w:tcPr>
          <w:p w14:paraId="628E4AC4">
            <w:pPr>
              <w:pStyle w:val="44"/>
              <w:rPr>
                <w:color w:val="auto"/>
              </w:rPr>
            </w:pPr>
            <w:r>
              <w:rPr>
                <w:color w:val="auto"/>
              </w:rPr>
              <w:t>长江</w:t>
            </w:r>
          </w:p>
        </w:tc>
        <w:tc>
          <w:tcPr>
            <w:tcW w:w="719" w:type="pct"/>
            <w:tcBorders>
              <w:tl2br w:val="nil"/>
              <w:tr2bl w:val="nil"/>
            </w:tcBorders>
            <w:vAlign w:val="center"/>
          </w:tcPr>
          <w:p w14:paraId="0F291423">
            <w:pPr>
              <w:pStyle w:val="44"/>
              <w:rPr>
                <w:color w:val="auto"/>
              </w:rPr>
            </w:pPr>
            <w:r>
              <w:rPr>
                <w:color w:val="auto"/>
              </w:rPr>
              <w:t>茄子溪水厂</w:t>
            </w:r>
          </w:p>
        </w:tc>
        <w:tc>
          <w:tcPr>
            <w:tcW w:w="712" w:type="pct"/>
            <w:tcBorders>
              <w:tl2br w:val="nil"/>
              <w:tr2bl w:val="nil"/>
            </w:tcBorders>
            <w:vAlign w:val="center"/>
          </w:tcPr>
          <w:p w14:paraId="592483D8">
            <w:pPr>
              <w:pStyle w:val="44"/>
              <w:rPr>
                <w:color w:val="auto"/>
              </w:rPr>
            </w:pPr>
            <w:r>
              <w:rPr>
                <w:color w:val="auto"/>
              </w:rPr>
              <w:t>重庆新港</w:t>
            </w:r>
          </w:p>
        </w:tc>
        <w:tc>
          <w:tcPr>
            <w:tcW w:w="480" w:type="pct"/>
            <w:tcBorders>
              <w:tl2br w:val="nil"/>
              <w:tr2bl w:val="nil"/>
            </w:tcBorders>
            <w:vAlign w:val="center"/>
          </w:tcPr>
          <w:p w14:paraId="0F039901">
            <w:pPr>
              <w:pStyle w:val="44"/>
              <w:rPr>
                <w:color w:val="auto"/>
              </w:rPr>
            </w:pPr>
            <w:r>
              <w:rPr>
                <w:color w:val="auto"/>
              </w:rPr>
              <w:t>4.0</w:t>
            </w:r>
          </w:p>
        </w:tc>
        <w:tc>
          <w:tcPr>
            <w:tcW w:w="520" w:type="pct"/>
            <w:tcBorders>
              <w:tl2br w:val="nil"/>
              <w:tr2bl w:val="nil"/>
            </w:tcBorders>
            <w:vAlign w:val="center"/>
          </w:tcPr>
          <w:p w14:paraId="17AE0537">
            <w:pPr>
              <w:pStyle w:val="44"/>
              <w:rPr>
                <w:color w:val="auto"/>
              </w:rPr>
            </w:pPr>
            <w:r>
              <w:rPr>
                <w:color w:val="auto"/>
              </w:rPr>
              <w:t>Ⅲ</w:t>
            </w:r>
          </w:p>
        </w:tc>
      </w:tr>
      <w:tr w14:paraId="3B0DC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50" w:type="pct"/>
            <w:tcBorders>
              <w:tl2br w:val="nil"/>
              <w:tr2bl w:val="nil"/>
            </w:tcBorders>
            <w:vAlign w:val="center"/>
          </w:tcPr>
          <w:p w14:paraId="28558C52">
            <w:pPr>
              <w:pStyle w:val="44"/>
              <w:rPr>
                <w:color w:val="auto"/>
              </w:rPr>
            </w:pPr>
            <w:r>
              <w:rPr>
                <w:color w:val="auto"/>
              </w:rPr>
              <w:t>3</w:t>
            </w:r>
          </w:p>
        </w:tc>
        <w:tc>
          <w:tcPr>
            <w:tcW w:w="1671" w:type="pct"/>
            <w:tcBorders>
              <w:tl2br w:val="nil"/>
              <w:tr2bl w:val="nil"/>
            </w:tcBorders>
            <w:vAlign w:val="center"/>
          </w:tcPr>
          <w:p w14:paraId="4C98E6B2">
            <w:pPr>
              <w:pStyle w:val="44"/>
              <w:rPr>
                <w:color w:val="auto"/>
              </w:rPr>
            </w:pPr>
            <w:r>
              <w:rPr>
                <w:color w:val="auto"/>
              </w:rPr>
              <w:t>长江三峡库区大渡口过渡区</w:t>
            </w:r>
          </w:p>
        </w:tc>
        <w:tc>
          <w:tcPr>
            <w:tcW w:w="545" w:type="pct"/>
            <w:tcBorders>
              <w:tl2br w:val="nil"/>
              <w:tr2bl w:val="nil"/>
            </w:tcBorders>
            <w:vAlign w:val="center"/>
          </w:tcPr>
          <w:p w14:paraId="2C95776A">
            <w:pPr>
              <w:pStyle w:val="44"/>
              <w:rPr>
                <w:color w:val="auto"/>
              </w:rPr>
            </w:pPr>
            <w:r>
              <w:rPr>
                <w:color w:val="auto"/>
              </w:rPr>
              <w:t>长江</w:t>
            </w:r>
          </w:p>
        </w:tc>
        <w:tc>
          <w:tcPr>
            <w:tcW w:w="719" w:type="pct"/>
            <w:tcBorders>
              <w:tl2br w:val="nil"/>
              <w:tr2bl w:val="nil"/>
            </w:tcBorders>
            <w:vAlign w:val="center"/>
          </w:tcPr>
          <w:p w14:paraId="3377DCB6">
            <w:pPr>
              <w:pStyle w:val="44"/>
              <w:rPr>
                <w:color w:val="auto"/>
              </w:rPr>
            </w:pPr>
            <w:r>
              <w:rPr>
                <w:color w:val="auto"/>
              </w:rPr>
              <w:t>重庆新港</w:t>
            </w:r>
          </w:p>
        </w:tc>
        <w:tc>
          <w:tcPr>
            <w:tcW w:w="712" w:type="pct"/>
            <w:tcBorders>
              <w:tl2br w:val="nil"/>
              <w:tr2bl w:val="nil"/>
            </w:tcBorders>
            <w:vAlign w:val="center"/>
          </w:tcPr>
          <w:p w14:paraId="1EBDF546">
            <w:pPr>
              <w:pStyle w:val="44"/>
              <w:rPr>
                <w:color w:val="auto"/>
              </w:rPr>
            </w:pPr>
            <w:r>
              <w:rPr>
                <w:color w:val="auto"/>
              </w:rPr>
              <w:t>桃花溪</w:t>
            </w:r>
          </w:p>
        </w:tc>
        <w:tc>
          <w:tcPr>
            <w:tcW w:w="480" w:type="pct"/>
            <w:tcBorders>
              <w:tl2br w:val="nil"/>
              <w:tr2bl w:val="nil"/>
            </w:tcBorders>
            <w:vAlign w:val="center"/>
          </w:tcPr>
          <w:p w14:paraId="46212850">
            <w:pPr>
              <w:pStyle w:val="44"/>
              <w:rPr>
                <w:color w:val="auto"/>
              </w:rPr>
            </w:pPr>
            <w:r>
              <w:rPr>
                <w:color w:val="auto"/>
              </w:rPr>
              <w:t>2.0</w:t>
            </w:r>
          </w:p>
        </w:tc>
        <w:tc>
          <w:tcPr>
            <w:tcW w:w="520" w:type="pct"/>
            <w:tcBorders>
              <w:tl2br w:val="nil"/>
              <w:tr2bl w:val="nil"/>
            </w:tcBorders>
            <w:vAlign w:val="center"/>
          </w:tcPr>
          <w:p w14:paraId="340FF553">
            <w:pPr>
              <w:pStyle w:val="44"/>
              <w:rPr>
                <w:color w:val="auto"/>
              </w:rPr>
            </w:pPr>
            <w:r>
              <w:rPr>
                <w:color w:val="auto"/>
              </w:rPr>
              <w:t>Ⅲ</w:t>
            </w:r>
          </w:p>
        </w:tc>
      </w:tr>
      <w:tr w14:paraId="20098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0" w:type="pct"/>
            <w:tcBorders>
              <w:tl2br w:val="nil"/>
              <w:tr2bl w:val="nil"/>
            </w:tcBorders>
            <w:vAlign w:val="center"/>
          </w:tcPr>
          <w:p w14:paraId="357DBA88">
            <w:pPr>
              <w:pStyle w:val="44"/>
              <w:rPr>
                <w:color w:val="auto"/>
              </w:rPr>
            </w:pPr>
            <w:r>
              <w:rPr>
                <w:color w:val="auto"/>
              </w:rPr>
              <w:t>4</w:t>
            </w:r>
          </w:p>
        </w:tc>
        <w:tc>
          <w:tcPr>
            <w:tcW w:w="1671" w:type="pct"/>
            <w:tcBorders>
              <w:tl2br w:val="nil"/>
              <w:tr2bl w:val="nil"/>
            </w:tcBorders>
            <w:vAlign w:val="center"/>
          </w:tcPr>
          <w:p w14:paraId="36E7914F">
            <w:pPr>
              <w:pStyle w:val="44"/>
              <w:rPr>
                <w:color w:val="auto"/>
              </w:rPr>
            </w:pPr>
            <w:r>
              <w:rPr>
                <w:color w:val="auto"/>
              </w:rPr>
              <w:t>跳磴河大渡口景观娱乐用水区</w:t>
            </w:r>
          </w:p>
        </w:tc>
        <w:tc>
          <w:tcPr>
            <w:tcW w:w="545" w:type="pct"/>
            <w:tcBorders>
              <w:tl2br w:val="nil"/>
              <w:tr2bl w:val="nil"/>
            </w:tcBorders>
            <w:vAlign w:val="center"/>
          </w:tcPr>
          <w:p w14:paraId="6A947E13">
            <w:pPr>
              <w:pStyle w:val="44"/>
              <w:rPr>
                <w:color w:val="auto"/>
              </w:rPr>
            </w:pPr>
            <w:r>
              <w:rPr>
                <w:color w:val="auto"/>
              </w:rPr>
              <w:t>跳磴河</w:t>
            </w:r>
          </w:p>
        </w:tc>
        <w:tc>
          <w:tcPr>
            <w:tcW w:w="719" w:type="pct"/>
            <w:tcBorders>
              <w:tl2br w:val="nil"/>
              <w:tr2bl w:val="nil"/>
            </w:tcBorders>
            <w:vAlign w:val="center"/>
          </w:tcPr>
          <w:p w14:paraId="0CB245DB">
            <w:pPr>
              <w:pStyle w:val="44"/>
              <w:rPr>
                <w:color w:val="auto"/>
              </w:rPr>
            </w:pPr>
            <w:r>
              <w:rPr>
                <w:color w:val="auto"/>
              </w:rPr>
              <w:t>跳磴村</w:t>
            </w:r>
          </w:p>
        </w:tc>
        <w:tc>
          <w:tcPr>
            <w:tcW w:w="712" w:type="pct"/>
            <w:tcBorders>
              <w:tl2br w:val="nil"/>
              <w:tr2bl w:val="nil"/>
            </w:tcBorders>
            <w:vAlign w:val="center"/>
          </w:tcPr>
          <w:p w14:paraId="39821064">
            <w:pPr>
              <w:pStyle w:val="44"/>
              <w:rPr>
                <w:color w:val="auto"/>
              </w:rPr>
            </w:pPr>
            <w:r>
              <w:rPr>
                <w:color w:val="auto"/>
              </w:rPr>
              <w:t>河口</w:t>
            </w:r>
          </w:p>
        </w:tc>
        <w:tc>
          <w:tcPr>
            <w:tcW w:w="480" w:type="pct"/>
            <w:tcBorders>
              <w:tl2br w:val="nil"/>
              <w:tr2bl w:val="nil"/>
            </w:tcBorders>
            <w:vAlign w:val="center"/>
          </w:tcPr>
          <w:p w14:paraId="50709C6E">
            <w:pPr>
              <w:pStyle w:val="44"/>
              <w:rPr>
                <w:color w:val="auto"/>
              </w:rPr>
            </w:pPr>
            <w:r>
              <w:rPr>
                <w:color w:val="auto"/>
              </w:rPr>
              <w:t>10.2</w:t>
            </w:r>
          </w:p>
        </w:tc>
        <w:tc>
          <w:tcPr>
            <w:tcW w:w="520" w:type="pct"/>
            <w:tcBorders>
              <w:tl2br w:val="nil"/>
              <w:tr2bl w:val="nil"/>
            </w:tcBorders>
            <w:vAlign w:val="center"/>
          </w:tcPr>
          <w:p w14:paraId="69C86449">
            <w:pPr>
              <w:pStyle w:val="44"/>
              <w:rPr>
                <w:color w:val="auto"/>
              </w:rPr>
            </w:pPr>
            <w:r>
              <w:rPr>
                <w:color w:val="auto"/>
              </w:rPr>
              <w:t>IV类</w:t>
            </w:r>
          </w:p>
        </w:tc>
      </w:tr>
    </w:tbl>
    <w:p w14:paraId="69C144AE">
      <w:pPr>
        <w:ind w:firstLine="482"/>
        <w:rPr>
          <w:b/>
          <w:bCs/>
          <w:color w:val="auto"/>
        </w:rPr>
      </w:pPr>
      <w:r>
        <w:rPr>
          <w:rFonts w:hint="eastAsia"/>
          <w:b/>
          <w:bCs/>
          <w:color w:val="auto"/>
        </w:rPr>
        <w:t>（3）江津段水功能区划</w:t>
      </w:r>
    </w:p>
    <w:p w14:paraId="760E7B44">
      <w:pPr>
        <w:ind w:firstLine="480"/>
        <w:rPr>
          <w:color w:val="auto"/>
          <w:lang w:val="en-GB"/>
        </w:rPr>
      </w:pPr>
      <w:r>
        <w:rPr>
          <w:rFonts w:hint="eastAsia"/>
          <w:color w:val="auto"/>
        </w:rPr>
        <w:t>由于本次仅德感临时取水工程涉及到江津区，该工程</w:t>
      </w:r>
      <w:r>
        <w:rPr>
          <w:rFonts w:hint="eastAsia"/>
          <w:color w:val="auto"/>
          <w:lang w:val="en-GB"/>
        </w:rPr>
        <w:t>取水口所在河段为一级水功能区“长江上游珍稀特有鱼类国家级自然保护区”，水质管理</w:t>
      </w:r>
      <w:r>
        <w:rPr>
          <w:rFonts w:hint="eastAsia"/>
          <w:color w:val="auto"/>
        </w:rPr>
        <w:t>目标为II类水质</w:t>
      </w:r>
      <w:r>
        <w:rPr>
          <w:rFonts w:hint="eastAsia"/>
          <w:color w:val="auto"/>
          <w:lang w:val="en-GB"/>
        </w:rPr>
        <w:t>。</w:t>
      </w:r>
    </w:p>
    <w:p w14:paraId="49AAF990">
      <w:pPr>
        <w:pStyle w:val="6"/>
        <w:numPr>
          <w:ilvl w:val="3"/>
          <w:numId w:val="0"/>
        </w:numPr>
        <w:rPr>
          <w:color w:val="auto"/>
        </w:rPr>
      </w:pPr>
      <w:r>
        <w:rPr>
          <w:rFonts w:hint="eastAsia"/>
          <w:color w:val="auto"/>
        </w:rPr>
        <w:t>3.1.2.2水功能区水质现状</w:t>
      </w:r>
    </w:p>
    <w:p w14:paraId="7AD0D29E">
      <w:pPr>
        <w:ind w:firstLine="480"/>
        <w:rPr>
          <w:color w:val="auto"/>
        </w:rPr>
      </w:pPr>
      <w:r>
        <w:rPr>
          <w:color w:val="auto"/>
        </w:rPr>
        <w:t>规划区取水水源为和尚山水厂、丰收坝水厂、西彭水厂，</w:t>
      </w:r>
      <w:r>
        <w:rPr>
          <w:rFonts w:hint="eastAsia"/>
          <w:color w:val="auto"/>
        </w:rPr>
        <w:t>其中</w:t>
      </w:r>
      <w:r>
        <w:rPr>
          <w:color w:val="auto"/>
        </w:rPr>
        <w:t>和尚山水厂所在水功能区为</w:t>
      </w:r>
      <w:r>
        <w:rPr>
          <w:rFonts w:hint="eastAsia"/>
          <w:color w:val="auto"/>
        </w:rPr>
        <w:t>长江三峡水库九龙饮用、工业用水区，</w:t>
      </w:r>
      <w:r>
        <w:rPr>
          <w:color w:val="auto"/>
        </w:rPr>
        <w:t>丰收坝水厂、西彭水厂所在水功能区为</w:t>
      </w:r>
      <w:r>
        <w:rPr>
          <w:rFonts w:hint="eastAsia"/>
          <w:color w:val="auto"/>
          <w:lang w:val="en-GB"/>
        </w:rPr>
        <w:t>长江上游珍稀特有鱼类国家级自然保护区。</w:t>
      </w:r>
    </w:p>
    <w:p w14:paraId="66084889">
      <w:pPr>
        <w:ind w:firstLine="460" w:firstLineChars="192"/>
        <w:rPr>
          <w:color w:val="auto"/>
        </w:rPr>
      </w:pPr>
      <w:r>
        <w:rPr>
          <w:rFonts w:hint="eastAsia"/>
          <w:color w:val="auto"/>
        </w:rPr>
        <w:t>根据2020年9月由长江水利委员会行政许可通过的</w:t>
      </w:r>
      <w:r>
        <w:rPr>
          <w:color w:val="auto"/>
        </w:rPr>
        <w:t xml:space="preserve">《重庆市自来水有限公司和尚山水厂工程水资源论证报告书》（重庆市水利电力建筑勘测设计研究院，2020年9月） </w:t>
      </w:r>
    </w:p>
    <w:p w14:paraId="4F4357BA">
      <w:pPr>
        <w:ind w:firstLine="0" w:firstLineChars="0"/>
        <w:rPr>
          <w:color w:val="auto"/>
        </w:rPr>
      </w:pPr>
      <w:r>
        <w:rPr>
          <w:rFonts w:hint="eastAsia"/>
          <w:color w:val="auto"/>
        </w:rPr>
        <w:t>及</w:t>
      </w:r>
      <w:r>
        <w:rPr>
          <w:color w:val="auto"/>
        </w:rPr>
        <w:t xml:space="preserve">《重庆市自来水有限公司丰收坝水厂一期二期工程水资源论证报告书》（重庆市水利电力建筑勘测设计研究院，2020年9月） </w:t>
      </w:r>
      <w:r>
        <w:rPr>
          <w:rFonts w:hint="eastAsia"/>
          <w:color w:val="auto"/>
        </w:rPr>
        <w:t>：</w:t>
      </w:r>
    </w:p>
    <w:p w14:paraId="22D36743">
      <w:pPr>
        <w:adjustRightInd w:val="0"/>
        <w:ind w:firstLine="480"/>
        <w:rPr>
          <w:color w:val="auto"/>
        </w:rPr>
      </w:pPr>
      <w:r>
        <w:rPr>
          <w:color w:val="auto"/>
          <w:kern w:val="0"/>
        </w:rPr>
        <w:t>和尚山水厂</w:t>
      </w:r>
      <w:r>
        <w:rPr>
          <w:rFonts w:hint="eastAsia"/>
          <w:color w:val="auto"/>
          <w:kern w:val="0"/>
        </w:rPr>
        <w:t>和</w:t>
      </w:r>
      <w:r>
        <w:rPr>
          <w:color w:val="auto"/>
          <w:kern w:val="0"/>
        </w:rPr>
        <w:t>丰收坝水厂水源水质监测结果中除</w:t>
      </w:r>
      <w:r>
        <w:rPr>
          <w:snapToGrid w:val="0"/>
          <w:color w:val="auto"/>
          <w:kern w:val="0"/>
        </w:rPr>
        <w:t>总氮和部分月份粪大肠菌群不符合《地表水环境质量标准》（GB3838-2002）Ⅱ类要求，其他指标均符合《地表水环境质量标准》（GB3838-2002）Ⅱ类要求，</w:t>
      </w:r>
      <w:r>
        <w:rPr>
          <w:color w:val="auto"/>
        </w:rPr>
        <w:t>可作为生活饮用水水源。原水经常规处理后，能达到最新最严的国家《生活饮用水卫生标准》（GB5749-2006）。长江原水水质指标中的粪大肠杆菌可通过常规水处理的方式消灭粪大肠杆菌，达到《生活饮用水卫生标准》（GB5749-2006）。</w:t>
      </w:r>
    </w:p>
    <w:p w14:paraId="161791CD">
      <w:pPr>
        <w:ind w:firstLine="460" w:firstLineChars="192"/>
        <w:rPr>
          <w:snapToGrid w:val="0"/>
          <w:color w:val="auto"/>
        </w:rPr>
      </w:pPr>
      <w:r>
        <w:rPr>
          <w:rFonts w:hint="eastAsia"/>
          <w:color w:val="auto"/>
        </w:rPr>
        <w:t>西彭水厂的水源地为德感临时取水工程，根据《重庆市西部水资源开发有限公司德感临时取水工程水资源论证报告书</w:t>
      </w:r>
      <w:r>
        <w:rPr>
          <w:color w:val="auto"/>
        </w:rPr>
        <w:t>》（2020年</w:t>
      </w:r>
      <w:r>
        <w:rPr>
          <w:rFonts w:hint="eastAsia"/>
          <w:color w:val="auto"/>
        </w:rPr>
        <w:t>7</w:t>
      </w:r>
      <w:r>
        <w:rPr>
          <w:color w:val="auto"/>
        </w:rPr>
        <w:t>月）</w:t>
      </w:r>
      <w:r>
        <w:rPr>
          <w:rFonts w:hint="eastAsia"/>
          <w:color w:val="auto"/>
        </w:rPr>
        <w:t>，该工程取水口</w:t>
      </w:r>
      <w:r>
        <w:rPr>
          <w:snapToGrid w:val="0"/>
          <w:color w:val="auto"/>
        </w:rPr>
        <w:t>水质达到Ⅱ类水质标准，</w:t>
      </w:r>
      <w:r>
        <w:rPr>
          <w:color w:val="auto"/>
        </w:rPr>
        <w:t>可作为生活饮用水水源。原水经常规处理后，能达到最新最严的国家《生活饮用水卫生标准》（GB5749-2006）。</w:t>
      </w:r>
    </w:p>
    <w:p w14:paraId="2232313B">
      <w:pPr>
        <w:pStyle w:val="4"/>
        <w:numPr>
          <w:ilvl w:val="1"/>
          <w:numId w:val="0"/>
        </w:numPr>
        <w:spacing w:before="166" w:after="166"/>
        <w:rPr>
          <w:color w:val="auto"/>
        </w:rPr>
      </w:pPr>
      <w:bookmarkStart w:id="27" w:name="_Toc27148"/>
      <w:r>
        <w:rPr>
          <w:color w:val="auto"/>
        </w:rPr>
        <w:t>3.2水资源开发利用现状及保护现状</w:t>
      </w:r>
      <w:bookmarkEnd w:id="26"/>
      <w:bookmarkEnd w:id="27"/>
    </w:p>
    <w:p w14:paraId="1445E9E2">
      <w:pPr>
        <w:ind w:firstLine="480"/>
        <w:rPr>
          <w:color w:val="auto"/>
        </w:rPr>
      </w:pPr>
      <w:r>
        <w:rPr>
          <w:rFonts w:hint="eastAsia"/>
          <w:color w:val="auto"/>
        </w:rPr>
        <w:t>根据《重庆市九龙坡区主要江河流域水量分配方案》，九龙坡区水资源分区及各分区涉及的行政区见表3.2-1。</w:t>
      </w:r>
    </w:p>
    <w:p w14:paraId="0C68D520">
      <w:pPr>
        <w:pStyle w:val="43"/>
        <w:rPr>
          <w:color w:val="auto"/>
        </w:rPr>
      </w:pPr>
      <w:r>
        <w:rPr>
          <w:rFonts w:hint="eastAsia"/>
          <w:color w:val="auto"/>
        </w:rPr>
        <w:t>表3.2-1                   九龙坡区水资源分区情况表</w:t>
      </w: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46"/>
        <w:gridCol w:w="1346"/>
        <w:gridCol w:w="1348"/>
        <w:gridCol w:w="1628"/>
        <w:gridCol w:w="1395"/>
        <w:gridCol w:w="1861"/>
      </w:tblGrid>
      <w:tr w14:paraId="4618C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tcBorders>
              <w:tl2br w:val="nil"/>
              <w:tr2bl w:val="nil"/>
            </w:tcBorders>
            <w:tcMar>
              <w:top w:w="15" w:type="dxa"/>
              <w:left w:w="15" w:type="dxa"/>
              <w:right w:w="15" w:type="dxa"/>
            </w:tcMar>
            <w:vAlign w:val="center"/>
          </w:tcPr>
          <w:p w14:paraId="48403145">
            <w:pPr>
              <w:pStyle w:val="44"/>
              <w:rPr>
                <w:color w:val="auto"/>
              </w:rPr>
            </w:pPr>
            <w:r>
              <w:rPr>
                <w:color w:val="auto"/>
              </w:rPr>
              <w:t>水资源二级区</w:t>
            </w:r>
          </w:p>
        </w:tc>
        <w:tc>
          <w:tcPr>
            <w:tcW w:w="1346" w:type="dxa"/>
            <w:tcBorders>
              <w:tl2br w:val="nil"/>
              <w:tr2bl w:val="nil"/>
            </w:tcBorders>
            <w:tcMar>
              <w:top w:w="15" w:type="dxa"/>
              <w:left w:w="15" w:type="dxa"/>
              <w:right w:w="15" w:type="dxa"/>
            </w:tcMar>
            <w:vAlign w:val="center"/>
          </w:tcPr>
          <w:p w14:paraId="1082B8E6">
            <w:pPr>
              <w:pStyle w:val="44"/>
              <w:rPr>
                <w:color w:val="auto"/>
              </w:rPr>
            </w:pPr>
            <w:r>
              <w:rPr>
                <w:color w:val="auto"/>
              </w:rPr>
              <w:t>水资源三级区</w:t>
            </w:r>
          </w:p>
        </w:tc>
        <w:tc>
          <w:tcPr>
            <w:tcW w:w="1348" w:type="dxa"/>
            <w:tcBorders>
              <w:tl2br w:val="nil"/>
              <w:tr2bl w:val="nil"/>
            </w:tcBorders>
            <w:tcMar>
              <w:top w:w="15" w:type="dxa"/>
              <w:left w:w="15" w:type="dxa"/>
              <w:right w:w="15" w:type="dxa"/>
            </w:tcMar>
            <w:vAlign w:val="center"/>
          </w:tcPr>
          <w:p w14:paraId="51AD54AE">
            <w:pPr>
              <w:pStyle w:val="44"/>
              <w:rPr>
                <w:color w:val="auto"/>
              </w:rPr>
            </w:pPr>
            <w:r>
              <w:rPr>
                <w:color w:val="auto"/>
              </w:rPr>
              <w:t>水资源四级区</w:t>
            </w:r>
          </w:p>
        </w:tc>
        <w:tc>
          <w:tcPr>
            <w:tcW w:w="1628" w:type="dxa"/>
            <w:tcBorders>
              <w:tl2br w:val="nil"/>
              <w:tr2bl w:val="nil"/>
            </w:tcBorders>
            <w:tcMar>
              <w:top w:w="15" w:type="dxa"/>
              <w:left w:w="15" w:type="dxa"/>
              <w:right w:w="15" w:type="dxa"/>
            </w:tcMar>
            <w:vAlign w:val="center"/>
          </w:tcPr>
          <w:p w14:paraId="2584A6A9">
            <w:pPr>
              <w:pStyle w:val="44"/>
              <w:rPr>
                <w:color w:val="auto"/>
              </w:rPr>
            </w:pPr>
            <w:r>
              <w:rPr>
                <w:color w:val="auto"/>
              </w:rPr>
              <w:t>水资源五级区</w:t>
            </w:r>
          </w:p>
        </w:tc>
        <w:tc>
          <w:tcPr>
            <w:tcW w:w="1395" w:type="dxa"/>
            <w:tcBorders>
              <w:tl2br w:val="nil"/>
              <w:tr2bl w:val="nil"/>
            </w:tcBorders>
            <w:tcMar>
              <w:top w:w="15" w:type="dxa"/>
              <w:left w:w="15" w:type="dxa"/>
              <w:right w:w="15" w:type="dxa"/>
            </w:tcMar>
            <w:vAlign w:val="center"/>
          </w:tcPr>
          <w:p w14:paraId="4DE05131">
            <w:pPr>
              <w:pStyle w:val="44"/>
              <w:rPr>
                <w:color w:val="auto"/>
              </w:rPr>
            </w:pPr>
            <w:r>
              <w:rPr>
                <w:color w:val="auto"/>
              </w:rPr>
              <w:t>行政区</w:t>
            </w:r>
          </w:p>
        </w:tc>
        <w:tc>
          <w:tcPr>
            <w:tcW w:w="1861" w:type="dxa"/>
            <w:tcBorders>
              <w:tl2br w:val="nil"/>
              <w:tr2bl w:val="nil"/>
            </w:tcBorders>
            <w:tcMar>
              <w:top w:w="15" w:type="dxa"/>
              <w:left w:w="15" w:type="dxa"/>
              <w:right w:w="15" w:type="dxa"/>
            </w:tcMar>
            <w:vAlign w:val="center"/>
          </w:tcPr>
          <w:p w14:paraId="6219E14A">
            <w:pPr>
              <w:pStyle w:val="44"/>
              <w:rPr>
                <w:color w:val="auto"/>
              </w:rPr>
            </w:pPr>
            <w:r>
              <w:rPr>
                <w:color w:val="auto"/>
              </w:rPr>
              <w:t>行政区面积（km²）</w:t>
            </w:r>
          </w:p>
        </w:tc>
      </w:tr>
      <w:tr w14:paraId="0F1BE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restart"/>
            <w:tcBorders>
              <w:tl2br w:val="nil"/>
              <w:tr2bl w:val="nil"/>
            </w:tcBorders>
            <w:tcMar>
              <w:top w:w="15" w:type="dxa"/>
              <w:left w:w="15" w:type="dxa"/>
              <w:right w:w="15" w:type="dxa"/>
            </w:tcMar>
            <w:vAlign w:val="center"/>
          </w:tcPr>
          <w:p w14:paraId="5B985758">
            <w:pPr>
              <w:pStyle w:val="44"/>
              <w:rPr>
                <w:color w:val="auto"/>
              </w:rPr>
            </w:pPr>
            <w:r>
              <w:rPr>
                <w:color w:val="auto"/>
              </w:rPr>
              <w:t>嘉陵江</w:t>
            </w:r>
          </w:p>
        </w:tc>
        <w:tc>
          <w:tcPr>
            <w:tcW w:w="1346" w:type="dxa"/>
            <w:vMerge w:val="restart"/>
            <w:tcBorders>
              <w:tl2br w:val="nil"/>
              <w:tr2bl w:val="nil"/>
            </w:tcBorders>
            <w:tcMar>
              <w:top w:w="15" w:type="dxa"/>
              <w:left w:w="15" w:type="dxa"/>
              <w:right w:w="15" w:type="dxa"/>
            </w:tcMar>
            <w:vAlign w:val="center"/>
          </w:tcPr>
          <w:p w14:paraId="2BBA9802">
            <w:pPr>
              <w:pStyle w:val="44"/>
              <w:rPr>
                <w:color w:val="auto"/>
              </w:rPr>
            </w:pPr>
            <w:r>
              <w:rPr>
                <w:color w:val="auto"/>
              </w:rPr>
              <w:t>广元昭化以下干流</w:t>
            </w:r>
          </w:p>
        </w:tc>
        <w:tc>
          <w:tcPr>
            <w:tcW w:w="1348" w:type="dxa"/>
            <w:vMerge w:val="restart"/>
            <w:tcBorders>
              <w:tl2br w:val="nil"/>
              <w:tr2bl w:val="nil"/>
            </w:tcBorders>
            <w:tcMar>
              <w:top w:w="15" w:type="dxa"/>
              <w:left w:w="15" w:type="dxa"/>
              <w:right w:w="15" w:type="dxa"/>
            </w:tcMar>
            <w:vAlign w:val="center"/>
          </w:tcPr>
          <w:p w14:paraId="71AA4381">
            <w:pPr>
              <w:pStyle w:val="44"/>
              <w:rPr>
                <w:color w:val="auto"/>
              </w:rPr>
            </w:pPr>
            <w:r>
              <w:rPr>
                <w:color w:val="auto"/>
              </w:rPr>
              <w:t>嘉陵江下游</w:t>
            </w:r>
          </w:p>
          <w:p w14:paraId="5592FBCB">
            <w:pPr>
              <w:pStyle w:val="44"/>
              <w:rPr>
                <w:color w:val="auto"/>
              </w:rPr>
            </w:pPr>
            <w:r>
              <w:rPr>
                <w:color w:val="auto"/>
              </w:rPr>
              <w:t>右岸区</w:t>
            </w:r>
          </w:p>
        </w:tc>
        <w:tc>
          <w:tcPr>
            <w:tcW w:w="1628" w:type="dxa"/>
            <w:vMerge w:val="restart"/>
            <w:tcBorders>
              <w:tl2br w:val="nil"/>
              <w:tr2bl w:val="nil"/>
            </w:tcBorders>
            <w:tcMar>
              <w:top w:w="15" w:type="dxa"/>
              <w:left w:w="15" w:type="dxa"/>
              <w:right w:w="15" w:type="dxa"/>
            </w:tcMar>
            <w:vAlign w:val="center"/>
          </w:tcPr>
          <w:p w14:paraId="11DEBA0A">
            <w:pPr>
              <w:pStyle w:val="44"/>
              <w:rPr>
                <w:color w:val="auto"/>
              </w:rPr>
            </w:pPr>
            <w:r>
              <w:rPr>
                <w:color w:val="auto"/>
              </w:rPr>
              <w:t>梁滩河流域片区</w:t>
            </w:r>
          </w:p>
        </w:tc>
        <w:tc>
          <w:tcPr>
            <w:tcW w:w="1395" w:type="dxa"/>
            <w:tcBorders>
              <w:tl2br w:val="nil"/>
              <w:tr2bl w:val="nil"/>
            </w:tcBorders>
            <w:tcMar>
              <w:top w:w="15" w:type="dxa"/>
              <w:left w:w="15" w:type="dxa"/>
              <w:right w:w="15" w:type="dxa"/>
            </w:tcMar>
            <w:vAlign w:val="center"/>
          </w:tcPr>
          <w:p w14:paraId="635ED50E">
            <w:pPr>
              <w:pStyle w:val="44"/>
              <w:rPr>
                <w:color w:val="auto"/>
              </w:rPr>
            </w:pPr>
            <w:r>
              <w:rPr>
                <w:color w:val="auto"/>
              </w:rPr>
              <w:t>巴福镇</w:t>
            </w:r>
          </w:p>
        </w:tc>
        <w:tc>
          <w:tcPr>
            <w:tcW w:w="1861" w:type="dxa"/>
            <w:tcBorders>
              <w:tl2br w:val="nil"/>
              <w:tr2bl w:val="nil"/>
            </w:tcBorders>
            <w:tcMar>
              <w:top w:w="15" w:type="dxa"/>
              <w:left w:w="15" w:type="dxa"/>
              <w:right w:w="15" w:type="dxa"/>
            </w:tcMar>
            <w:vAlign w:val="center"/>
          </w:tcPr>
          <w:p w14:paraId="0FF7180F">
            <w:pPr>
              <w:pStyle w:val="44"/>
              <w:rPr>
                <w:color w:val="auto"/>
              </w:rPr>
            </w:pPr>
            <w:r>
              <w:rPr>
                <w:color w:val="auto"/>
              </w:rPr>
              <w:t>17.89</w:t>
            </w:r>
          </w:p>
        </w:tc>
      </w:tr>
      <w:tr w14:paraId="2F28E7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00B531EA">
            <w:pPr>
              <w:pStyle w:val="44"/>
              <w:rPr>
                <w:color w:val="auto"/>
              </w:rPr>
            </w:pPr>
          </w:p>
        </w:tc>
        <w:tc>
          <w:tcPr>
            <w:tcW w:w="1346" w:type="dxa"/>
            <w:vMerge w:val="continue"/>
            <w:tcBorders>
              <w:tl2br w:val="nil"/>
              <w:tr2bl w:val="nil"/>
            </w:tcBorders>
            <w:tcMar>
              <w:top w:w="15" w:type="dxa"/>
              <w:left w:w="15" w:type="dxa"/>
              <w:right w:w="15" w:type="dxa"/>
            </w:tcMar>
            <w:vAlign w:val="center"/>
          </w:tcPr>
          <w:p w14:paraId="6585CFA0">
            <w:pPr>
              <w:pStyle w:val="44"/>
              <w:rPr>
                <w:color w:val="auto"/>
              </w:rPr>
            </w:pPr>
          </w:p>
        </w:tc>
        <w:tc>
          <w:tcPr>
            <w:tcW w:w="1348" w:type="dxa"/>
            <w:vMerge w:val="continue"/>
            <w:tcBorders>
              <w:tl2br w:val="nil"/>
              <w:tr2bl w:val="nil"/>
            </w:tcBorders>
            <w:tcMar>
              <w:top w:w="15" w:type="dxa"/>
              <w:left w:w="15" w:type="dxa"/>
              <w:right w:w="15" w:type="dxa"/>
            </w:tcMar>
            <w:vAlign w:val="center"/>
          </w:tcPr>
          <w:p w14:paraId="0C5C55E4">
            <w:pPr>
              <w:pStyle w:val="44"/>
              <w:rPr>
                <w:color w:val="auto"/>
              </w:rPr>
            </w:pPr>
          </w:p>
        </w:tc>
        <w:tc>
          <w:tcPr>
            <w:tcW w:w="1628" w:type="dxa"/>
            <w:vMerge w:val="continue"/>
            <w:tcBorders>
              <w:tl2br w:val="nil"/>
              <w:tr2bl w:val="nil"/>
            </w:tcBorders>
            <w:tcMar>
              <w:top w:w="15" w:type="dxa"/>
              <w:left w:w="15" w:type="dxa"/>
              <w:right w:w="15" w:type="dxa"/>
            </w:tcMar>
            <w:vAlign w:val="center"/>
          </w:tcPr>
          <w:p w14:paraId="030CAB6A">
            <w:pPr>
              <w:pStyle w:val="44"/>
              <w:rPr>
                <w:color w:val="auto"/>
              </w:rPr>
            </w:pPr>
          </w:p>
        </w:tc>
        <w:tc>
          <w:tcPr>
            <w:tcW w:w="1395" w:type="dxa"/>
            <w:tcBorders>
              <w:tl2br w:val="nil"/>
              <w:tr2bl w:val="nil"/>
            </w:tcBorders>
            <w:tcMar>
              <w:top w:w="15" w:type="dxa"/>
              <w:left w:w="15" w:type="dxa"/>
              <w:right w:w="15" w:type="dxa"/>
            </w:tcMar>
            <w:vAlign w:val="center"/>
          </w:tcPr>
          <w:p w14:paraId="4629F31A">
            <w:pPr>
              <w:pStyle w:val="44"/>
              <w:rPr>
                <w:color w:val="auto"/>
              </w:rPr>
            </w:pPr>
            <w:r>
              <w:rPr>
                <w:color w:val="auto"/>
              </w:rPr>
              <w:t>石板镇</w:t>
            </w:r>
          </w:p>
        </w:tc>
        <w:tc>
          <w:tcPr>
            <w:tcW w:w="1861" w:type="dxa"/>
            <w:tcBorders>
              <w:tl2br w:val="nil"/>
              <w:tr2bl w:val="nil"/>
            </w:tcBorders>
            <w:tcMar>
              <w:top w:w="15" w:type="dxa"/>
              <w:left w:w="15" w:type="dxa"/>
              <w:right w:w="15" w:type="dxa"/>
            </w:tcMar>
            <w:vAlign w:val="center"/>
          </w:tcPr>
          <w:p w14:paraId="316B6D66">
            <w:pPr>
              <w:pStyle w:val="44"/>
              <w:rPr>
                <w:color w:val="auto"/>
              </w:rPr>
            </w:pPr>
            <w:r>
              <w:rPr>
                <w:color w:val="auto"/>
              </w:rPr>
              <w:t>23.11</w:t>
            </w:r>
          </w:p>
        </w:tc>
      </w:tr>
      <w:tr w14:paraId="1B07F5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0A690A6B">
            <w:pPr>
              <w:pStyle w:val="44"/>
              <w:rPr>
                <w:color w:val="auto"/>
              </w:rPr>
            </w:pPr>
          </w:p>
        </w:tc>
        <w:tc>
          <w:tcPr>
            <w:tcW w:w="1346" w:type="dxa"/>
            <w:vMerge w:val="continue"/>
            <w:tcBorders>
              <w:tl2br w:val="nil"/>
              <w:tr2bl w:val="nil"/>
            </w:tcBorders>
            <w:tcMar>
              <w:top w:w="15" w:type="dxa"/>
              <w:left w:w="15" w:type="dxa"/>
              <w:right w:w="15" w:type="dxa"/>
            </w:tcMar>
            <w:vAlign w:val="center"/>
          </w:tcPr>
          <w:p w14:paraId="240883A9">
            <w:pPr>
              <w:pStyle w:val="44"/>
              <w:rPr>
                <w:color w:val="auto"/>
              </w:rPr>
            </w:pPr>
          </w:p>
        </w:tc>
        <w:tc>
          <w:tcPr>
            <w:tcW w:w="1348" w:type="dxa"/>
            <w:vMerge w:val="continue"/>
            <w:tcBorders>
              <w:tl2br w:val="nil"/>
              <w:tr2bl w:val="nil"/>
            </w:tcBorders>
            <w:tcMar>
              <w:top w:w="15" w:type="dxa"/>
              <w:left w:w="15" w:type="dxa"/>
              <w:right w:w="15" w:type="dxa"/>
            </w:tcMar>
            <w:vAlign w:val="center"/>
          </w:tcPr>
          <w:p w14:paraId="28781F08">
            <w:pPr>
              <w:pStyle w:val="44"/>
              <w:rPr>
                <w:color w:val="auto"/>
              </w:rPr>
            </w:pPr>
          </w:p>
        </w:tc>
        <w:tc>
          <w:tcPr>
            <w:tcW w:w="1628" w:type="dxa"/>
            <w:vMerge w:val="continue"/>
            <w:tcBorders>
              <w:tl2br w:val="nil"/>
              <w:tr2bl w:val="nil"/>
            </w:tcBorders>
            <w:tcMar>
              <w:top w:w="15" w:type="dxa"/>
              <w:left w:w="15" w:type="dxa"/>
              <w:right w:w="15" w:type="dxa"/>
            </w:tcMar>
            <w:vAlign w:val="center"/>
          </w:tcPr>
          <w:p w14:paraId="7DB42B87">
            <w:pPr>
              <w:pStyle w:val="44"/>
              <w:rPr>
                <w:color w:val="auto"/>
              </w:rPr>
            </w:pPr>
          </w:p>
        </w:tc>
        <w:tc>
          <w:tcPr>
            <w:tcW w:w="1395" w:type="dxa"/>
            <w:tcBorders>
              <w:tl2br w:val="nil"/>
              <w:tr2bl w:val="nil"/>
            </w:tcBorders>
            <w:tcMar>
              <w:top w:w="15" w:type="dxa"/>
              <w:left w:w="15" w:type="dxa"/>
              <w:right w:w="15" w:type="dxa"/>
            </w:tcMar>
            <w:vAlign w:val="center"/>
          </w:tcPr>
          <w:p w14:paraId="4CB7BC34">
            <w:pPr>
              <w:pStyle w:val="44"/>
              <w:rPr>
                <w:color w:val="auto"/>
              </w:rPr>
            </w:pPr>
            <w:r>
              <w:rPr>
                <w:color w:val="auto"/>
              </w:rPr>
              <w:t>走马镇</w:t>
            </w:r>
          </w:p>
        </w:tc>
        <w:tc>
          <w:tcPr>
            <w:tcW w:w="1861" w:type="dxa"/>
            <w:tcBorders>
              <w:tl2br w:val="nil"/>
              <w:tr2bl w:val="nil"/>
            </w:tcBorders>
            <w:tcMar>
              <w:top w:w="15" w:type="dxa"/>
              <w:left w:w="15" w:type="dxa"/>
              <w:right w:w="15" w:type="dxa"/>
            </w:tcMar>
            <w:vAlign w:val="center"/>
          </w:tcPr>
          <w:p w14:paraId="6A450BB4">
            <w:pPr>
              <w:pStyle w:val="44"/>
              <w:rPr>
                <w:color w:val="auto"/>
              </w:rPr>
            </w:pPr>
            <w:r>
              <w:rPr>
                <w:color w:val="auto"/>
              </w:rPr>
              <w:t>36.59</w:t>
            </w:r>
          </w:p>
        </w:tc>
      </w:tr>
      <w:tr w14:paraId="562DCA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68527FF8">
            <w:pPr>
              <w:pStyle w:val="44"/>
              <w:rPr>
                <w:color w:val="auto"/>
              </w:rPr>
            </w:pPr>
          </w:p>
        </w:tc>
        <w:tc>
          <w:tcPr>
            <w:tcW w:w="1346" w:type="dxa"/>
            <w:vMerge w:val="continue"/>
            <w:tcBorders>
              <w:tl2br w:val="nil"/>
              <w:tr2bl w:val="nil"/>
            </w:tcBorders>
            <w:tcMar>
              <w:top w:w="15" w:type="dxa"/>
              <w:left w:w="15" w:type="dxa"/>
              <w:right w:w="15" w:type="dxa"/>
            </w:tcMar>
            <w:vAlign w:val="center"/>
          </w:tcPr>
          <w:p w14:paraId="388883F7">
            <w:pPr>
              <w:pStyle w:val="44"/>
              <w:rPr>
                <w:color w:val="auto"/>
              </w:rPr>
            </w:pPr>
          </w:p>
        </w:tc>
        <w:tc>
          <w:tcPr>
            <w:tcW w:w="1348" w:type="dxa"/>
            <w:vMerge w:val="continue"/>
            <w:tcBorders>
              <w:tl2br w:val="nil"/>
              <w:tr2bl w:val="nil"/>
            </w:tcBorders>
            <w:tcMar>
              <w:top w:w="15" w:type="dxa"/>
              <w:left w:w="15" w:type="dxa"/>
              <w:right w:w="15" w:type="dxa"/>
            </w:tcMar>
            <w:vAlign w:val="center"/>
          </w:tcPr>
          <w:p w14:paraId="0FE33C61">
            <w:pPr>
              <w:pStyle w:val="44"/>
              <w:rPr>
                <w:color w:val="auto"/>
              </w:rPr>
            </w:pPr>
          </w:p>
        </w:tc>
        <w:tc>
          <w:tcPr>
            <w:tcW w:w="1628" w:type="dxa"/>
            <w:vMerge w:val="continue"/>
            <w:tcBorders>
              <w:tl2br w:val="nil"/>
              <w:tr2bl w:val="nil"/>
            </w:tcBorders>
            <w:tcMar>
              <w:top w:w="15" w:type="dxa"/>
              <w:left w:w="15" w:type="dxa"/>
              <w:right w:w="15" w:type="dxa"/>
            </w:tcMar>
            <w:vAlign w:val="center"/>
          </w:tcPr>
          <w:p w14:paraId="78B26193">
            <w:pPr>
              <w:pStyle w:val="44"/>
              <w:rPr>
                <w:color w:val="auto"/>
              </w:rPr>
            </w:pPr>
          </w:p>
        </w:tc>
        <w:tc>
          <w:tcPr>
            <w:tcW w:w="1395" w:type="dxa"/>
            <w:tcBorders>
              <w:tl2br w:val="nil"/>
              <w:tr2bl w:val="nil"/>
            </w:tcBorders>
            <w:tcMar>
              <w:top w:w="15" w:type="dxa"/>
              <w:left w:w="15" w:type="dxa"/>
              <w:right w:w="15" w:type="dxa"/>
            </w:tcMar>
            <w:vAlign w:val="center"/>
          </w:tcPr>
          <w:p w14:paraId="2BE63BB2">
            <w:pPr>
              <w:pStyle w:val="44"/>
              <w:rPr>
                <w:color w:val="auto"/>
              </w:rPr>
            </w:pPr>
            <w:r>
              <w:rPr>
                <w:color w:val="auto"/>
              </w:rPr>
              <w:t>白市驿镇</w:t>
            </w:r>
          </w:p>
        </w:tc>
        <w:tc>
          <w:tcPr>
            <w:tcW w:w="1861" w:type="dxa"/>
            <w:tcBorders>
              <w:tl2br w:val="nil"/>
              <w:tr2bl w:val="nil"/>
            </w:tcBorders>
            <w:tcMar>
              <w:top w:w="15" w:type="dxa"/>
              <w:left w:w="15" w:type="dxa"/>
              <w:right w:w="15" w:type="dxa"/>
            </w:tcMar>
            <w:vAlign w:val="center"/>
          </w:tcPr>
          <w:p w14:paraId="37924918">
            <w:pPr>
              <w:pStyle w:val="44"/>
              <w:rPr>
                <w:color w:val="auto"/>
              </w:rPr>
            </w:pPr>
            <w:r>
              <w:rPr>
                <w:color w:val="auto"/>
              </w:rPr>
              <w:t>51.96</w:t>
            </w:r>
          </w:p>
        </w:tc>
      </w:tr>
      <w:tr w14:paraId="554944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1483E35B">
            <w:pPr>
              <w:pStyle w:val="44"/>
              <w:rPr>
                <w:color w:val="auto"/>
              </w:rPr>
            </w:pPr>
          </w:p>
        </w:tc>
        <w:tc>
          <w:tcPr>
            <w:tcW w:w="1346" w:type="dxa"/>
            <w:vMerge w:val="continue"/>
            <w:tcBorders>
              <w:tl2br w:val="nil"/>
              <w:tr2bl w:val="nil"/>
            </w:tcBorders>
            <w:tcMar>
              <w:top w:w="15" w:type="dxa"/>
              <w:left w:w="15" w:type="dxa"/>
              <w:right w:w="15" w:type="dxa"/>
            </w:tcMar>
            <w:vAlign w:val="center"/>
          </w:tcPr>
          <w:p w14:paraId="314B8863">
            <w:pPr>
              <w:pStyle w:val="44"/>
              <w:rPr>
                <w:color w:val="auto"/>
              </w:rPr>
            </w:pPr>
          </w:p>
        </w:tc>
        <w:tc>
          <w:tcPr>
            <w:tcW w:w="1348" w:type="dxa"/>
            <w:vMerge w:val="continue"/>
            <w:tcBorders>
              <w:tl2br w:val="nil"/>
              <w:tr2bl w:val="nil"/>
            </w:tcBorders>
            <w:tcMar>
              <w:top w:w="15" w:type="dxa"/>
              <w:left w:w="15" w:type="dxa"/>
              <w:right w:w="15" w:type="dxa"/>
            </w:tcMar>
            <w:vAlign w:val="center"/>
          </w:tcPr>
          <w:p w14:paraId="65FAAFD9">
            <w:pPr>
              <w:pStyle w:val="44"/>
              <w:rPr>
                <w:color w:val="auto"/>
              </w:rPr>
            </w:pPr>
          </w:p>
        </w:tc>
        <w:tc>
          <w:tcPr>
            <w:tcW w:w="1628" w:type="dxa"/>
            <w:vMerge w:val="continue"/>
            <w:tcBorders>
              <w:tl2br w:val="nil"/>
              <w:tr2bl w:val="nil"/>
            </w:tcBorders>
            <w:tcMar>
              <w:top w:w="15" w:type="dxa"/>
              <w:left w:w="15" w:type="dxa"/>
              <w:right w:w="15" w:type="dxa"/>
            </w:tcMar>
            <w:vAlign w:val="center"/>
          </w:tcPr>
          <w:p w14:paraId="455BD90B">
            <w:pPr>
              <w:pStyle w:val="44"/>
              <w:rPr>
                <w:color w:val="auto"/>
              </w:rPr>
            </w:pPr>
          </w:p>
        </w:tc>
        <w:tc>
          <w:tcPr>
            <w:tcW w:w="1395" w:type="dxa"/>
            <w:tcBorders>
              <w:tl2br w:val="nil"/>
              <w:tr2bl w:val="nil"/>
            </w:tcBorders>
            <w:tcMar>
              <w:top w:w="15" w:type="dxa"/>
              <w:left w:w="15" w:type="dxa"/>
              <w:right w:w="15" w:type="dxa"/>
            </w:tcMar>
            <w:vAlign w:val="center"/>
          </w:tcPr>
          <w:p w14:paraId="6DEEAC2E">
            <w:pPr>
              <w:pStyle w:val="44"/>
              <w:rPr>
                <w:color w:val="auto"/>
              </w:rPr>
            </w:pPr>
            <w:r>
              <w:rPr>
                <w:color w:val="auto"/>
              </w:rPr>
              <w:t>含谷镇</w:t>
            </w:r>
          </w:p>
        </w:tc>
        <w:tc>
          <w:tcPr>
            <w:tcW w:w="1861" w:type="dxa"/>
            <w:tcBorders>
              <w:tl2br w:val="nil"/>
              <w:tr2bl w:val="nil"/>
            </w:tcBorders>
            <w:tcMar>
              <w:top w:w="15" w:type="dxa"/>
              <w:left w:w="15" w:type="dxa"/>
              <w:right w:w="15" w:type="dxa"/>
            </w:tcMar>
            <w:vAlign w:val="center"/>
          </w:tcPr>
          <w:p w14:paraId="7C932F02">
            <w:pPr>
              <w:pStyle w:val="44"/>
              <w:rPr>
                <w:color w:val="auto"/>
              </w:rPr>
            </w:pPr>
            <w:r>
              <w:rPr>
                <w:color w:val="auto"/>
              </w:rPr>
              <w:t>28.56</w:t>
            </w:r>
          </w:p>
        </w:tc>
      </w:tr>
      <w:tr w14:paraId="60EC5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30AC9176">
            <w:pPr>
              <w:pStyle w:val="44"/>
              <w:rPr>
                <w:color w:val="auto"/>
              </w:rPr>
            </w:pPr>
          </w:p>
        </w:tc>
        <w:tc>
          <w:tcPr>
            <w:tcW w:w="1346" w:type="dxa"/>
            <w:vMerge w:val="continue"/>
            <w:tcBorders>
              <w:tl2br w:val="nil"/>
              <w:tr2bl w:val="nil"/>
            </w:tcBorders>
            <w:tcMar>
              <w:top w:w="15" w:type="dxa"/>
              <w:left w:w="15" w:type="dxa"/>
              <w:right w:w="15" w:type="dxa"/>
            </w:tcMar>
            <w:vAlign w:val="center"/>
          </w:tcPr>
          <w:p w14:paraId="7218320D">
            <w:pPr>
              <w:pStyle w:val="44"/>
              <w:rPr>
                <w:color w:val="auto"/>
              </w:rPr>
            </w:pPr>
          </w:p>
        </w:tc>
        <w:tc>
          <w:tcPr>
            <w:tcW w:w="1348" w:type="dxa"/>
            <w:vMerge w:val="continue"/>
            <w:tcBorders>
              <w:tl2br w:val="nil"/>
              <w:tr2bl w:val="nil"/>
            </w:tcBorders>
            <w:tcMar>
              <w:top w:w="15" w:type="dxa"/>
              <w:left w:w="15" w:type="dxa"/>
              <w:right w:w="15" w:type="dxa"/>
            </w:tcMar>
            <w:vAlign w:val="center"/>
          </w:tcPr>
          <w:p w14:paraId="7F282967">
            <w:pPr>
              <w:pStyle w:val="44"/>
              <w:rPr>
                <w:color w:val="auto"/>
              </w:rPr>
            </w:pPr>
          </w:p>
        </w:tc>
        <w:tc>
          <w:tcPr>
            <w:tcW w:w="1628" w:type="dxa"/>
            <w:vMerge w:val="continue"/>
            <w:tcBorders>
              <w:tl2br w:val="nil"/>
              <w:tr2bl w:val="nil"/>
            </w:tcBorders>
            <w:tcMar>
              <w:top w:w="15" w:type="dxa"/>
              <w:left w:w="15" w:type="dxa"/>
              <w:right w:w="15" w:type="dxa"/>
            </w:tcMar>
            <w:vAlign w:val="center"/>
          </w:tcPr>
          <w:p w14:paraId="31819711">
            <w:pPr>
              <w:pStyle w:val="44"/>
              <w:rPr>
                <w:color w:val="auto"/>
              </w:rPr>
            </w:pPr>
          </w:p>
        </w:tc>
        <w:tc>
          <w:tcPr>
            <w:tcW w:w="1395" w:type="dxa"/>
            <w:tcBorders>
              <w:tl2br w:val="nil"/>
              <w:tr2bl w:val="nil"/>
            </w:tcBorders>
            <w:tcMar>
              <w:top w:w="15" w:type="dxa"/>
              <w:left w:w="15" w:type="dxa"/>
              <w:right w:w="15" w:type="dxa"/>
            </w:tcMar>
            <w:vAlign w:val="center"/>
          </w:tcPr>
          <w:p w14:paraId="4FE103BE">
            <w:pPr>
              <w:pStyle w:val="44"/>
              <w:rPr>
                <w:color w:val="auto"/>
              </w:rPr>
            </w:pPr>
            <w:r>
              <w:rPr>
                <w:color w:val="auto"/>
              </w:rPr>
              <w:t>金凤镇</w:t>
            </w:r>
          </w:p>
        </w:tc>
        <w:tc>
          <w:tcPr>
            <w:tcW w:w="1861" w:type="dxa"/>
            <w:tcBorders>
              <w:tl2br w:val="nil"/>
              <w:tr2bl w:val="nil"/>
            </w:tcBorders>
            <w:tcMar>
              <w:top w:w="15" w:type="dxa"/>
              <w:left w:w="15" w:type="dxa"/>
              <w:right w:w="15" w:type="dxa"/>
            </w:tcMar>
            <w:vAlign w:val="center"/>
          </w:tcPr>
          <w:p w14:paraId="14F65B79">
            <w:pPr>
              <w:pStyle w:val="44"/>
              <w:rPr>
                <w:color w:val="auto"/>
              </w:rPr>
            </w:pPr>
            <w:r>
              <w:rPr>
                <w:color w:val="auto"/>
              </w:rPr>
              <w:t>36.94</w:t>
            </w:r>
          </w:p>
        </w:tc>
      </w:tr>
      <w:tr w14:paraId="3F6EEE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600091B1">
            <w:pPr>
              <w:pStyle w:val="44"/>
              <w:rPr>
                <w:color w:val="auto"/>
              </w:rPr>
            </w:pPr>
          </w:p>
        </w:tc>
        <w:tc>
          <w:tcPr>
            <w:tcW w:w="1346" w:type="dxa"/>
            <w:vMerge w:val="continue"/>
            <w:tcBorders>
              <w:tl2br w:val="nil"/>
              <w:tr2bl w:val="nil"/>
            </w:tcBorders>
            <w:tcMar>
              <w:top w:w="15" w:type="dxa"/>
              <w:left w:w="15" w:type="dxa"/>
              <w:right w:w="15" w:type="dxa"/>
            </w:tcMar>
            <w:vAlign w:val="center"/>
          </w:tcPr>
          <w:p w14:paraId="76A74252">
            <w:pPr>
              <w:pStyle w:val="44"/>
              <w:rPr>
                <w:color w:val="auto"/>
              </w:rPr>
            </w:pPr>
          </w:p>
        </w:tc>
        <w:tc>
          <w:tcPr>
            <w:tcW w:w="1348" w:type="dxa"/>
            <w:vMerge w:val="continue"/>
            <w:tcBorders>
              <w:tl2br w:val="nil"/>
              <w:tr2bl w:val="nil"/>
            </w:tcBorders>
            <w:tcMar>
              <w:top w:w="15" w:type="dxa"/>
              <w:left w:w="15" w:type="dxa"/>
              <w:right w:w="15" w:type="dxa"/>
            </w:tcMar>
            <w:vAlign w:val="center"/>
          </w:tcPr>
          <w:p w14:paraId="2453A19B">
            <w:pPr>
              <w:pStyle w:val="44"/>
              <w:rPr>
                <w:color w:val="auto"/>
              </w:rPr>
            </w:pPr>
          </w:p>
        </w:tc>
        <w:tc>
          <w:tcPr>
            <w:tcW w:w="3023" w:type="dxa"/>
            <w:gridSpan w:val="2"/>
            <w:tcBorders>
              <w:tl2br w:val="nil"/>
              <w:tr2bl w:val="nil"/>
            </w:tcBorders>
            <w:tcMar>
              <w:top w:w="15" w:type="dxa"/>
              <w:left w:w="15" w:type="dxa"/>
              <w:right w:w="15" w:type="dxa"/>
            </w:tcMar>
            <w:vAlign w:val="center"/>
          </w:tcPr>
          <w:p w14:paraId="4EF2F808">
            <w:pPr>
              <w:pStyle w:val="44"/>
              <w:rPr>
                <w:color w:val="auto"/>
              </w:rPr>
            </w:pPr>
            <w:r>
              <w:rPr>
                <w:color w:val="auto"/>
              </w:rPr>
              <w:t>小计</w:t>
            </w:r>
          </w:p>
        </w:tc>
        <w:tc>
          <w:tcPr>
            <w:tcW w:w="1861" w:type="dxa"/>
            <w:tcBorders>
              <w:tl2br w:val="nil"/>
              <w:tr2bl w:val="nil"/>
            </w:tcBorders>
            <w:tcMar>
              <w:top w:w="15" w:type="dxa"/>
              <w:left w:w="15" w:type="dxa"/>
              <w:right w:w="15" w:type="dxa"/>
            </w:tcMar>
            <w:vAlign w:val="center"/>
          </w:tcPr>
          <w:p w14:paraId="4A19166C">
            <w:pPr>
              <w:pStyle w:val="44"/>
              <w:rPr>
                <w:color w:val="auto"/>
              </w:rPr>
            </w:pPr>
            <w:r>
              <w:rPr>
                <w:color w:val="auto"/>
              </w:rPr>
              <w:t>195.05</w:t>
            </w:r>
          </w:p>
        </w:tc>
      </w:tr>
      <w:tr w14:paraId="012D4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restart"/>
            <w:tcBorders>
              <w:tl2br w:val="nil"/>
              <w:tr2bl w:val="nil"/>
            </w:tcBorders>
            <w:tcMar>
              <w:top w:w="15" w:type="dxa"/>
              <w:left w:w="15" w:type="dxa"/>
              <w:right w:w="15" w:type="dxa"/>
            </w:tcMar>
            <w:vAlign w:val="center"/>
          </w:tcPr>
          <w:p w14:paraId="65732A8F">
            <w:pPr>
              <w:pStyle w:val="44"/>
              <w:rPr>
                <w:color w:val="auto"/>
              </w:rPr>
            </w:pPr>
            <w:r>
              <w:rPr>
                <w:color w:val="auto"/>
              </w:rPr>
              <w:t>宜宾至宜昌</w:t>
            </w:r>
          </w:p>
        </w:tc>
        <w:tc>
          <w:tcPr>
            <w:tcW w:w="1346" w:type="dxa"/>
            <w:vMerge w:val="restart"/>
            <w:tcBorders>
              <w:tl2br w:val="nil"/>
              <w:tr2bl w:val="nil"/>
            </w:tcBorders>
            <w:tcMar>
              <w:top w:w="15" w:type="dxa"/>
              <w:left w:w="15" w:type="dxa"/>
              <w:right w:w="15" w:type="dxa"/>
            </w:tcMar>
            <w:vAlign w:val="center"/>
          </w:tcPr>
          <w:p w14:paraId="647F7ABB">
            <w:pPr>
              <w:pStyle w:val="44"/>
              <w:rPr>
                <w:color w:val="auto"/>
              </w:rPr>
            </w:pPr>
            <w:r>
              <w:rPr>
                <w:color w:val="auto"/>
              </w:rPr>
              <w:t>宜宾至宜昌</w:t>
            </w:r>
          </w:p>
          <w:p w14:paraId="649CCC16">
            <w:pPr>
              <w:pStyle w:val="44"/>
              <w:rPr>
                <w:color w:val="auto"/>
              </w:rPr>
            </w:pPr>
            <w:r>
              <w:rPr>
                <w:color w:val="auto"/>
              </w:rPr>
              <w:t>干流</w:t>
            </w:r>
          </w:p>
        </w:tc>
        <w:tc>
          <w:tcPr>
            <w:tcW w:w="1348" w:type="dxa"/>
            <w:vMerge w:val="restart"/>
            <w:tcBorders>
              <w:tl2br w:val="nil"/>
              <w:tr2bl w:val="nil"/>
            </w:tcBorders>
            <w:tcMar>
              <w:top w:w="15" w:type="dxa"/>
              <w:left w:w="15" w:type="dxa"/>
              <w:right w:w="15" w:type="dxa"/>
            </w:tcMar>
            <w:vAlign w:val="center"/>
          </w:tcPr>
          <w:p w14:paraId="626FE48E">
            <w:pPr>
              <w:pStyle w:val="44"/>
              <w:rPr>
                <w:color w:val="auto"/>
              </w:rPr>
            </w:pPr>
            <w:r>
              <w:rPr>
                <w:color w:val="auto"/>
              </w:rPr>
              <w:t>长江上游</w:t>
            </w:r>
          </w:p>
          <w:p w14:paraId="63352586">
            <w:pPr>
              <w:pStyle w:val="44"/>
              <w:rPr>
                <w:color w:val="auto"/>
              </w:rPr>
            </w:pPr>
            <w:r>
              <w:rPr>
                <w:color w:val="auto"/>
              </w:rPr>
              <w:t>右岸区</w:t>
            </w:r>
          </w:p>
        </w:tc>
        <w:tc>
          <w:tcPr>
            <w:tcW w:w="1628" w:type="dxa"/>
            <w:vMerge w:val="restart"/>
            <w:tcBorders>
              <w:tl2br w:val="nil"/>
              <w:tr2bl w:val="nil"/>
            </w:tcBorders>
            <w:tcMar>
              <w:top w:w="15" w:type="dxa"/>
              <w:left w:w="15" w:type="dxa"/>
              <w:right w:w="15" w:type="dxa"/>
            </w:tcMar>
            <w:vAlign w:val="center"/>
          </w:tcPr>
          <w:p w14:paraId="3A6E7DD2">
            <w:pPr>
              <w:pStyle w:val="44"/>
              <w:rPr>
                <w:color w:val="auto"/>
              </w:rPr>
            </w:pPr>
            <w:r>
              <w:rPr>
                <w:color w:val="auto"/>
              </w:rPr>
              <w:t>大溪河流域片区</w:t>
            </w:r>
          </w:p>
        </w:tc>
        <w:tc>
          <w:tcPr>
            <w:tcW w:w="1395" w:type="dxa"/>
            <w:tcBorders>
              <w:tl2br w:val="nil"/>
              <w:tr2bl w:val="nil"/>
            </w:tcBorders>
            <w:tcMar>
              <w:top w:w="15" w:type="dxa"/>
              <w:left w:w="15" w:type="dxa"/>
              <w:right w:w="15" w:type="dxa"/>
            </w:tcMar>
            <w:vAlign w:val="center"/>
          </w:tcPr>
          <w:p w14:paraId="77849076">
            <w:pPr>
              <w:pStyle w:val="44"/>
              <w:rPr>
                <w:color w:val="auto"/>
              </w:rPr>
            </w:pPr>
            <w:r>
              <w:rPr>
                <w:color w:val="auto"/>
              </w:rPr>
              <w:t>西彭镇</w:t>
            </w:r>
          </w:p>
        </w:tc>
        <w:tc>
          <w:tcPr>
            <w:tcW w:w="1861" w:type="dxa"/>
            <w:tcBorders>
              <w:tl2br w:val="nil"/>
              <w:tr2bl w:val="nil"/>
            </w:tcBorders>
            <w:tcMar>
              <w:top w:w="15" w:type="dxa"/>
              <w:left w:w="15" w:type="dxa"/>
              <w:right w:w="15" w:type="dxa"/>
            </w:tcMar>
            <w:vAlign w:val="center"/>
          </w:tcPr>
          <w:p w14:paraId="7E6FD788">
            <w:pPr>
              <w:pStyle w:val="44"/>
              <w:rPr>
                <w:color w:val="auto"/>
              </w:rPr>
            </w:pPr>
            <w:r>
              <w:rPr>
                <w:color w:val="auto"/>
              </w:rPr>
              <w:t>88.25</w:t>
            </w:r>
          </w:p>
        </w:tc>
      </w:tr>
      <w:tr w14:paraId="1F3060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73ACFB15">
            <w:pPr>
              <w:pStyle w:val="44"/>
              <w:rPr>
                <w:color w:val="auto"/>
              </w:rPr>
            </w:pPr>
          </w:p>
        </w:tc>
        <w:tc>
          <w:tcPr>
            <w:tcW w:w="1346" w:type="dxa"/>
            <w:vMerge w:val="continue"/>
            <w:tcBorders>
              <w:tl2br w:val="nil"/>
              <w:tr2bl w:val="nil"/>
            </w:tcBorders>
            <w:tcMar>
              <w:top w:w="15" w:type="dxa"/>
              <w:left w:w="15" w:type="dxa"/>
              <w:right w:w="15" w:type="dxa"/>
            </w:tcMar>
            <w:vAlign w:val="center"/>
          </w:tcPr>
          <w:p w14:paraId="10DB5B46">
            <w:pPr>
              <w:pStyle w:val="44"/>
              <w:rPr>
                <w:color w:val="auto"/>
              </w:rPr>
            </w:pPr>
          </w:p>
        </w:tc>
        <w:tc>
          <w:tcPr>
            <w:tcW w:w="1348" w:type="dxa"/>
            <w:vMerge w:val="continue"/>
            <w:tcBorders>
              <w:tl2br w:val="nil"/>
              <w:tr2bl w:val="nil"/>
            </w:tcBorders>
            <w:tcMar>
              <w:top w:w="15" w:type="dxa"/>
              <w:left w:w="15" w:type="dxa"/>
              <w:right w:w="15" w:type="dxa"/>
            </w:tcMar>
            <w:vAlign w:val="center"/>
          </w:tcPr>
          <w:p w14:paraId="307850BB">
            <w:pPr>
              <w:pStyle w:val="44"/>
              <w:rPr>
                <w:color w:val="auto"/>
              </w:rPr>
            </w:pPr>
          </w:p>
        </w:tc>
        <w:tc>
          <w:tcPr>
            <w:tcW w:w="1628" w:type="dxa"/>
            <w:vMerge w:val="continue"/>
            <w:tcBorders>
              <w:tl2br w:val="nil"/>
              <w:tr2bl w:val="nil"/>
            </w:tcBorders>
            <w:tcMar>
              <w:top w:w="15" w:type="dxa"/>
              <w:left w:w="15" w:type="dxa"/>
              <w:right w:w="15" w:type="dxa"/>
            </w:tcMar>
            <w:vAlign w:val="center"/>
          </w:tcPr>
          <w:p w14:paraId="4BE70DBF">
            <w:pPr>
              <w:pStyle w:val="44"/>
              <w:rPr>
                <w:color w:val="auto"/>
              </w:rPr>
            </w:pPr>
          </w:p>
        </w:tc>
        <w:tc>
          <w:tcPr>
            <w:tcW w:w="1395" w:type="dxa"/>
            <w:tcBorders>
              <w:tl2br w:val="nil"/>
              <w:tr2bl w:val="nil"/>
            </w:tcBorders>
            <w:tcMar>
              <w:top w:w="15" w:type="dxa"/>
              <w:left w:w="15" w:type="dxa"/>
              <w:right w:w="15" w:type="dxa"/>
            </w:tcMar>
            <w:vAlign w:val="center"/>
          </w:tcPr>
          <w:p w14:paraId="205DE256">
            <w:pPr>
              <w:pStyle w:val="44"/>
              <w:rPr>
                <w:color w:val="auto"/>
              </w:rPr>
            </w:pPr>
            <w:r>
              <w:rPr>
                <w:color w:val="auto"/>
              </w:rPr>
              <w:t>陶家镇</w:t>
            </w:r>
          </w:p>
        </w:tc>
        <w:tc>
          <w:tcPr>
            <w:tcW w:w="1861" w:type="dxa"/>
            <w:tcBorders>
              <w:tl2br w:val="nil"/>
              <w:tr2bl w:val="nil"/>
            </w:tcBorders>
            <w:tcMar>
              <w:top w:w="15" w:type="dxa"/>
              <w:left w:w="15" w:type="dxa"/>
              <w:right w:w="15" w:type="dxa"/>
            </w:tcMar>
            <w:vAlign w:val="center"/>
          </w:tcPr>
          <w:p w14:paraId="15A2229F">
            <w:pPr>
              <w:pStyle w:val="44"/>
              <w:rPr>
                <w:color w:val="auto"/>
              </w:rPr>
            </w:pPr>
            <w:r>
              <w:rPr>
                <w:color w:val="auto"/>
              </w:rPr>
              <w:t>36.02</w:t>
            </w:r>
          </w:p>
        </w:tc>
      </w:tr>
      <w:tr w14:paraId="01C8A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7B4DA215">
            <w:pPr>
              <w:pStyle w:val="44"/>
              <w:rPr>
                <w:color w:val="auto"/>
              </w:rPr>
            </w:pPr>
          </w:p>
        </w:tc>
        <w:tc>
          <w:tcPr>
            <w:tcW w:w="1346" w:type="dxa"/>
            <w:vMerge w:val="continue"/>
            <w:tcBorders>
              <w:tl2br w:val="nil"/>
              <w:tr2bl w:val="nil"/>
            </w:tcBorders>
            <w:tcMar>
              <w:top w:w="15" w:type="dxa"/>
              <w:left w:w="15" w:type="dxa"/>
              <w:right w:w="15" w:type="dxa"/>
            </w:tcMar>
            <w:vAlign w:val="center"/>
          </w:tcPr>
          <w:p w14:paraId="0424FCE2">
            <w:pPr>
              <w:pStyle w:val="44"/>
              <w:rPr>
                <w:color w:val="auto"/>
              </w:rPr>
            </w:pPr>
          </w:p>
        </w:tc>
        <w:tc>
          <w:tcPr>
            <w:tcW w:w="1348" w:type="dxa"/>
            <w:vMerge w:val="continue"/>
            <w:tcBorders>
              <w:tl2br w:val="nil"/>
              <w:tr2bl w:val="nil"/>
            </w:tcBorders>
            <w:tcMar>
              <w:top w:w="15" w:type="dxa"/>
              <w:left w:w="15" w:type="dxa"/>
              <w:right w:w="15" w:type="dxa"/>
            </w:tcMar>
            <w:vAlign w:val="center"/>
          </w:tcPr>
          <w:p w14:paraId="6166226D">
            <w:pPr>
              <w:pStyle w:val="44"/>
              <w:rPr>
                <w:color w:val="auto"/>
              </w:rPr>
            </w:pPr>
          </w:p>
        </w:tc>
        <w:tc>
          <w:tcPr>
            <w:tcW w:w="1628" w:type="dxa"/>
            <w:vMerge w:val="continue"/>
            <w:tcBorders>
              <w:tl2br w:val="nil"/>
              <w:tr2bl w:val="nil"/>
            </w:tcBorders>
            <w:tcMar>
              <w:top w:w="15" w:type="dxa"/>
              <w:left w:w="15" w:type="dxa"/>
              <w:right w:w="15" w:type="dxa"/>
            </w:tcMar>
            <w:vAlign w:val="center"/>
          </w:tcPr>
          <w:p w14:paraId="5CB02E5C">
            <w:pPr>
              <w:pStyle w:val="44"/>
              <w:rPr>
                <w:color w:val="auto"/>
              </w:rPr>
            </w:pPr>
          </w:p>
        </w:tc>
        <w:tc>
          <w:tcPr>
            <w:tcW w:w="1395" w:type="dxa"/>
            <w:tcBorders>
              <w:tl2br w:val="nil"/>
              <w:tr2bl w:val="nil"/>
            </w:tcBorders>
            <w:tcMar>
              <w:top w:w="15" w:type="dxa"/>
              <w:left w:w="15" w:type="dxa"/>
              <w:right w:w="15" w:type="dxa"/>
            </w:tcMar>
            <w:vAlign w:val="center"/>
          </w:tcPr>
          <w:p w14:paraId="1E60DC2C">
            <w:pPr>
              <w:pStyle w:val="44"/>
              <w:rPr>
                <w:color w:val="auto"/>
              </w:rPr>
            </w:pPr>
            <w:r>
              <w:rPr>
                <w:color w:val="auto"/>
              </w:rPr>
              <w:t>铜罐驿镇</w:t>
            </w:r>
          </w:p>
        </w:tc>
        <w:tc>
          <w:tcPr>
            <w:tcW w:w="1861" w:type="dxa"/>
            <w:tcBorders>
              <w:tl2br w:val="nil"/>
              <w:tr2bl w:val="nil"/>
            </w:tcBorders>
            <w:tcMar>
              <w:top w:w="15" w:type="dxa"/>
              <w:left w:w="15" w:type="dxa"/>
              <w:right w:w="15" w:type="dxa"/>
            </w:tcMar>
            <w:vAlign w:val="center"/>
          </w:tcPr>
          <w:p w14:paraId="1331A30D">
            <w:pPr>
              <w:pStyle w:val="44"/>
              <w:rPr>
                <w:color w:val="auto"/>
              </w:rPr>
            </w:pPr>
            <w:r>
              <w:rPr>
                <w:color w:val="auto"/>
              </w:rPr>
              <w:t>23.31</w:t>
            </w:r>
          </w:p>
        </w:tc>
      </w:tr>
      <w:tr w14:paraId="6AB6F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512000AD">
            <w:pPr>
              <w:pStyle w:val="44"/>
              <w:rPr>
                <w:color w:val="auto"/>
              </w:rPr>
            </w:pPr>
          </w:p>
        </w:tc>
        <w:tc>
          <w:tcPr>
            <w:tcW w:w="1346" w:type="dxa"/>
            <w:vMerge w:val="continue"/>
            <w:tcBorders>
              <w:tl2br w:val="nil"/>
              <w:tr2bl w:val="nil"/>
            </w:tcBorders>
            <w:tcMar>
              <w:top w:w="15" w:type="dxa"/>
              <w:left w:w="15" w:type="dxa"/>
              <w:right w:w="15" w:type="dxa"/>
            </w:tcMar>
            <w:vAlign w:val="center"/>
          </w:tcPr>
          <w:p w14:paraId="6C04F7D6">
            <w:pPr>
              <w:pStyle w:val="44"/>
              <w:rPr>
                <w:color w:val="auto"/>
              </w:rPr>
            </w:pPr>
          </w:p>
        </w:tc>
        <w:tc>
          <w:tcPr>
            <w:tcW w:w="1348" w:type="dxa"/>
            <w:vMerge w:val="continue"/>
            <w:tcBorders>
              <w:tl2br w:val="nil"/>
              <w:tr2bl w:val="nil"/>
            </w:tcBorders>
            <w:tcMar>
              <w:top w:w="15" w:type="dxa"/>
              <w:left w:w="15" w:type="dxa"/>
              <w:right w:w="15" w:type="dxa"/>
            </w:tcMar>
            <w:vAlign w:val="center"/>
          </w:tcPr>
          <w:p w14:paraId="4CB6F200">
            <w:pPr>
              <w:pStyle w:val="44"/>
              <w:rPr>
                <w:color w:val="auto"/>
              </w:rPr>
            </w:pPr>
          </w:p>
        </w:tc>
        <w:tc>
          <w:tcPr>
            <w:tcW w:w="3023" w:type="dxa"/>
            <w:gridSpan w:val="2"/>
            <w:tcBorders>
              <w:tl2br w:val="nil"/>
              <w:tr2bl w:val="nil"/>
            </w:tcBorders>
            <w:tcMar>
              <w:top w:w="15" w:type="dxa"/>
              <w:left w:w="15" w:type="dxa"/>
              <w:right w:w="15" w:type="dxa"/>
            </w:tcMar>
            <w:vAlign w:val="center"/>
          </w:tcPr>
          <w:p w14:paraId="5297B082">
            <w:pPr>
              <w:pStyle w:val="44"/>
              <w:rPr>
                <w:color w:val="auto"/>
              </w:rPr>
            </w:pPr>
            <w:r>
              <w:rPr>
                <w:color w:val="auto"/>
              </w:rPr>
              <w:t>小计</w:t>
            </w:r>
          </w:p>
        </w:tc>
        <w:tc>
          <w:tcPr>
            <w:tcW w:w="1861" w:type="dxa"/>
            <w:tcBorders>
              <w:tl2br w:val="nil"/>
              <w:tr2bl w:val="nil"/>
            </w:tcBorders>
            <w:tcMar>
              <w:top w:w="15" w:type="dxa"/>
              <w:left w:w="15" w:type="dxa"/>
              <w:right w:w="15" w:type="dxa"/>
            </w:tcMar>
            <w:vAlign w:val="center"/>
          </w:tcPr>
          <w:p w14:paraId="6AA40693">
            <w:pPr>
              <w:pStyle w:val="44"/>
              <w:rPr>
                <w:color w:val="auto"/>
              </w:rPr>
            </w:pPr>
            <w:r>
              <w:rPr>
                <w:color w:val="auto"/>
              </w:rPr>
              <w:t>147.58</w:t>
            </w:r>
          </w:p>
        </w:tc>
      </w:tr>
      <w:tr w14:paraId="41177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1B62E3FF">
            <w:pPr>
              <w:pStyle w:val="44"/>
              <w:rPr>
                <w:color w:val="auto"/>
              </w:rPr>
            </w:pPr>
          </w:p>
        </w:tc>
        <w:tc>
          <w:tcPr>
            <w:tcW w:w="1346" w:type="dxa"/>
            <w:vMerge w:val="continue"/>
            <w:tcBorders>
              <w:tl2br w:val="nil"/>
              <w:tr2bl w:val="nil"/>
            </w:tcBorders>
            <w:tcMar>
              <w:top w:w="15" w:type="dxa"/>
              <w:left w:w="15" w:type="dxa"/>
              <w:right w:w="15" w:type="dxa"/>
            </w:tcMar>
            <w:vAlign w:val="center"/>
          </w:tcPr>
          <w:p w14:paraId="16D90F4F">
            <w:pPr>
              <w:pStyle w:val="44"/>
              <w:rPr>
                <w:color w:val="auto"/>
              </w:rPr>
            </w:pPr>
          </w:p>
        </w:tc>
        <w:tc>
          <w:tcPr>
            <w:tcW w:w="1348" w:type="dxa"/>
            <w:vMerge w:val="continue"/>
            <w:tcBorders>
              <w:tl2br w:val="nil"/>
              <w:tr2bl w:val="nil"/>
            </w:tcBorders>
            <w:tcMar>
              <w:top w:w="15" w:type="dxa"/>
              <w:left w:w="15" w:type="dxa"/>
              <w:right w:w="15" w:type="dxa"/>
            </w:tcMar>
            <w:vAlign w:val="center"/>
          </w:tcPr>
          <w:p w14:paraId="0FF33D88">
            <w:pPr>
              <w:pStyle w:val="44"/>
              <w:rPr>
                <w:color w:val="auto"/>
              </w:rPr>
            </w:pPr>
          </w:p>
        </w:tc>
        <w:tc>
          <w:tcPr>
            <w:tcW w:w="1628" w:type="dxa"/>
            <w:vMerge w:val="restart"/>
            <w:tcBorders>
              <w:tl2br w:val="nil"/>
              <w:tr2bl w:val="nil"/>
            </w:tcBorders>
            <w:tcMar>
              <w:top w:w="15" w:type="dxa"/>
              <w:left w:w="15" w:type="dxa"/>
              <w:right w:w="15" w:type="dxa"/>
            </w:tcMar>
            <w:vAlign w:val="center"/>
          </w:tcPr>
          <w:p w14:paraId="5BAE5CA0">
            <w:pPr>
              <w:pStyle w:val="44"/>
              <w:rPr>
                <w:color w:val="auto"/>
              </w:rPr>
            </w:pPr>
            <w:r>
              <w:rPr>
                <w:color w:val="auto"/>
              </w:rPr>
              <w:t>跳蹬河流域片区</w:t>
            </w:r>
          </w:p>
        </w:tc>
        <w:tc>
          <w:tcPr>
            <w:tcW w:w="1395" w:type="dxa"/>
            <w:tcBorders>
              <w:tl2br w:val="nil"/>
              <w:tr2bl w:val="nil"/>
            </w:tcBorders>
            <w:tcMar>
              <w:top w:w="15" w:type="dxa"/>
              <w:left w:w="15" w:type="dxa"/>
              <w:right w:w="15" w:type="dxa"/>
            </w:tcMar>
            <w:vAlign w:val="center"/>
          </w:tcPr>
          <w:p w14:paraId="69FFD058">
            <w:pPr>
              <w:pStyle w:val="44"/>
              <w:rPr>
                <w:color w:val="auto"/>
              </w:rPr>
            </w:pPr>
            <w:r>
              <w:rPr>
                <w:color w:val="auto"/>
              </w:rPr>
              <w:t>中梁山街道</w:t>
            </w:r>
          </w:p>
        </w:tc>
        <w:tc>
          <w:tcPr>
            <w:tcW w:w="1861" w:type="dxa"/>
            <w:tcBorders>
              <w:tl2br w:val="nil"/>
              <w:tr2bl w:val="nil"/>
            </w:tcBorders>
            <w:tcMar>
              <w:top w:w="15" w:type="dxa"/>
              <w:left w:w="15" w:type="dxa"/>
              <w:right w:w="15" w:type="dxa"/>
            </w:tcMar>
            <w:vAlign w:val="center"/>
          </w:tcPr>
          <w:p w14:paraId="5DDF4E24">
            <w:pPr>
              <w:pStyle w:val="44"/>
              <w:rPr>
                <w:color w:val="auto"/>
              </w:rPr>
            </w:pPr>
            <w:r>
              <w:rPr>
                <w:color w:val="auto"/>
              </w:rPr>
              <w:t>13.04</w:t>
            </w:r>
          </w:p>
        </w:tc>
      </w:tr>
      <w:tr w14:paraId="5E8394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052F33FB">
            <w:pPr>
              <w:pStyle w:val="44"/>
              <w:rPr>
                <w:color w:val="auto"/>
              </w:rPr>
            </w:pPr>
          </w:p>
        </w:tc>
        <w:tc>
          <w:tcPr>
            <w:tcW w:w="1346" w:type="dxa"/>
            <w:vMerge w:val="continue"/>
            <w:tcBorders>
              <w:tl2br w:val="nil"/>
              <w:tr2bl w:val="nil"/>
            </w:tcBorders>
            <w:tcMar>
              <w:top w:w="15" w:type="dxa"/>
              <w:left w:w="15" w:type="dxa"/>
              <w:right w:w="15" w:type="dxa"/>
            </w:tcMar>
            <w:vAlign w:val="center"/>
          </w:tcPr>
          <w:p w14:paraId="69881579">
            <w:pPr>
              <w:pStyle w:val="44"/>
              <w:rPr>
                <w:color w:val="auto"/>
              </w:rPr>
            </w:pPr>
          </w:p>
        </w:tc>
        <w:tc>
          <w:tcPr>
            <w:tcW w:w="1348" w:type="dxa"/>
            <w:vMerge w:val="continue"/>
            <w:tcBorders>
              <w:tl2br w:val="nil"/>
              <w:tr2bl w:val="nil"/>
            </w:tcBorders>
            <w:tcMar>
              <w:top w:w="15" w:type="dxa"/>
              <w:left w:w="15" w:type="dxa"/>
              <w:right w:w="15" w:type="dxa"/>
            </w:tcMar>
            <w:vAlign w:val="center"/>
          </w:tcPr>
          <w:p w14:paraId="0C6574AB">
            <w:pPr>
              <w:pStyle w:val="44"/>
              <w:rPr>
                <w:color w:val="auto"/>
              </w:rPr>
            </w:pPr>
          </w:p>
        </w:tc>
        <w:tc>
          <w:tcPr>
            <w:tcW w:w="1628" w:type="dxa"/>
            <w:vMerge w:val="continue"/>
            <w:tcBorders>
              <w:tl2br w:val="nil"/>
              <w:tr2bl w:val="nil"/>
            </w:tcBorders>
            <w:tcMar>
              <w:top w:w="15" w:type="dxa"/>
              <w:left w:w="15" w:type="dxa"/>
              <w:right w:w="15" w:type="dxa"/>
            </w:tcMar>
            <w:vAlign w:val="center"/>
          </w:tcPr>
          <w:p w14:paraId="788E68DF">
            <w:pPr>
              <w:pStyle w:val="44"/>
              <w:rPr>
                <w:color w:val="auto"/>
              </w:rPr>
            </w:pPr>
          </w:p>
        </w:tc>
        <w:tc>
          <w:tcPr>
            <w:tcW w:w="1395" w:type="dxa"/>
            <w:tcBorders>
              <w:tl2br w:val="nil"/>
              <w:tr2bl w:val="nil"/>
            </w:tcBorders>
            <w:tcMar>
              <w:top w:w="15" w:type="dxa"/>
              <w:left w:w="15" w:type="dxa"/>
              <w:right w:w="15" w:type="dxa"/>
            </w:tcMar>
            <w:vAlign w:val="center"/>
          </w:tcPr>
          <w:p w14:paraId="08D41C58">
            <w:pPr>
              <w:pStyle w:val="44"/>
              <w:rPr>
                <w:color w:val="auto"/>
              </w:rPr>
            </w:pPr>
            <w:r>
              <w:rPr>
                <w:color w:val="auto"/>
              </w:rPr>
              <w:t>华岩镇</w:t>
            </w:r>
          </w:p>
        </w:tc>
        <w:tc>
          <w:tcPr>
            <w:tcW w:w="1861" w:type="dxa"/>
            <w:tcBorders>
              <w:tl2br w:val="nil"/>
              <w:tr2bl w:val="nil"/>
            </w:tcBorders>
            <w:tcMar>
              <w:top w:w="15" w:type="dxa"/>
              <w:left w:w="15" w:type="dxa"/>
              <w:right w:w="15" w:type="dxa"/>
            </w:tcMar>
            <w:vAlign w:val="center"/>
          </w:tcPr>
          <w:p w14:paraId="6CB0CEDA">
            <w:pPr>
              <w:pStyle w:val="44"/>
              <w:rPr>
                <w:color w:val="auto"/>
              </w:rPr>
            </w:pPr>
            <w:r>
              <w:rPr>
                <w:color w:val="auto"/>
              </w:rPr>
              <w:t>31.84</w:t>
            </w:r>
          </w:p>
        </w:tc>
      </w:tr>
      <w:tr w14:paraId="0AC885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44E05983">
            <w:pPr>
              <w:pStyle w:val="44"/>
              <w:rPr>
                <w:color w:val="auto"/>
              </w:rPr>
            </w:pPr>
          </w:p>
        </w:tc>
        <w:tc>
          <w:tcPr>
            <w:tcW w:w="1346" w:type="dxa"/>
            <w:vMerge w:val="continue"/>
            <w:tcBorders>
              <w:tl2br w:val="nil"/>
              <w:tr2bl w:val="nil"/>
            </w:tcBorders>
            <w:tcMar>
              <w:top w:w="15" w:type="dxa"/>
              <w:left w:w="15" w:type="dxa"/>
              <w:right w:w="15" w:type="dxa"/>
            </w:tcMar>
            <w:vAlign w:val="center"/>
          </w:tcPr>
          <w:p w14:paraId="1AD26559">
            <w:pPr>
              <w:pStyle w:val="44"/>
              <w:rPr>
                <w:color w:val="auto"/>
              </w:rPr>
            </w:pPr>
          </w:p>
        </w:tc>
        <w:tc>
          <w:tcPr>
            <w:tcW w:w="1348" w:type="dxa"/>
            <w:vMerge w:val="continue"/>
            <w:tcBorders>
              <w:tl2br w:val="nil"/>
              <w:tr2bl w:val="nil"/>
            </w:tcBorders>
            <w:tcMar>
              <w:top w:w="15" w:type="dxa"/>
              <w:left w:w="15" w:type="dxa"/>
              <w:right w:w="15" w:type="dxa"/>
            </w:tcMar>
            <w:vAlign w:val="center"/>
          </w:tcPr>
          <w:p w14:paraId="645EC24D">
            <w:pPr>
              <w:pStyle w:val="44"/>
              <w:rPr>
                <w:color w:val="auto"/>
              </w:rPr>
            </w:pPr>
          </w:p>
        </w:tc>
        <w:tc>
          <w:tcPr>
            <w:tcW w:w="1628" w:type="dxa"/>
            <w:vMerge w:val="continue"/>
            <w:tcBorders>
              <w:tl2br w:val="nil"/>
              <w:tr2bl w:val="nil"/>
            </w:tcBorders>
            <w:tcMar>
              <w:top w:w="15" w:type="dxa"/>
              <w:left w:w="15" w:type="dxa"/>
              <w:right w:w="15" w:type="dxa"/>
            </w:tcMar>
            <w:vAlign w:val="center"/>
          </w:tcPr>
          <w:p w14:paraId="57EAEAEF">
            <w:pPr>
              <w:pStyle w:val="44"/>
              <w:rPr>
                <w:color w:val="auto"/>
              </w:rPr>
            </w:pPr>
          </w:p>
        </w:tc>
        <w:tc>
          <w:tcPr>
            <w:tcW w:w="1395" w:type="dxa"/>
            <w:tcBorders>
              <w:tl2br w:val="nil"/>
              <w:tr2bl w:val="nil"/>
            </w:tcBorders>
            <w:tcMar>
              <w:top w:w="15" w:type="dxa"/>
              <w:left w:w="15" w:type="dxa"/>
              <w:right w:w="15" w:type="dxa"/>
            </w:tcMar>
            <w:vAlign w:val="center"/>
          </w:tcPr>
          <w:p w14:paraId="39CD2332">
            <w:pPr>
              <w:pStyle w:val="44"/>
              <w:rPr>
                <w:color w:val="auto"/>
              </w:rPr>
            </w:pPr>
            <w:r>
              <w:rPr>
                <w:color w:val="auto"/>
              </w:rPr>
              <w:t>二郎街道</w:t>
            </w:r>
          </w:p>
        </w:tc>
        <w:tc>
          <w:tcPr>
            <w:tcW w:w="1861" w:type="dxa"/>
            <w:tcBorders>
              <w:tl2br w:val="nil"/>
              <w:tr2bl w:val="nil"/>
            </w:tcBorders>
            <w:tcMar>
              <w:top w:w="15" w:type="dxa"/>
              <w:left w:w="15" w:type="dxa"/>
              <w:right w:w="15" w:type="dxa"/>
            </w:tcMar>
            <w:vAlign w:val="center"/>
          </w:tcPr>
          <w:p w14:paraId="6F72D79A">
            <w:pPr>
              <w:pStyle w:val="44"/>
              <w:rPr>
                <w:color w:val="auto"/>
              </w:rPr>
            </w:pPr>
            <w:r>
              <w:rPr>
                <w:color w:val="auto"/>
              </w:rPr>
              <w:t>6.95</w:t>
            </w:r>
          </w:p>
        </w:tc>
      </w:tr>
      <w:tr w14:paraId="1E780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39D4EFDC">
            <w:pPr>
              <w:pStyle w:val="44"/>
              <w:rPr>
                <w:color w:val="auto"/>
              </w:rPr>
            </w:pPr>
          </w:p>
        </w:tc>
        <w:tc>
          <w:tcPr>
            <w:tcW w:w="1346" w:type="dxa"/>
            <w:vMerge w:val="continue"/>
            <w:tcBorders>
              <w:tl2br w:val="nil"/>
              <w:tr2bl w:val="nil"/>
            </w:tcBorders>
            <w:tcMar>
              <w:top w:w="15" w:type="dxa"/>
              <w:left w:w="15" w:type="dxa"/>
              <w:right w:w="15" w:type="dxa"/>
            </w:tcMar>
            <w:vAlign w:val="center"/>
          </w:tcPr>
          <w:p w14:paraId="3B85EBDE">
            <w:pPr>
              <w:pStyle w:val="44"/>
              <w:rPr>
                <w:color w:val="auto"/>
              </w:rPr>
            </w:pPr>
          </w:p>
        </w:tc>
        <w:tc>
          <w:tcPr>
            <w:tcW w:w="1348" w:type="dxa"/>
            <w:vMerge w:val="continue"/>
            <w:tcBorders>
              <w:tl2br w:val="nil"/>
              <w:tr2bl w:val="nil"/>
            </w:tcBorders>
            <w:tcMar>
              <w:top w:w="15" w:type="dxa"/>
              <w:left w:w="15" w:type="dxa"/>
              <w:right w:w="15" w:type="dxa"/>
            </w:tcMar>
            <w:vAlign w:val="center"/>
          </w:tcPr>
          <w:p w14:paraId="7E5DF23C">
            <w:pPr>
              <w:pStyle w:val="44"/>
              <w:rPr>
                <w:color w:val="auto"/>
              </w:rPr>
            </w:pPr>
          </w:p>
        </w:tc>
        <w:tc>
          <w:tcPr>
            <w:tcW w:w="1628" w:type="dxa"/>
            <w:vMerge w:val="continue"/>
            <w:tcBorders>
              <w:tl2br w:val="nil"/>
              <w:tr2bl w:val="nil"/>
            </w:tcBorders>
            <w:tcMar>
              <w:top w:w="15" w:type="dxa"/>
              <w:left w:w="15" w:type="dxa"/>
              <w:right w:w="15" w:type="dxa"/>
            </w:tcMar>
            <w:vAlign w:val="center"/>
          </w:tcPr>
          <w:p w14:paraId="02C49635">
            <w:pPr>
              <w:pStyle w:val="44"/>
              <w:rPr>
                <w:color w:val="auto"/>
              </w:rPr>
            </w:pPr>
          </w:p>
        </w:tc>
        <w:tc>
          <w:tcPr>
            <w:tcW w:w="1395" w:type="dxa"/>
            <w:tcBorders>
              <w:tl2br w:val="nil"/>
              <w:tr2bl w:val="nil"/>
            </w:tcBorders>
            <w:tcMar>
              <w:top w:w="15" w:type="dxa"/>
              <w:left w:w="15" w:type="dxa"/>
              <w:right w:w="15" w:type="dxa"/>
            </w:tcMar>
            <w:vAlign w:val="center"/>
          </w:tcPr>
          <w:p w14:paraId="480E2D56">
            <w:pPr>
              <w:pStyle w:val="44"/>
              <w:rPr>
                <w:color w:val="auto"/>
              </w:rPr>
            </w:pPr>
            <w:r>
              <w:rPr>
                <w:color w:val="auto"/>
              </w:rPr>
              <w:t>石桥铺街道</w:t>
            </w:r>
          </w:p>
        </w:tc>
        <w:tc>
          <w:tcPr>
            <w:tcW w:w="1861" w:type="dxa"/>
            <w:tcBorders>
              <w:tl2br w:val="nil"/>
              <w:tr2bl w:val="nil"/>
            </w:tcBorders>
            <w:tcMar>
              <w:top w:w="15" w:type="dxa"/>
              <w:left w:w="15" w:type="dxa"/>
              <w:right w:w="15" w:type="dxa"/>
            </w:tcMar>
            <w:vAlign w:val="center"/>
          </w:tcPr>
          <w:p w14:paraId="085DDAD8">
            <w:pPr>
              <w:pStyle w:val="44"/>
              <w:rPr>
                <w:color w:val="auto"/>
              </w:rPr>
            </w:pPr>
            <w:r>
              <w:rPr>
                <w:color w:val="auto"/>
              </w:rPr>
              <w:t>5.14</w:t>
            </w:r>
          </w:p>
        </w:tc>
      </w:tr>
      <w:tr w14:paraId="14BD27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24939674">
            <w:pPr>
              <w:pStyle w:val="44"/>
              <w:rPr>
                <w:color w:val="auto"/>
              </w:rPr>
            </w:pPr>
          </w:p>
        </w:tc>
        <w:tc>
          <w:tcPr>
            <w:tcW w:w="1346" w:type="dxa"/>
            <w:vMerge w:val="continue"/>
            <w:tcBorders>
              <w:tl2br w:val="nil"/>
              <w:tr2bl w:val="nil"/>
            </w:tcBorders>
            <w:tcMar>
              <w:top w:w="15" w:type="dxa"/>
              <w:left w:w="15" w:type="dxa"/>
              <w:right w:w="15" w:type="dxa"/>
            </w:tcMar>
            <w:vAlign w:val="center"/>
          </w:tcPr>
          <w:p w14:paraId="07F3904E">
            <w:pPr>
              <w:pStyle w:val="44"/>
              <w:rPr>
                <w:color w:val="auto"/>
              </w:rPr>
            </w:pPr>
          </w:p>
        </w:tc>
        <w:tc>
          <w:tcPr>
            <w:tcW w:w="1348" w:type="dxa"/>
            <w:vMerge w:val="continue"/>
            <w:tcBorders>
              <w:tl2br w:val="nil"/>
              <w:tr2bl w:val="nil"/>
            </w:tcBorders>
            <w:tcMar>
              <w:top w:w="15" w:type="dxa"/>
              <w:left w:w="15" w:type="dxa"/>
              <w:right w:w="15" w:type="dxa"/>
            </w:tcMar>
            <w:vAlign w:val="center"/>
          </w:tcPr>
          <w:p w14:paraId="216CEFBD">
            <w:pPr>
              <w:pStyle w:val="44"/>
              <w:rPr>
                <w:color w:val="auto"/>
              </w:rPr>
            </w:pPr>
          </w:p>
        </w:tc>
        <w:tc>
          <w:tcPr>
            <w:tcW w:w="1628" w:type="dxa"/>
            <w:vMerge w:val="continue"/>
            <w:tcBorders>
              <w:tl2br w:val="nil"/>
              <w:tr2bl w:val="nil"/>
            </w:tcBorders>
            <w:tcMar>
              <w:top w:w="15" w:type="dxa"/>
              <w:left w:w="15" w:type="dxa"/>
              <w:right w:w="15" w:type="dxa"/>
            </w:tcMar>
            <w:vAlign w:val="center"/>
          </w:tcPr>
          <w:p w14:paraId="28B51008">
            <w:pPr>
              <w:pStyle w:val="44"/>
              <w:rPr>
                <w:color w:val="auto"/>
              </w:rPr>
            </w:pPr>
          </w:p>
        </w:tc>
        <w:tc>
          <w:tcPr>
            <w:tcW w:w="1395" w:type="dxa"/>
            <w:tcBorders>
              <w:tl2br w:val="nil"/>
              <w:tr2bl w:val="nil"/>
            </w:tcBorders>
            <w:tcMar>
              <w:top w:w="15" w:type="dxa"/>
              <w:left w:w="15" w:type="dxa"/>
              <w:right w:w="15" w:type="dxa"/>
            </w:tcMar>
            <w:vAlign w:val="center"/>
          </w:tcPr>
          <w:p w14:paraId="12E70A10">
            <w:pPr>
              <w:pStyle w:val="44"/>
              <w:rPr>
                <w:color w:val="auto"/>
              </w:rPr>
            </w:pPr>
            <w:r>
              <w:rPr>
                <w:color w:val="auto"/>
              </w:rPr>
              <w:t>九龙镇</w:t>
            </w:r>
          </w:p>
        </w:tc>
        <w:tc>
          <w:tcPr>
            <w:tcW w:w="1861" w:type="dxa"/>
            <w:tcBorders>
              <w:tl2br w:val="nil"/>
              <w:tr2bl w:val="nil"/>
            </w:tcBorders>
            <w:tcMar>
              <w:top w:w="15" w:type="dxa"/>
              <w:left w:w="15" w:type="dxa"/>
              <w:right w:w="15" w:type="dxa"/>
            </w:tcMar>
            <w:vAlign w:val="center"/>
          </w:tcPr>
          <w:p w14:paraId="12325AC0">
            <w:pPr>
              <w:pStyle w:val="44"/>
              <w:rPr>
                <w:color w:val="auto"/>
              </w:rPr>
            </w:pPr>
            <w:r>
              <w:rPr>
                <w:color w:val="auto"/>
              </w:rPr>
              <w:t>7.20</w:t>
            </w:r>
          </w:p>
        </w:tc>
      </w:tr>
      <w:tr w14:paraId="13346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6577CD4D">
            <w:pPr>
              <w:pStyle w:val="44"/>
              <w:rPr>
                <w:color w:val="auto"/>
              </w:rPr>
            </w:pPr>
          </w:p>
        </w:tc>
        <w:tc>
          <w:tcPr>
            <w:tcW w:w="1346" w:type="dxa"/>
            <w:vMerge w:val="continue"/>
            <w:tcBorders>
              <w:tl2br w:val="nil"/>
              <w:tr2bl w:val="nil"/>
            </w:tcBorders>
            <w:tcMar>
              <w:top w:w="15" w:type="dxa"/>
              <w:left w:w="15" w:type="dxa"/>
              <w:right w:w="15" w:type="dxa"/>
            </w:tcMar>
            <w:vAlign w:val="center"/>
          </w:tcPr>
          <w:p w14:paraId="0856D4E0">
            <w:pPr>
              <w:pStyle w:val="44"/>
              <w:rPr>
                <w:color w:val="auto"/>
              </w:rPr>
            </w:pPr>
          </w:p>
        </w:tc>
        <w:tc>
          <w:tcPr>
            <w:tcW w:w="1348" w:type="dxa"/>
            <w:vMerge w:val="continue"/>
            <w:tcBorders>
              <w:tl2br w:val="nil"/>
              <w:tr2bl w:val="nil"/>
            </w:tcBorders>
            <w:tcMar>
              <w:top w:w="15" w:type="dxa"/>
              <w:left w:w="15" w:type="dxa"/>
              <w:right w:w="15" w:type="dxa"/>
            </w:tcMar>
            <w:vAlign w:val="center"/>
          </w:tcPr>
          <w:p w14:paraId="4DC92E26">
            <w:pPr>
              <w:pStyle w:val="44"/>
              <w:rPr>
                <w:color w:val="auto"/>
              </w:rPr>
            </w:pPr>
          </w:p>
        </w:tc>
        <w:tc>
          <w:tcPr>
            <w:tcW w:w="1628" w:type="dxa"/>
            <w:vMerge w:val="continue"/>
            <w:tcBorders>
              <w:tl2br w:val="nil"/>
              <w:tr2bl w:val="nil"/>
            </w:tcBorders>
            <w:tcMar>
              <w:top w:w="15" w:type="dxa"/>
              <w:left w:w="15" w:type="dxa"/>
              <w:right w:w="15" w:type="dxa"/>
            </w:tcMar>
            <w:vAlign w:val="center"/>
          </w:tcPr>
          <w:p w14:paraId="6E0B3C0D">
            <w:pPr>
              <w:pStyle w:val="44"/>
              <w:rPr>
                <w:color w:val="auto"/>
              </w:rPr>
            </w:pPr>
          </w:p>
        </w:tc>
        <w:tc>
          <w:tcPr>
            <w:tcW w:w="1395" w:type="dxa"/>
            <w:tcBorders>
              <w:tl2br w:val="nil"/>
              <w:tr2bl w:val="nil"/>
            </w:tcBorders>
            <w:tcMar>
              <w:top w:w="15" w:type="dxa"/>
              <w:left w:w="15" w:type="dxa"/>
              <w:right w:w="15" w:type="dxa"/>
            </w:tcMar>
            <w:vAlign w:val="center"/>
          </w:tcPr>
          <w:p w14:paraId="2AAFB69B">
            <w:pPr>
              <w:pStyle w:val="44"/>
              <w:rPr>
                <w:color w:val="auto"/>
              </w:rPr>
            </w:pPr>
            <w:r>
              <w:rPr>
                <w:color w:val="auto"/>
              </w:rPr>
              <w:t>石坪桥街道</w:t>
            </w:r>
          </w:p>
        </w:tc>
        <w:tc>
          <w:tcPr>
            <w:tcW w:w="1861" w:type="dxa"/>
            <w:tcBorders>
              <w:tl2br w:val="nil"/>
              <w:tr2bl w:val="nil"/>
            </w:tcBorders>
            <w:tcMar>
              <w:top w:w="15" w:type="dxa"/>
              <w:left w:w="15" w:type="dxa"/>
              <w:right w:w="15" w:type="dxa"/>
            </w:tcMar>
            <w:vAlign w:val="center"/>
          </w:tcPr>
          <w:p w14:paraId="5022694B">
            <w:pPr>
              <w:pStyle w:val="44"/>
              <w:rPr>
                <w:color w:val="auto"/>
              </w:rPr>
            </w:pPr>
            <w:r>
              <w:rPr>
                <w:color w:val="auto"/>
              </w:rPr>
              <w:t>1.96</w:t>
            </w:r>
          </w:p>
        </w:tc>
      </w:tr>
      <w:tr w14:paraId="5E119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76C53F4C">
            <w:pPr>
              <w:pStyle w:val="44"/>
              <w:rPr>
                <w:color w:val="auto"/>
              </w:rPr>
            </w:pPr>
          </w:p>
        </w:tc>
        <w:tc>
          <w:tcPr>
            <w:tcW w:w="1346" w:type="dxa"/>
            <w:vMerge w:val="continue"/>
            <w:tcBorders>
              <w:tl2br w:val="nil"/>
              <w:tr2bl w:val="nil"/>
            </w:tcBorders>
            <w:tcMar>
              <w:top w:w="15" w:type="dxa"/>
              <w:left w:w="15" w:type="dxa"/>
              <w:right w:w="15" w:type="dxa"/>
            </w:tcMar>
            <w:vAlign w:val="center"/>
          </w:tcPr>
          <w:p w14:paraId="66281F30">
            <w:pPr>
              <w:pStyle w:val="44"/>
              <w:rPr>
                <w:color w:val="auto"/>
              </w:rPr>
            </w:pPr>
          </w:p>
        </w:tc>
        <w:tc>
          <w:tcPr>
            <w:tcW w:w="1348" w:type="dxa"/>
            <w:vMerge w:val="continue"/>
            <w:tcBorders>
              <w:tl2br w:val="nil"/>
              <w:tr2bl w:val="nil"/>
            </w:tcBorders>
            <w:tcMar>
              <w:top w:w="15" w:type="dxa"/>
              <w:left w:w="15" w:type="dxa"/>
              <w:right w:w="15" w:type="dxa"/>
            </w:tcMar>
            <w:vAlign w:val="center"/>
          </w:tcPr>
          <w:p w14:paraId="2C8FA30F">
            <w:pPr>
              <w:pStyle w:val="44"/>
              <w:rPr>
                <w:color w:val="auto"/>
              </w:rPr>
            </w:pPr>
          </w:p>
        </w:tc>
        <w:tc>
          <w:tcPr>
            <w:tcW w:w="1628" w:type="dxa"/>
            <w:vMerge w:val="continue"/>
            <w:tcBorders>
              <w:tl2br w:val="nil"/>
              <w:tr2bl w:val="nil"/>
            </w:tcBorders>
            <w:tcMar>
              <w:top w:w="15" w:type="dxa"/>
              <w:left w:w="15" w:type="dxa"/>
              <w:right w:w="15" w:type="dxa"/>
            </w:tcMar>
            <w:vAlign w:val="center"/>
          </w:tcPr>
          <w:p w14:paraId="27A91606">
            <w:pPr>
              <w:pStyle w:val="44"/>
              <w:rPr>
                <w:color w:val="auto"/>
              </w:rPr>
            </w:pPr>
          </w:p>
        </w:tc>
        <w:tc>
          <w:tcPr>
            <w:tcW w:w="1395" w:type="dxa"/>
            <w:tcBorders>
              <w:tl2br w:val="nil"/>
              <w:tr2bl w:val="nil"/>
            </w:tcBorders>
            <w:tcMar>
              <w:top w:w="15" w:type="dxa"/>
              <w:left w:w="15" w:type="dxa"/>
              <w:right w:w="15" w:type="dxa"/>
            </w:tcMar>
            <w:vAlign w:val="center"/>
          </w:tcPr>
          <w:p w14:paraId="2268EBEC">
            <w:pPr>
              <w:pStyle w:val="44"/>
              <w:rPr>
                <w:color w:val="auto"/>
              </w:rPr>
            </w:pPr>
            <w:r>
              <w:rPr>
                <w:color w:val="auto"/>
              </w:rPr>
              <w:t>渝州路街道</w:t>
            </w:r>
          </w:p>
        </w:tc>
        <w:tc>
          <w:tcPr>
            <w:tcW w:w="1861" w:type="dxa"/>
            <w:tcBorders>
              <w:tl2br w:val="nil"/>
              <w:tr2bl w:val="nil"/>
            </w:tcBorders>
            <w:tcMar>
              <w:top w:w="15" w:type="dxa"/>
              <w:left w:w="15" w:type="dxa"/>
              <w:right w:w="15" w:type="dxa"/>
            </w:tcMar>
            <w:vAlign w:val="center"/>
          </w:tcPr>
          <w:p w14:paraId="18BD5E83">
            <w:pPr>
              <w:pStyle w:val="44"/>
              <w:rPr>
                <w:color w:val="auto"/>
              </w:rPr>
            </w:pPr>
            <w:r>
              <w:rPr>
                <w:color w:val="auto"/>
              </w:rPr>
              <w:t>6.06</w:t>
            </w:r>
          </w:p>
        </w:tc>
      </w:tr>
      <w:tr w14:paraId="4B7E8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0AEA7684">
            <w:pPr>
              <w:pStyle w:val="44"/>
              <w:rPr>
                <w:color w:val="auto"/>
              </w:rPr>
            </w:pPr>
          </w:p>
        </w:tc>
        <w:tc>
          <w:tcPr>
            <w:tcW w:w="1346" w:type="dxa"/>
            <w:vMerge w:val="continue"/>
            <w:tcBorders>
              <w:tl2br w:val="nil"/>
              <w:tr2bl w:val="nil"/>
            </w:tcBorders>
            <w:tcMar>
              <w:top w:w="15" w:type="dxa"/>
              <w:left w:w="15" w:type="dxa"/>
              <w:right w:w="15" w:type="dxa"/>
            </w:tcMar>
            <w:vAlign w:val="center"/>
          </w:tcPr>
          <w:p w14:paraId="2C927C78">
            <w:pPr>
              <w:pStyle w:val="44"/>
              <w:rPr>
                <w:color w:val="auto"/>
              </w:rPr>
            </w:pPr>
          </w:p>
        </w:tc>
        <w:tc>
          <w:tcPr>
            <w:tcW w:w="1348" w:type="dxa"/>
            <w:vMerge w:val="continue"/>
            <w:tcBorders>
              <w:tl2br w:val="nil"/>
              <w:tr2bl w:val="nil"/>
            </w:tcBorders>
            <w:tcMar>
              <w:top w:w="15" w:type="dxa"/>
              <w:left w:w="15" w:type="dxa"/>
              <w:right w:w="15" w:type="dxa"/>
            </w:tcMar>
            <w:vAlign w:val="center"/>
          </w:tcPr>
          <w:p w14:paraId="1B81F788">
            <w:pPr>
              <w:pStyle w:val="44"/>
              <w:rPr>
                <w:color w:val="auto"/>
              </w:rPr>
            </w:pPr>
          </w:p>
        </w:tc>
        <w:tc>
          <w:tcPr>
            <w:tcW w:w="1628" w:type="dxa"/>
            <w:vMerge w:val="continue"/>
            <w:tcBorders>
              <w:tl2br w:val="nil"/>
              <w:tr2bl w:val="nil"/>
            </w:tcBorders>
            <w:tcMar>
              <w:top w:w="15" w:type="dxa"/>
              <w:left w:w="15" w:type="dxa"/>
              <w:right w:w="15" w:type="dxa"/>
            </w:tcMar>
            <w:vAlign w:val="center"/>
          </w:tcPr>
          <w:p w14:paraId="4A395154">
            <w:pPr>
              <w:pStyle w:val="44"/>
              <w:rPr>
                <w:color w:val="auto"/>
              </w:rPr>
            </w:pPr>
          </w:p>
        </w:tc>
        <w:tc>
          <w:tcPr>
            <w:tcW w:w="1395" w:type="dxa"/>
            <w:tcBorders>
              <w:tl2br w:val="nil"/>
              <w:tr2bl w:val="nil"/>
            </w:tcBorders>
            <w:tcMar>
              <w:top w:w="15" w:type="dxa"/>
              <w:left w:w="15" w:type="dxa"/>
              <w:right w:w="15" w:type="dxa"/>
            </w:tcMar>
            <w:vAlign w:val="center"/>
          </w:tcPr>
          <w:p w14:paraId="51459E8C">
            <w:pPr>
              <w:pStyle w:val="44"/>
              <w:rPr>
                <w:color w:val="auto"/>
              </w:rPr>
            </w:pPr>
            <w:r>
              <w:rPr>
                <w:color w:val="auto"/>
              </w:rPr>
              <w:t>杨家坪街道</w:t>
            </w:r>
          </w:p>
        </w:tc>
        <w:tc>
          <w:tcPr>
            <w:tcW w:w="1861" w:type="dxa"/>
            <w:tcBorders>
              <w:tl2br w:val="nil"/>
              <w:tr2bl w:val="nil"/>
            </w:tcBorders>
            <w:tcMar>
              <w:top w:w="15" w:type="dxa"/>
              <w:left w:w="15" w:type="dxa"/>
              <w:right w:w="15" w:type="dxa"/>
            </w:tcMar>
            <w:vAlign w:val="center"/>
          </w:tcPr>
          <w:p w14:paraId="685FBC63">
            <w:pPr>
              <w:pStyle w:val="44"/>
              <w:rPr>
                <w:color w:val="auto"/>
              </w:rPr>
            </w:pPr>
            <w:r>
              <w:rPr>
                <w:color w:val="auto"/>
              </w:rPr>
              <w:t>4.76</w:t>
            </w:r>
          </w:p>
        </w:tc>
      </w:tr>
      <w:tr w14:paraId="3E9EF2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2EC674FD">
            <w:pPr>
              <w:pStyle w:val="44"/>
              <w:rPr>
                <w:color w:val="auto"/>
              </w:rPr>
            </w:pPr>
          </w:p>
        </w:tc>
        <w:tc>
          <w:tcPr>
            <w:tcW w:w="1346" w:type="dxa"/>
            <w:vMerge w:val="continue"/>
            <w:tcBorders>
              <w:tl2br w:val="nil"/>
              <w:tr2bl w:val="nil"/>
            </w:tcBorders>
            <w:tcMar>
              <w:top w:w="15" w:type="dxa"/>
              <w:left w:w="15" w:type="dxa"/>
              <w:right w:w="15" w:type="dxa"/>
            </w:tcMar>
            <w:vAlign w:val="center"/>
          </w:tcPr>
          <w:p w14:paraId="008A8D50">
            <w:pPr>
              <w:pStyle w:val="44"/>
              <w:rPr>
                <w:color w:val="auto"/>
              </w:rPr>
            </w:pPr>
          </w:p>
        </w:tc>
        <w:tc>
          <w:tcPr>
            <w:tcW w:w="1348" w:type="dxa"/>
            <w:vMerge w:val="continue"/>
            <w:tcBorders>
              <w:tl2br w:val="nil"/>
              <w:tr2bl w:val="nil"/>
            </w:tcBorders>
            <w:tcMar>
              <w:top w:w="15" w:type="dxa"/>
              <w:left w:w="15" w:type="dxa"/>
              <w:right w:w="15" w:type="dxa"/>
            </w:tcMar>
            <w:vAlign w:val="center"/>
          </w:tcPr>
          <w:p w14:paraId="0FFF75D6">
            <w:pPr>
              <w:pStyle w:val="44"/>
              <w:rPr>
                <w:color w:val="auto"/>
              </w:rPr>
            </w:pPr>
          </w:p>
        </w:tc>
        <w:tc>
          <w:tcPr>
            <w:tcW w:w="1628" w:type="dxa"/>
            <w:vMerge w:val="continue"/>
            <w:tcBorders>
              <w:tl2br w:val="nil"/>
              <w:tr2bl w:val="nil"/>
            </w:tcBorders>
            <w:tcMar>
              <w:top w:w="15" w:type="dxa"/>
              <w:left w:w="15" w:type="dxa"/>
              <w:right w:w="15" w:type="dxa"/>
            </w:tcMar>
            <w:vAlign w:val="center"/>
          </w:tcPr>
          <w:p w14:paraId="53B28204">
            <w:pPr>
              <w:pStyle w:val="44"/>
              <w:rPr>
                <w:color w:val="auto"/>
              </w:rPr>
            </w:pPr>
          </w:p>
        </w:tc>
        <w:tc>
          <w:tcPr>
            <w:tcW w:w="1395" w:type="dxa"/>
            <w:tcBorders>
              <w:tl2br w:val="nil"/>
              <w:tr2bl w:val="nil"/>
            </w:tcBorders>
            <w:tcMar>
              <w:top w:w="15" w:type="dxa"/>
              <w:left w:w="15" w:type="dxa"/>
              <w:right w:w="15" w:type="dxa"/>
            </w:tcMar>
            <w:vAlign w:val="center"/>
          </w:tcPr>
          <w:p w14:paraId="78454DA9">
            <w:pPr>
              <w:pStyle w:val="44"/>
              <w:rPr>
                <w:color w:val="auto"/>
              </w:rPr>
            </w:pPr>
            <w:r>
              <w:rPr>
                <w:color w:val="auto"/>
              </w:rPr>
              <w:t>谢家湾街道</w:t>
            </w:r>
          </w:p>
        </w:tc>
        <w:tc>
          <w:tcPr>
            <w:tcW w:w="1861" w:type="dxa"/>
            <w:tcBorders>
              <w:tl2br w:val="nil"/>
              <w:tr2bl w:val="nil"/>
            </w:tcBorders>
            <w:tcMar>
              <w:top w:w="15" w:type="dxa"/>
              <w:left w:w="15" w:type="dxa"/>
              <w:right w:w="15" w:type="dxa"/>
            </w:tcMar>
            <w:vAlign w:val="center"/>
          </w:tcPr>
          <w:p w14:paraId="3D64DE3D">
            <w:pPr>
              <w:pStyle w:val="44"/>
              <w:rPr>
                <w:color w:val="auto"/>
              </w:rPr>
            </w:pPr>
            <w:r>
              <w:rPr>
                <w:color w:val="auto"/>
              </w:rPr>
              <w:t>4.30</w:t>
            </w:r>
          </w:p>
        </w:tc>
      </w:tr>
      <w:tr w14:paraId="1A0CA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5C2159A4">
            <w:pPr>
              <w:pStyle w:val="44"/>
              <w:rPr>
                <w:color w:val="auto"/>
              </w:rPr>
            </w:pPr>
          </w:p>
        </w:tc>
        <w:tc>
          <w:tcPr>
            <w:tcW w:w="1346" w:type="dxa"/>
            <w:vMerge w:val="continue"/>
            <w:tcBorders>
              <w:tl2br w:val="nil"/>
              <w:tr2bl w:val="nil"/>
            </w:tcBorders>
            <w:tcMar>
              <w:top w:w="15" w:type="dxa"/>
              <w:left w:w="15" w:type="dxa"/>
              <w:right w:w="15" w:type="dxa"/>
            </w:tcMar>
            <w:vAlign w:val="center"/>
          </w:tcPr>
          <w:p w14:paraId="26AE2A0A">
            <w:pPr>
              <w:pStyle w:val="44"/>
              <w:rPr>
                <w:color w:val="auto"/>
              </w:rPr>
            </w:pPr>
          </w:p>
        </w:tc>
        <w:tc>
          <w:tcPr>
            <w:tcW w:w="1348" w:type="dxa"/>
            <w:vMerge w:val="continue"/>
            <w:tcBorders>
              <w:tl2br w:val="nil"/>
              <w:tr2bl w:val="nil"/>
            </w:tcBorders>
            <w:tcMar>
              <w:top w:w="15" w:type="dxa"/>
              <w:left w:w="15" w:type="dxa"/>
              <w:right w:w="15" w:type="dxa"/>
            </w:tcMar>
            <w:vAlign w:val="center"/>
          </w:tcPr>
          <w:p w14:paraId="10CB36E4">
            <w:pPr>
              <w:pStyle w:val="44"/>
              <w:rPr>
                <w:color w:val="auto"/>
              </w:rPr>
            </w:pPr>
          </w:p>
        </w:tc>
        <w:tc>
          <w:tcPr>
            <w:tcW w:w="1628" w:type="dxa"/>
            <w:vMerge w:val="continue"/>
            <w:tcBorders>
              <w:tl2br w:val="nil"/>
              <w:tr2bl w:val="nil"/>
            </w:tcBorders>
            <w:tcMar>
              <w:top w:w="15" w:type="dxa"/>
              <w:left w:w="15" w:type="dxa"/>
              <w:right w:w="15" w:type="dxa"/>
            </w:tcMar>
            <w:vAlign w:val="center"/>
          </w:tcPr>
          <w:p w14:paraId="556EF4DB">
            <w:pPr>
              <w:pStyle w:val="44"/>
              <w:rPr>
                <w:color w:val="auto"/>
              </w:rPr>
            </w:pPr>
          </w:p>
        </w:tc>
        <w:tc>
          <w:tcPr>
            <w:tcW w:w="1395" w:type="dxa"/>
            <w:tcBorders>
              <w:tl2br w:val="nil"/>
              <w:tr2bl w:val="nil"/>
            </w:tcBorders>
            <w:tcMar>
              <w:top w:w="15" w:type="dxa"/>
              <w:left w:w="15" w:type="dxa"/>
              <w:right w:w="15" w:type="dxa"/>
            </w:tcMar>
            <w:vAlign w:val="center"/>
          </w:tcPr>
          <w:p w14:paraId="0926C57B">
            <w:pPr>
              <w:pStyle w:val="44"/>
              <w:rPr>
                <w:color w:val="auto"/>
              </w:rPr>
            </w:pPr>
            <w:r>
              <w:rPr>
                <w:color w:val="auto"/>
              </w:rPr>
              <w:t>黄桷坪街道</w:t>
            </w:r>
          </w:p>
        </w:tc>
        <w:tc>
          <w:tcPr>
            <w:tcW w:w="1861" w:type="dxa"/>
            <w:tcBorders>
              <w:tl2br w:val="nil"/>
              <w:tr2bl w:val="nil"/>
            </w:tcBorders>
            <w:tcMar>
              <w:top w:w="15" w:type="dxa"/>
              <w:left w:w="15" w:type="dxa"/>
              <w:right w:w="15" w:type="dxa"/>
            </w:tcMar>
            <w:vAlign w:val="center"/>
          </w:tcPr>
          <w:p w14:paraId="3A36C90C">
            <w:pPr>
              <w:pStyle w:val="44"/>
              <w:rPr>
                <w:color w:val="auto"/>
              </w:rPr>
            </w:pPr>
            <w:r>
              <w:rPr>
                <w:color w:val="auto"/>
              </w:rPr>
              <w:t>6.90</w:t>
            </w:r>
          </w:p>
        </w:tc>
      </w:tr>
      <w:tr w14:paraId="00691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6" w:type="dxa"/>
            <w:vMerge w:val="continue"/>
            <w:tcBorders>
              <w:tl2br w:val="nil"/>
              <w:tr2bl w:val="nil"/>
            </w:tcBorders>
            <w:tcMar>
              <w:top w:w="15" w:type="dxa"/>
              <w:left w:w="15" w:type="dxa"/>
              <w:right w:w="15" w:type="dxa"/>
            </w:tcMar>
            <w:vAlign w:val="center"/>
          </w:tcPr>
          <w:p w14:paraId="2711DC84">
            <w:pPr>
              <w:pStyle w:val="44"/>
              <w:rPr>
                <w:color w:val="auto"/>
              </w:rPr>
            </w:pPr>
          </w:p>
        </w:tc>
        <w:tc>
          <w:tcPr>
            <w:tcW w:w="1346" w:type="dxa"/>
            <w:vMerge w:val="continue"/>
            <w:tcBorders>
              <w:tl2br w:val="nil"/>
              <w:tr2bl w:val="nil"/>
            </w:tcBorders>
            <w:tcMar>
              <w:top w:w="15" w:type="dxa"/>
              <w:left w:w="15" w:type="dxa"/>
              <w:right w:w="15" w:type="dxa"/>
            </w:tcMar>
            <w:vAlign w:val="center"/>
          </w:tcPr>
          <w:p w14:paraId="7D2CA2CE">
            <w:pPr>
              <w:pStyle w:val="44"/>
              <w:rPr>
                <w:color w:val="auto"/>
              </w:rPr>
            </w:pPr>
          </w:p>
        </w:tc>
        <w:tc>
          <w:tcPr>
            <w:tcW w:w="1348" w:type="dxa"/>
            <w:vMerge w:val="continue"/>
            <w:tcBorders>
              <w:tl2br w:val="nil"/>
              <w:tr2bl w:val="nil"/>
            </w:tcBorders>
            <w:tcMar>
              <w:top w:w="15" w:type="dxa"/>
              <w:left w:w="15" w:type="dxa"/>
              <w:right w:w="15" w:type="dxa"/>
            </w:tcMar>
            <w:vAlign w:val="center"/>
          </w:tcPr>
          <w:p w14:paraId="290A4B08">
            <w:pPr>
              <w:pStyle w:val="44"/>
              <w:rPr>
                <w:color w:val="auto"/>
              </w:rPr>
            </w:pPr>
          </w:p>
        </w:tc>
        <w:tc>
          <w:tcPr>
            <w:tcW w:w="3023" w:type="dxa"/>
            <w:gridSpan w:val="2"/>
            <w:tcBorders>
              <w:tl2br w:val="nil"/>
              <w:tr2bl w:val="nil"/>
            </w:tcBorders>
            <w:tcMar>
              <w:top w:w="15" w:type="dxa"/>
              <w:left w:w="15" w:type="dxa"/>
              <w:right w:w="15" w:type="dxa"/>
            </w:tcMar>
            <w:vAlign w:val="center"/>
          </w:tcPr>
          <w:p w14:paraId="66567AC4">
            <w:pPr>
              <w:pStyle w:val="44"/>
              <w:rPr>
                <w:color w:val="auto"/>
              </w:rPr>
            </w:pPr>
            <w:r>
              <w:rPr>
                <w:color w:val="auto"/>
              </w:rPr>
              <w:t>小计</w:t>
            </w:r>
          </w:p>
        </w:tc>
        <w:tc>
          <w:tcPr>
            <w:tcW w:w="1861" w:type="dxa"/>
            <w:tcBorders>
              <w:tl2br w:val="nil"/>
              <w:tr2bl w:val="nil"/>
            </w:tcBorders>
            <w:tcMar>
              <w:top w:w="15" w:type="dxa"/>
              <w:left w:w="15" w:type="dxa"/>
              <w:right w:w="15" w:type="dxa"/>
            </w:tcMar>
            <w:vAlign w:val="center"/>
          </w:tcPr>
          <w:p w14:paraId="3B104D0A">
            <w:pPr>
              <w:pStyle w:val="44"/>
              <w:rPr>
                <w:color w:val="auto"/>
              </w:rPr>
            </w:pPr>
            <w:r>
              <w:rPr>
                <w:color w:val="auto"/>
              </w:rPr>
              <w:t>88.15</w:t>
            </w:r>
          </w:p>
        </w:tc>
      </w:tr>
      <w:tr w14:paraId="2E4494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63" w:type="dxa"/>
            <w:gridSpan w:val="5"/>
            <w:tcBorders>
              <w:tl2br w:val="nil"/>
              <w:tr2bl w:val="nil"/>
            </w:tcBorders>
            <w:tcMar>
              <w:top w:w="15" w:type="dxa"/>
              <w:left w:w="15" w:type="dxa"/>
              <w:right w:w="15" w:type="dxa"/>
            </w:tcMar>
            <w:vAlign w:val="center"/>
          </w:tcPr>
          <w:p w14:paraId="5E02C66D">
            <w:pPr>
              <w:pStyle w:val="44"/>
              <w:rPr>
                <w:color w:val="auto"/>
              </w:rPr>
            </w:pPr>
            <w:r>
              <w:rPr>
                <w:color w:val="auto"/>
              </w:rPr>
              <w:t>合计</w:t>
            </w:r>
          </w:p>
        </w:tc>
        <w:tc>
          <w:tcPr>
            <w:tcW w:w="1861" w:type="dxa"/>
            <w:tcBorders>
              <w:tl2br w:val="nil"/>
              <w:tr2bl w:val="nil"/>
            </w:tcBorders>
            <w:tcMar>
              <w:top w:w="15" w:type="dxa"/>
              <w:left w:w="15" w:type="dxa"/>
              <w:right w:w="15" w:type="dxa"/>
            </w:tcMar>
            <w:vAlign w:val="center"/>
          </w:tcPr>
          <w:p w14:paraId="0C879677">
            <w:pPr>
              <w:pStyle w:val="44"/>
              <w:rPr>
                <w:color w:val="auto"/>
              </w:rPr>
            </w:pPr>
            <w:r>
              <w:rPr>
                <w:color w:val="auto"/>
              </w:rPr>
              <w:t>430.78</w:t>
            </w:r>
          </w:p>
        </w:tc>
      </w:tr>
    </w:tbl>
    <w:p w14:paraId="6C1FE535">
      <w:pPr>
        <w:ind w:firstLine="480"/>
        <w:rPr>
          <w:color w:val="auto"/>
        </w:rPr>
      </w:pPr>
      <w:r>
        <w:rPr>
          <w:rFonts w:hint="eastAsia"/>
          <w:color w:val="auto"/>
        </w:rPr>
        <w:t>根据表3.2-1得知，本次九龙公园区涉及到</w:t>
      </w:r>
      <w:r>
        <w:rPr>
          <w:color w:val="auto"/>
        </w:rPr>
        <w:t>大溪河流域片区</w:t>
      </w:r>
      <w:r>
        <w:rPr>
          <w:rFonts w:hint="eastAsia"/>
          <w:color w:val="auto"/>
        </w:rPr>
        <w:t>、</w:t>
      </w:r>
      <w:r>
        <w:rPr>
          <w:color w:val="auto"/>
        </w:rPr>
        <w:t>跳蹬河流域片区</w:t>
      </w:r>
      <w:r>
        <w:rPr>
          <w:rFonts w:hint="eastAsia"/>
          <w:color w:val="auto"/>
        </w:rPr>
        <w:t>。</w:t>
      </w:r>
    </w:p>
    <w:p w14:paraId="1E4B1316">
      <w:pPr>
        <w:pStyle w:val="5"/>
        <w:numPr>
          <w:ilvl w:val="0"/>
          <w:numId w:val="0"/>
        </w:numPr>
        <w:spacing w:before="166" w:after="166"/>
        <w:rPr>
          <w:color w:val="auto"/>
        </w:rPr>
      </w:pPr>
      <w:r>
        <w:rPr>
          <w:color w:val="auto"/>
        </w:rPr>
        <w:t>3.2.1 水资源量</w:t>
      </w:r>
    </w:p>
    <w:p w14:paraId="46387FCD">
      <w:pPr>
        <w:ind w:firstLine="482"/>
        <w:rPr>
          <w:b/>
          <w:bCs/>
          <w:color w:val="auto"/>
        </w:rPr>
      </w:pPr>
      <w:r>
        <w:rPr>
          <w:rFonts w:hint="eastAsia"/>
          <w:b/>
          <w:bCs/>
          <w:color w:val="auto"/>
        </w:rPr>
        <w:t>1、九龙坡区水资源量</w:t>
      </w:r>
    </w:p>
    <w:p w14:paraId="1D1C1AB7">
      <w:pPr>
        <w:tabs>
          <w:tab w:val="left" w:pos="7820"/>
        </w:tabs>
        <w:spacing w:line="560" w:lineRule="exact"/>
        <w:ind w:firstLine="480"/>
        <w:rPr>
          <w:color w:val="auto"/>
          <w:szCs w:val="24"/>
        </w:rPr>
      </w:pPr>
      <w:r>
        <w:rPr>
          <w:color w:val="auto"/>
          <w:szCs w:val="24"/>
        </w:rPr>
        <w:t>九龙坡区水资源较为丰富，境内河流纵横，南部属长江水系，西北部属嘉陵江水系。境内共有大小河流78条，其中集雨面积大于100km</w:t>
      </w:r>
      <w:r>
        <w:rPr>
          <w:color w:val="auto"/>
          <w:szCs w:val="24"/>
          <w:vertAlign w:val="superscript"/>
        </w:rPr>
        <w:t>2</w:t>
      </w:r>
      <w:r>
        <w:rPr>
          <w:color w:val="auto"/>
          <w:szCs w:val="24"/>
        </w:rPr>
        <w:t>的河流1条，集雨面积介于10km</w:t>
      </w:r>
      <w:r>
        <w:rPr>
          <w:color w:val="auto"/>
          <w:szCs w:val="24"/>
          <w:vertAlign w:val="superscript"/>
        </w:rPr>
        <w:t>2</w:t>
      </w:r>
      <w:r>
        <w:rPr>
          <w:color w:val="auto"/>
          <w:szCs w:val="24"/>
        </w:rPr>
        <w:t>与100km</w:t>
      </w:r>
      <w:r>
        <w:rPr>
          <w:color w:val="auto"/>
          <w:szCs w:val="24"/>
          <w:vertAlign w:val="superscript"/>
        </w:rPr>
        <w:t>2</w:t>
      </w:r>
      <w:r>
        <w:rPr>
          <w:color w:val="auto"/>
          <w:szCs w:val="24"/>
        </w:rPr>
        <w:t>之间的河流有12条，10km</w:t>
      </w:r>
      <w:r>
        <w:rPr>
          <w:color w:val="auto"/>
          <w:szCs w:val="24"/>
          <w:vertAlign w:val="superscript"/>
        </w:rPr>
        <w:t>2</w:t>
      </w:r>
      <w:r>
        <w:rPr>
          <w:color w:val="auto"/>
          <w:szCs w:val="24"/>
        </w:rPr>
        <w:t>以下的河流65条。</w:t>
      </w:r>
    </w:p>
    <w:p w14:paraId="52911139">
      <w:pPr>
        <w:tabs>
          <w:tab w:val="left" w:pos="7820"/>
        </w:tabs>
        <w:spacing w:line="560" w:lineRule="exact"/>
        <w:ind w:firstLine="480"/>
        <w:rPr>
          <w:color w:val="auto"/>
          <w:szCs w:val="24"/>
        </w:rPr>
      </w:pPr>
      <w:r>
        <w:rPr>
          <w:color w:val="auto"/>
          <w:szCs w:val="24"/>
        </w:rPr>
        <w:t>根据《重庆市水资源公报（2019）》（重庆市水利局，2020.06）等相关资料进行水资源量的分析计算得出，基准年2019 年九龙坡区多年平均水资源总量为2.45亿 m</w:t>
      </w:r>
      <w:r>
        <w:rPr>
          <w:color w:val="auto"/>
          <w:szCs w:val="24"/>
          <w:vertAlign w:val="superscript"/>
        </w:rPr>
        <w:t>3</w:t>
      </w:r>
      <w:r>
        <w:rPr>
          <w:color w:val="auto"/>
          <w:szCs w:val="24"/>
        </w:rPr>
        <w:t>，其中地表水2.45亿m</w:t>
      </w:r>
      <w:r>
        <w:rPr>
          <w:color w:val="auto"/>
          <w:szCs w:val="24"/>
          <w:vertAlign w:val="superscript"/>
        </w:rPr>
        <w:t>3</w:t>
      </w:r>
      <w:r>
        <w:rPr>
          <w:color w:val="auto"/>
          <w:szCs w:val="24"/>
        </w:rPr>
        <w:t>，地下水0.34亿 m</w:t>
      </w:r>
      <w:r>
        <w:rPr>
          <w:color w:val="auto"/>
          <w:szCs w:val="24"/>
          <w:vertAlign w:val="superscript"/>
        </w:rPr>
        <w:t>3</w:t>
      </w:r>
      <w:r>
        <w:rPr>
          <w:color w:val="auto"/>
          <w:szCs w:val="24"/>
        </w:rPr>
        <w:t>，重复计算量0.34亿m</w:t>
      </w:r>
      <w:r>
        <w:rPr>
          <w:color w:val="auto"/>
          <w:szCs w:val="24"/>
          <w:vertAlign w:val="superscript"/>
        </w:rPr>
        <w:t>3</w:t>
      </w:r>
      <w:r>
        <w:rPr>
          <w:color w:val="auto"/>
          <w:szCs w:val="24"/>
        </w:rPr>
        <w:t>，人均水资源占有量约200.3m</w:t>
      </w:r>
      <w:r>
        <w:rPr>
          <w:color w:val="auto"/>
          <w:szCs w:val="24"/>
          <w:vertAlign w:val="superscript"/>
        </w:rPr>
        <w:t>3</w:t>
      </w:r>
      <w:r>
        <w:rPr>
          <w:color w:val="auto"/>
          <w:szCs w:val="24"/>
        </w:rPr>
        <w:t>。</w:t>
      </w:r>
    </w:p>
    <w:p w14:paraId="61AF3F32">
      <w:pPr>
        <w:ind w:firstLine="482"/>
        <w:rPr>
          <w:b/>
          <w:bCs/>
          <w:color w:val="auto"/>
        </w:rPr>
      </w:pPr>
      <w:r>
        <w:rPr>
          <w:rFonts w:hint="eastAsia"/>
          <w:b/>
          <w:bCs/>
          <w:color w:val="auto"/>
        </w:rPr>
        <w:t>2、水资源分区水资源量</w:t>
      </w:r>
    </w:p>
    <w:p w14:paraId="3BB8F177">
      <w:pPr>
        <w:ind w:firstLine="480"/>
        <w:rPr>
          <w:color w:val="auto"/>
        </w:rPr>
      </w:pPr>
      <w:r>
        <w:rPr>
          <w:rFonts w:hint="eastAsia"/>
          <w:color w:val="auto"/>
        </w:rPr>
        <w:t>根据《重庆市九龙坡区主要江河流域水量分配方案》，</w:t>
      </w:r>
      <w:r>
        <w:rPr>
          <w:color w:val="auto"/>
        </w:rPr>
        <w:t>九龙坡区多年平均水资源总量为1.98亿m³，多年平均产水系数为0.43，单位面积水资源量（产水模数）为45.90万m³/km²。</w:t>
      </w:r>
      <w:r>
        <w:rPr>
          <w:rFonts w:hint="eastAsia"/>
          <w:color w:val="auto"/>
        </w:rPr>
        <w:t>其中</w:t>
      </w:r>
      <w:r>
        <w:rPr>
          <w:color w:val="auto"/>
        </w:rPr>
        <w:t>梁滩河流域片区产水模数为45.</w:t>
      </w:r>
      <w:r>
        <w:rPr>
          <w:rFonts w:hint="eastAsia"/>
          <w:color w:val="auto"/>
        </w:rPr>
        <w:t>89</w:t>
      </w:r>
      <w:r>
        <w:rPr>
          <w:color w:val="auto"/>
        </w:rPr>
        <w:t>万m³/km²</w:t>
      </w:r>
      <w:r>
        <w:rPr>
          <w:rFonts w:hint="eastAsia"/>
          <w:color w:val="auto"/>
        </w:rPr>
        <w:t>；</w:t>
      </w:r>
      <w:r>
        <w:rPr>
          <w:color w:val="auto"/>
        </w:rPr>
        <w:t>大溪河流域片区产水模数为45.</w:t>
      </w:r>
      <w:r>
        <w:rPr>
          <w:rFonts w:hint="eastAsia"/>
          <w:color w:val="auto"/>
        </w:rPr>
        <w:t>71</w:t>
      </w:r>
      <w:r>
        <w:rPr>
          <w:color w:val="auto"/>
        </w:rPr>
        <w:t>万m³/km²</w:t>
      </w:r>
      <w:r>
        <w:rPr>
          <w:rFonts w:hint="eastAsia"/>
          <w:color w:val="auto"/>
        </w:rPr>
        <w:t>，产水模数最小；</w:t>
      </w:r>
      <w:r>
        <w:rPr>
          <w:color w:val="auto"/>
        </w:rPr>
        <w:t>跳蹬河流域片区产水模数为</w:t>
      </w:r>
      <w:r>
        <w:rPr>
          <w:rFonts w:hint="eastAsia"/>
          <w:color w:val="auto"/>
        </w:rPr>
        <w:t>46.25</w:t>
      </w:r>
      <w:r>
        <w:rPr>
          <w:color w:val="auto"/>
        </w:rPr>
        <w:t>万m³/km²</w:t>
      </w:r>
      <w:r>
        <w:rPr>
          <w:rFonts w:hint="eastAsia"/>
          <w:color w:val="auto"/>
        </w:rPr>
        <w:t>，产水模数最大。</w:t>
      </w:r>
    </w:p>
    <w:p w14:paraId="0F9191FD">
      <w:pPr>
        <w:ind w:firstLine="480"/>
        <w:rPr>
          <w:color w:val="auto"/>
        </w:rPr>
      </w:pPr>
      <w:r>
        <w:rPr>
          <w:rFonts w:hint="eastAsia"/>
          <w:color w:val="auto"/>
        </w:rPr>
        <w:t>九龙坡区各分区</w:t>
      </w:r>
      <w:r>
        <w:rPr>
          <w:color w:val="auto"/>
        </w:rPr>
        <w:t>多年平均</w:t>
      </w:r>
      <w:r>
        <w:rPr>
          <w:rFonts w:hint="eastAsia"/>
          <w:color w:val="auto"/>
        </w:rPr>
        <w:t>水资源总量计算成果见表3.2-2。</w:t>
      </w:r>
    </w:p>
    <w:p w14:paraId="657CC1A6">
      <w:pPr>
        <w:pStyle w:val="43"/>
        <w:rPr>
          <w:color w:val="auto"/>
        </w:rPr>
      </w:pPr>
      <w:r>
        <w:rPr>
          <w:rFonts w:hint="eastAsia"/>
          <w:color w:val="auto"/>
        </w:rPr>
        <w:t>表3.2-2                      九龙坡区水资源量情况表</w:t>
      </w: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67"/>
        <w:gridCol w:w="901"/>
        <w:gridCol w:w="1155"/>
        <w:gridCol w:w="1088"/>
        <w:gridCol w:w="1088"/>
        <w:gridCol w:w="1081"/>
        <w:gridCol w:w="949"/>
        <w:gridCol w:w="1590"/>
      </w:tblGrid>
      <w:tr w14:paraId="1D07E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67" w:type="dxa"/>
            <w:vMerge w:val="restart"/>
            <w:tcBorders>
              <w:tl2br w:val="nil"/>
              <w:tr2bl w:val="nil"/>
            </w:tcBorders>
            <w:tcMar>
              <w:top w:w="15" w:type="dxa"/>
              <w:left w:w="15" w:type="dxa"/>
              <w:right w:w="15" w:type="dxa"/>
            </w:tcMar>
            <w:vAlign w:val="center"/>
          </w:tcPr>
          <w:p w14:paraId="7C35FA80">
            <w:pPr>
              <w:pStyle w:val="44"/>
              <w:rPr>
                <w:color w:val="auto"/>
              </w:rPr>
            </w:pPr>
            <w:r>
              <w:rPr>
                <w:color w:val="auto"/>
              </w:rPr>
              <w:t>水资源五级区</w:t>
            </w:r>
          </w:p>
        </w:tc>
        <w:tc>
          <w:tcPr>
            <w:tcW w:w="901" w:type="dxa"/>
            <w:vMerge w:val="restart"/>
            <w:tcBorders>
              <w:tl2br w:val="nil"/>
              <w:tr2bl w:val="nil"/>
            </w:tcBorders>
            <w:tcMar>
              <w:top w:w="15" w:type="dxa"/>
              <w:left w:w="15" w:type="dxa"/>
              <w:right w:w="15" w:type="dxa"/>
            </w:tcMar>
            <w:vAlign w:val="center"/>
          </w:tcPr>
          <w:p w14:paraId="654F54D0">
            <w:pPr>
              <w:pStyle w:val="44"/>
              <w:rPr>
                <w:color w:val="auto"/>
              </w:rPr>
            </w:pPr>
            <w:r>
              <w:rPr>
                <w:color w:val="auto"/>
              </w:rPr>
              <w:t>降水量（亿m³）</w:t>
            </w:r>
          </w:p>
        </w:tc>
        <w:tc>
          <w:tcPr>
            <w:tcW w:w="1155" w:type="dxa"/>
            <w:vMerge w:val="restart"/>
            <w:tcBorders>
              <w:tl2br w:val="nil"/>
              <w:tr2bl w:val="nil"/>
            </w:tcBorders>
            <w:tcMar>
              <w:top w:w="15" w:type="dxa"/>
              <w:left w:w="15" w:type="dxa"/>
              <w:right w:w="15" w:type="dxa"/>
            </w:tcMar>
            <w:vAlign w:val="center"/>
          </w:tcPr>
          <w:p w14:paraId="28F93509">
            <w:pPr>
              <w:pStyle w:val="44"/>
              <w:rPr>
                <w:color w:val="auto"/>
              </w:rPr>
            </w:pPr>
            <w:r>
              <w:rPr>
                <w:color w:val="auto"/>
              </w:rPr>
              <w:t>地表水资源量（亿m³）</w:t>
            </w:r>
          </w:p>
        </w:tc>
        <w:tc>
          <w:tcPr>
            <w:tcW w:w="2176" w:type="dxa"/>
            <w:gridSpan w:val="2"/>
            <w:tcBorders>
              <w:tl2br w:val="nil"/>
              <w:tr2bl w:val="nil"/>
            </w:tcBorders>
            <w:tcMar>
              <w:top w:w="15" w:type="dxa"/>
              <w:left w:w="15" w:type="dxa"/>
              <w:right w:w="15" w:type="dxa"/>
            </w:tcMar>
            <w:vAlign w:val="center"/>
          </w:tcPr>
          <w:p w14:paraId="03D85278">
            <w:pPr>
              <w:pStyle w:val="44"/>
              <w:rPr>
                <w:color w:val="auto"/>
              </w:rPr>
            </w:pPr>
            <w:r>
              <w:rPr>
                <w:color w:val="auto"/>
              </w:rPr>
              <w:t>地下水资源量（亿m³）</w:t>
            </w:r>
          </w:p>
        </w:tc>
        <w:tc>
          <w:tcPr>
            <w:tcW w:w="1081" w:type="dxa"/>
            <w:vMerge w:val="restart"/>
            <w:tcBorders>
              <w:tl2br w:val="nil"/>
              <w:tr2bl w:val="nil"/>
            </w:tcBorders>
            <w:tcMar>
              <w:top w:w="15" w:type="dxa"/>
              <w:left w:w="15" w:type="dxa"/>
              <w:right w:w="15" w:type="dxa"/>
            </w:tcMar>
            <w:vAlign w:val="center"/>
          </w:tcPr>
          <w:p w14:paraId="247AB487">
            <w:pPr>
              <w:pStyle w:val="44"/>
              <w:rPr>
                <w:color w:val="auto"/>
              </w:rPr>
            </w:pPr>
            <w:r>
              <w:rPr>
                <w:color w:val="auto"/>
              </w:rPr>
              <w:t>水资源总量（亿m³）</w:t>
            </w:r>
          </w:p>
        </w:tc>
        <w:tc>
          <w:tcPr>
            <w:tcW w:w="949" w:type="dxa"/>
            <w:vMerge w:val="restart"/>
            <w:tcBorders>
              <w:tl2br w:val="nil"/>
              <w:tr2bl w:val="nil"/>
            </w:tcBorders>
            <w:tcMar>
              <w:top w:w="15" w:type="dxa"/>
              <w:left w:w="15" w:type="dxa"/>
              <w:right w:w="15" w:type="dxa"/>
            </w:tcMar>
            <w:vAlign w:val="center"/>
          </w:tcPr>
          <w:p w14:paraId="66F52947">
            <w:pPr>
              <w:pStyle w:val="44"/>
              <w:rPr>
                <w:color w:val="auto"/>
              </w:rPr>
            </w:pPr>
            <w:r>
              <w:rPr>
                <w:color w:val="auto"/>
              </w:rPr>
              <w:t>产水系数</w:t>
            </w:r>
          </w:p>
        </w:tc>
        <w:tc>
          <w:tcPr>
            <w:tcW w:w="1590" w:type="dxa"/>
            <w:vMerge w:val="restart"/>
            <w:tcBorders>
              <w:tl2br w:val="nil"/>
              <w:tr2bl w:val="nil"/>
            </w:tcBorders>
            <w:tcMar>
              <w:top w:w="15" w:type="dxa"/>
              <w:left w:w="15" w:type="dxa"/>
              <w:right w:w="15" w:type="dxa"/>
            </w:tcMar>
            <w:vAlign w:val="center"/>
          </w:tcPr>
          <w:p w14:paraId="6DC7E1C0">
            <w:pPr>
              <w:pStyle w:val="44"/>
              <w:rPr>
                <w:color w:val="auto"/>
              </w:rPr>
            </w:pPr>
            <w:r>
              <w:rPr>
                <w:color w:val="auto"/>
              </w:rPr>
              <w:t>单位面积水资源量（产水模数）</w:t>
            </w:r>
            <w:r>
              <w:rPr>
                <w:color w:val="auto"/>
              </w:rPr>
              <w:br w:type="textWrapping"/>
            </w:r>
            <w:r>
              <w:rPr>
                <w:color w:val="auto"/>
              </w:rPr>
              <w:t>（万m³/km²）</w:t>
            </w:r>
          </w:p>
        </w:tc>
      </w:tr>
      <w:tr w14:paraId="1EF952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67" w:type="dxa"/>
            <w:vMerge w:val="continue"/>
            <w:tcBorders>
              <w:tl2br w:val="nil"/>
              <w:tr2bl w:val="nil"/>
            </w:tcBorders>
            <w:tcMar>
              <w:top w:w="15" w:type="dxa"/>
              <w:left w:w="15" w:type="dxa"/>
              <w:right w:w="15" w:type="dxa"/>
            </w:tcMar>
            <w:vAlign w:val="center"/>
          </w:tcPr>
          <w:p w14:paraId="10B9472A">
            <w:pPr>
              <w:pStyle w:val="44"/>
              <w:rPr>
                <w:color w:val="auto"/>
              </w:rPr>
            </w:pPr>
          </w:p>
        </w:tc>
        <w:tc>
          <w:tcPr>
            <w:tcW w:w="901" w:type="dxa"/>
            <w:vMerge w:val="continue"/>
            <w:tcBorders>
              <w:tl2br w:val="nil"/>
              <w:tr2bl w:val="nil"/>
            </w:tcBorders>
            <w:tcMar>
              <w:top w:w="15" w:type="dxa"/>
              <w:left w:w="15" w:type="dxa"/>
              <w:right w:w="15" w:type="dxa"/>
            </w:tcMar>
            <w:vAlign w:val="center"/>
          </w:tcPr>
          <w:p w14:paraId="4F85C0F4">
            <w:pPr>
              <w:pStyle w:val="44"/>
              <w:rPr>
                <w:color w:val="auto"/>
              </w:rPr>
            </w:pPr>
          </w:p>
        </w:tc>
        <w:tc>
          <w:tcPr>
            <w:tcW w:w="1155" w:type="dxa"/>
            <w:vMerge w:val="continue"/>
            <w:tcBorders>
              <w:tl2br w:val="nil"/>
              <w:tr2bl w:val="nil"/>
            </w:tcBorders>
            <w:tcMar>
              <w:top w:w="15" w:type="dxa"/>
              <w:left w:w="15" w:type="dxa"/>
              <w:right w:w="15" w:type="dxa"/>
            </w:tcMar>
            <w:vAlign w:val="center"/>
          </w:tcPr>
          <w:p w14:paraId="1521709B">
            <w:pPr>
              <w:pStyle w:val="44"/>
              <w:rPr>
                <w:color w:val="auto"/>
              </w:rPr>
            </w:pPr>
          </w:p>
        </w:tc>
        <w:tc>
          <w:tcPr>
            <w:tcW w:w="1088" w:type="dxa"/>
            <w:tcBorders>
              <w:tl2br w:val="nil"/>
              <w:tr2bl w:val="nil"/>
            </w:tcBorders>
            <w:tcMar>
              <w:top w:w="15" w:type="dxa"/>
              <w:left w:w="15" w:type="dxa"/>
              <w:right w:w="15" w:type="dxa"/>
            </w:tcMar>
            <w:vAlign w:val="center"/>
          </w:tcPr>
          <w:p w14:paraId="4D0A3FCC">
            <w:pPr>
              <w:pStyle w:val="44"/>
              <w:rPr>
                <w:color w:val="auto"/>
              </w:rPr>
            </w:pPr>
            <w:r>
              <w:rPr>
                <w:color w:val="auto"/>
              </w:rPr>
              <w:t>资源量</w:t>
            </w:r>
          </w:p>
        </w:tc>
        <w:tc>
          <w:tcPr>
            <w:tcW w:w="1088" w:type="dxa"/>
            <w:tcBorders>
              <w:tl2br w:val="nil"/>
              <w:tr2bl w:val="nil"/>
            </w:tcBorders>
            <w:tcMar>
              <w:top w:w="15" w:type="dxa"/>
              <w:left w:w="15" w:type="dxa"/>
              <w:right w:w="15" w:type="dxa"/>
            </w:tcMar>
            <w:vAlign w:val="center"/>
          </w:tcPr>
          <w:p w14:paraId="4ACA03AF">
            <w:pPr>
              <w:pStyle w:val="44"/>
              <w:rPr>
                <w:color w:val="auto"/>
              </w:rPr>
            </w:pPr>
            <w:r>
              <w:rPr>
                <w:color w:val="auto"/>
              </w:rPr>
              <w:t>不重复量</w:t>
            </w:r>
          </w:p>
        </w:tc>
        <w:tc>
          <w:tcPr>
            <w:tcW w:w="1081" w:type="dxa"/>
            <w:vMerge w:val="continue"/>
            <w:tcBorders>
              <w:tl2br w:val="nil"/>
              <w:tr2bl w:val="nil"/>
            </w:tcBorders>
            <w:tcMar>
              <w:top w:w="15" w:type="dxa"/>
              <w:left w:w="15" w:type="dxa"/>
              <w:right w:w="15" w:type="dxa"/>
            </w:tcMar>
            <w:vAlign w:val="center"/>
          </w:tcPr>
          <w:p w14:paraId="5DB29BD1">
            <w:pPr>
              <w:pStyle w:val="44"/>
              <w:rPr>
                <w:color w:val="auto"/>
              </w:rPr>
            </w:pPr>
          </w:p>
        </w:tc>
        <w:tc>
          <w:tcPr>
            <w:tcW w:w="949" w:type="dxa"/>
            <w:vMerge w:val="continue"/>
            <w:tcBorders>
              <w:tl2br w:val="nil"/>
              <w:tr2bl w:val="nil"/>
            </w:tcBorders>
            <w:tcMar>
              <w:top w:w="15" w:type="dxa"/>
              <w:left w:w="15" w:type="dxa"/>
              <w:right w:w="15" w:type="dxa"/>
            </w:tcMar>
            <w:vAlign w:val="center"/>
          </w:tcPr>
          <w:p w14:paraId="5FCD123B">
            <w:pPr>
              <w:pStyle w:val="44"/>
              <w:rPr>
                <w:color w:val="auto"/>
              </w:rPr>
            </w:pPr>
          </w:p>
        </w:tc>
        <w:tc>
          <w:tcPr>
            <w:tcW w:w="1590" w:type="dxa"/>
            <w:vMerge w:val="continue"/>
            <w:tcBorders>
              <w:tl2br w:val="nil"/>
              <w:tr2bl w:val="nil"/>
            </w:tcBorders>
            <w:tcMar>
              <w:top w:w="15" w:type="dxa"/>
              <w:left w:w="15" w:type="dxa"/>
              <w:right w:w="15" w:type="dxa"/>
            </w:tcMar>
            <w:vAlign w:val="center"/>
          </w:tcPr>
          <w:p w14:paraId="02855CCB">
            <w:pPr>
              <w:pStyle w:val="44"/>
              <w:rPr>
                <w:color w:val="auto"/>
              </w:rPr>
            </w:pPr>
          </w:p>
        </w:tc>
      </w:tr>
      <w:tr w14:paraId="05EEE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67" w:type="dxa"/>
            <w:tcBorders>
              <w:tl2br w:val="nil"/>
              <w:tr2bl w:val="nil"/>
            </w:tcBorders>
            <w:tcMar>
              <w:top w:w="15" w:type="dxa"/>
              <w:left w:w="15" w:type="dxa"/>
              <w:right w:w="15" w:type="dxa"/>
            </w:tcMar>
            <w:vAlign w:val="center"/>
          </w:tcPr>
          <w:p w14:paraId="102731B5">
            <w:pPr>
              <w:pStyle w:val="44"/>
              <w:rPr>
                <w:color w:val="auto"/>
              </w:rPr>
            </w:pPr>
            <w:r>
              <w:rPr>
                <w:color w:val="auto"/>
              </w:rPr>
              <w:t>梁滩河流域片区</w:t>
            </w:r>
          </w:p>
        </w:tc>
        <w:tc>
          <w:tcPr>
            <w:tcW w:w="901" w:type="dxa"/>
            <w:tcBorders>
              <w:tl2br w:val="nil"/>
              <w:tr2bl w:val="nil"/>
            </w:tcBorders>
            <w:tcMar>
              <w:top w:w="15" w:type="dxa"/>
              <w:left w:w="15" w:type="dxa"/>
              <w:right w:w="15" w:type="dxa"/>
            </w:tcMar>
            <w:vAlign w:val="center"/>
          </w:tcPr>
          <w:p w14:paraId="4618A82E">
            <w:pPr>
              <w:pStyle w:val="44"/>
              <w:rPr>
                <w:color w:val="auto"/>
              </w:rPr>
            </w:pPr>
            <w:r>
              <w:rPr>
                <w:color w:val="auto"/>
              </w:rPr>
              <w:t>2.08</w:t>
            </w:r>
          </w:p>
        </w:tc>
        <w:tc>
          <w:tcPr>
            <w:tcW w:w="1155" w:type="dxa"/>
            <w:tcBorders>
              <w:tl2br w:val="nil"/>
              <w:tr2bl w:val="nil"/>
            </w:tcBorders>
            <w:tcMar>
              <w:top w:w="15" w:type="dxa"/>
              <w:left w:w="15" w:type="dxa"/>
              <w:right w:w="15" w:type="dxa"/>
            </w:tcMar>
            <w:vAlign w:val="center"/>
          </w:tcPr>
          <w:p w14:paraId="4DF8BF8F">
            <w:pPr>
              <w:pStyle w:val="44"/>
              <w:rPr>
                <w:color w:val="auto"/>
              </w:rPr>
            </w:pPr>
            <w:r>
              <w:rPr>
                <w:color w:val="auto"/>
              </w:rPr>
              <w:t>0.90</w:t>
            </w:r>
          </w:p>
        </w:tc>
        <w:tc>
          <w:tcPr>
            <w:tcW w:w="1088" w:type="dxa"/>
            <w:tcBorders>
              <w:tl2br w:val="nil"/>
              <w:tr2bl w:val="nil"/>
            </w:tcBorders>
            <w:tcMar>
              <w:top w:w="15" w:type="dxa"/>
              <w:left w:w="15" w:type="dxa"/>
              <w:right w:w="15" w:type="dxa"/>
            </w:tcMar>
            <w:vAlign w:val="center"/>
          </w:tcPr>
          <w:p w14:paraId="3E2FFFE6">
            <w:pPr>
              <w:pStyle w:val="44"/>
              <w:rPr>
                <w:color w:val="auto"/>
              </w:rPr>
            </w:pPr>
            <w:r>
              <w:rPr>
                <w:color w:val="auto"/>
              </w:rPr>
              <w:t>0.22</w:t>
            </w:r>
          </w:p>
        </w:tc>
        <w:tc>
          <w:tcPr>
            <w:tcW w:w="1088" w:type="dxa"/>
            <w:tcBorders>
              <w:tl2br w:val="nil"/>
              <w:tr2bl w:val="nil"/>
            </w:tcBorders>
            <w:tcMar>
              <w:top w:w="15" w:type="dxa"/>
              <w:left w:w="15" w:type="dxa"/>
              <w:right w:w="15" w:type="dxa"/>
            </w:tcMar>
            <w:vAlign w:val="center"/>
          </w:tcPr>
          <w:p w14:paraId="2CCA7DBF">
            <w:pPr>
              <w:pStyle w:val="44"/>
              <w:rPr>
                <w:color w:val="auto"/>
              </w:rPr>
            </w:pPr>
            <w:r>
              <w:rPr>
                <w:color w:val="auto"/>
              </w:rPr>
              <w:t>0.00</w:t>
            </w:r>
          </w:p>
        </w:tc>
        <w:tc>
          <w:tcPr>
            <w:tcW w:w="1081" w:type="dxa"/>
            <w:tcBorders>
              <w:tl2br w:val="nil"/>
              <w:tr2bl w:val="nil"/>
            </w:tcBorders>
            <w:tcMar>
              <w:top w:w="15" w:type="dxa"/>
              <w:left w:w="15" w:type="dxa"/>
              <w:right w:w="15" w:type="dxa"/>
            </w:tcMar>
            <w:vAlign w:val="center"/>
          </w:tcPr>
          <w:p w14:paraId="31E7F25F">
            <w:pPr>
              <w:pStyle w:val="44"/>
              <w:rPr>
                <w:color w:val="auto"/>
              </w:rPr>
            </w:pPr>
            <w:r>
              <w:rPr>
                <w:color w:val="auto"/>
              </w:rPr>
              <w:t>0.90</w:t>
            </w:r>
          </w:p>
        </w:tc>
        <w:tc>
          <w:tcPr>
            <w:tcW w:w="949" w:type="dxa"/>
            <w:tcBorders>
              <w:tl2br w:val="nil"/>
              <w:tr2bl w:val="nil"/>
            </w:tcBorders>
            <w:tcMar>
              <w:top w:w="15" w:type="dxa"/>
              <w:left w:w="15" w:type="dxa"/>
              <w:right w:w="15" w:type="dxa"/>
            </w:tcMar>
            <w:vAlign w:val="center"/>
          </w:tcPr>
          <w:p w14:paraId="540603CF">
            <w:pPr>
              <w:pStyle w:val="44"/>
              <w:rPr>
                <w:color w:val="auto"/>
              </w:rPr>
            </w:pPr>
            <w:r>
              <w:rPr>
                <w:color w:val="auto"/>
              </w:rPr>
              <w:t>0.43</w:t>
            </w:r>
          </w:p>
        </w:tc>
        <w:tc>
          <w:tcPr>
            <w:tcW w:w="1590" w:type="dxa"/>
            <w:tcBorders>
              <w:tl2br w:val="nil"/>
              <w:tr2bl w:val="nil"/>
            </w:tcBorders>
            <w:tcMar>
              <w:top w:w="15" w:type="dxa"/>
              <w:left w:w="15" w:type="dxa"/>
              <w:right w:w="15" w:type="dxa"/>
            </w:tcMar>
            <w:vAlign w:val="center"/>
          </w:tcPr>
          <w:p w14:paraId="7FE6EE91">
            <w:pPr>
              <w:pStyle w:val="44"/>
              <w:rPr>
                <w:color w:val="auto"/>
              </w:rPr>
            </w:pPr>
            <w:r>
              <w:rPr>
                <w:color w:val="auto"/>
              </w:rPr>
              <w:t>45.89</w:t>
            </w:r>
          </w:p>
        </w:tc>
      </w:tr>
      <w:tr w14:paraId="36E30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67" w:type="dxa"/>
            <w:tcBorders>
              <w:tl2br w:val="nil"/>
              <w:tr2bl w:val="nil"/>
            </w:tcBorders>
            <w:tcMar>
              <w:top w:w="15" w:type="dxa"/>
              <w:left w:w="15" w:type="dxa"/>
              <w:right w:w="15" w:type="dxa"/>
            </w:tcMar>
            <w:vAlign w:val="center"/>
          </w:tcPr>
          <w:p w14:paraId="12B7F11A">
            <w:pPr>
              <w:pStyle w:val="44"/>
              <w:rPr>
                <w:color w:val="auto"/>
              </w:rPr>
            </w:pPr>
            <w:r>
              <w:rPr>
                <w:color w:val="auto"/>
              </w:rPr>
              <w:t>大溪河流域片区</w:t>
            </w:r>
          </w:p>
        </w:tc>
        <w:tc>
          <w:tcPr>
            <w:tcW w:w="901" w:type="dxa"/>
            <w:tcBorders>
              <w:tl2br w:val="nil"/>
              <w:tr2bl w:val="nil"/>
            </w:tcBorders>
            <w:tcMar>
              <w:top w:w="15" w:type="dxa"/>
              <w:left w:w="15" w:type="dxa"/>
              <w:right w:w="15" w:type="dxa"/>
            </w:tcMar>
            <w:vAlign w:val="center"/>
          </w:tcPr>
          <w:p w14:paraId="48BD22CB">
            <w:pPr>
              <w:pStyle w:val="44"/>
              <w:rPr>
                <w:color w:val="auto"/>
              </w:rPr>
            </w:pPr>
            <w:r>
              <w:rPr>
                <w:color w:val="auto"/>
              </w:rPr>
              <w:t>1.57</w:t>
            </w:r>
          </w:p>
        </w:tc>
        <w:tc>
          <w:tcPr>
            <w:tcW w:w="1155" w:type="dxa"/>
            <w:tcBorders>
              <w:tl2br w:val="nil"/>
              <w:tr2bl w:val="nil"/>
            </w:tcBorders>
            <w:tcMar>
              <w:top w:w="15" w:type="dxa"/>
              <w:left w:w="15" w:type="dxa"/>
              <w:right w:w="15" w:type="dxa"/>
            </w:tcMar>
            <w:vAlign w:val="center"/>
          </w:tcPr>
          <w:p w14:paraId="1202DE56">
            <w:pPr>
              <w:pStyle w:val="44"/>
              <w:rPr>
                <w:color w:val="auto"/>
              </w:rPr>
            </w:pPr>
            <w:r>
              <w:rPr>
                <w:color w:val="auto"/>
              </w:rPr>
              <w:t>0.67</w:t>
            </w:r>
          </w:p>
        </w:tc>
        <w:tc>
          <w:tcPr>
            <w:tcW w:w="1088" w:type="dxa"/>
            <w:tcBorders>
              <w:tl2br w:val="nil"/>
              <w:tr2bl w:val="nil"/>
            </w:tcBorders>
            <w:tcMar>
              <w:top w:w="15" w:type="dxa"/>
              <w:left w:w="15" w:type="dxa"/>
              <w:right w:w="15" w:type="dxa"/>
            </w:tcMar>
            <w:vAlign w:val="center"/>
          </w:tcPr>
          <w:p w14:paraId="5026BB21">
            <w:pPr>
              <w:pStyle w:val="44"/>
              <w:rPr>
                <w:color w:val="auto"/>
              </w:rPr>
            </w:pPr>
            <w:r>
              <w:rPr>
                <w:color w:val="auto"/>
              </w:rPr>
              <w:t>0.16</w:t>
            </w:r>
          </w:p>
        </w:tc>
        <w:tc>
          <w:tcPr>
            <w:tcW w:w="1088" w:type="dxa"/>
            <w:tcBorders>
              <w:tl2br w:val="nil"/>
              <w:tr2bl w:val="nil"/>
            </w:tcBorders>
            <w:tcMar>
              <w:top w:w="15" w:type="dxa"/>
              <w:left w:w="15" w:type="dxa"/>
              <w:right w:w="15" w:type="dxa"/>
            </w:tcMar>
            <w:vAlign w:val="center"/>
          </w:tcPr>
          <w:p w14:paraId="43BB7DFB">
            <w:pPr>
              <w:pStyle w:val="44"/>
              <w:rPr>
                <w:color w:val="auto"/>
              </w:rPr>
            </w:pPr>
            <w:r>
              <w:rPr>
                <w:color w:val="auto"/>
              </w:rPr>
              <w:t>0.00</w:t>
            </w:r>
          </w:p>
        </w:tc>
        <w:tc>
          <w:tcPr>
            <w:tcW w:w="1081" w:type="dxa"/>
            <w:tcBorders>
              <w:tl2br w:val="nil"/>
              <w:tr2bl w:val="nil"/>
            </w:tcBorders>
            <w:tcMar>
              <w:top w:w="15" w:type="dxa"/>
              <w:left w:w="15" w:type="dxa"/>
              <w:right w:w="15" w:type="dxa"/>
            </w:tcMar>
            <w:vAlign w:val="center"/>
          </w:tcPr>
          <w:p w14:paraId="6A86CB8F">
            <w:pPr>
              <w:pStyle w:val="44"/>
              <w:rPr>
                <w:color w:val="auto"/>
              </w:rPr>
            </w:pPr>
            <w:r>
              <w:rPr>
                <w:color w:val="auto"/>
              </w:rPr>
              <w:t>0.67</w:t>
            </w:r>
          </w:p>
        </w:tc>
        <w:tc>
          <w:tcPr>
            <w:tcW w:w="949" w:type="dxa"/>
            <w:tcBorders>
              <w:tl2br w:val="nil"/>
              <w:tr2bl w:val="nil"/>
            </w:tcBorders>
            <w:tcMar>
              <w:top w:w="15" w:type="dxa"/>
              <w:left w:w="15" w:type="dxa"/>
              <w:right w:w="15" w:type="dxa"/>
            </w:tcMar>
            <w:vAlign w:val="center"/>
          </w:tcPr>
          <w:p w14:paraId="532D1919">
            <w:pPr>
              <w:pStyle w:val="44"/>
              <w:rPr>
                <w:color w:val="auto"/>
              </w:rPr>
            </w:pPr>
            <w:r>
              <w:rPr>
                <w:color w:val="auto"/>
              </w:rPr>
              <w:t>0.43</w:t>
            </w:r>
          </w:p>
        </w:tc>
        <w:tc>
          <w:tcPr>
            <w:tcW w:w="1590" w:type="dxa"/>
            <w:tcBorders>
              <w:tl2br w:val="nil"/>
              <w:tr2bl w:val="nil"/>
            </w:tcBorders>
            <w:tcMar>
              <w:top w:w="15" w:type="dxa"/>
              <w:left w:w="15" w:type="dxa"/>
              <w:right w:w="15" w:type="dxa"/>
            </w:tcMar>
            <w:vAlign w:val="center"/>
          </w:tcPr>
          <w:p w14:paraId="3E3E7756">
            <w:pPr>
              <w:pStyle w:val="44"/>
              <w:rPr>
                <w:color w:val="auto"/>
              </w:rPr>
            </w:pPr>
            <w:r>
              <w:rPr>
                <w:color w:val="auto"/>
              </w:rPr>
              <w:t>45.71</w:t>
            </w:r>
          </w:p>
        </w:tc>
      </w:tr>
      <w:tr w14:paraId="5544E1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67" w:type="dxa"/>
            <w:tcBorders>
              <w:tl2br w:val="nil"/>
              <w:tr2bl w:val="nil"/>
            </w:tcBorders>
            <w:tcMar>
              <w:top w:w="15" w:type="dxa"/>
              <w:left w:w="15" w:type="dxa"/>
              <w:right w:w="15" w:type="dxa"/>
            </w:tcMar>
            <w:vAlign w:val="center"/>
          </w:tcPr>
          <w:p w14:paraId="033A060A">
            <w:pPr>
              <w:pStyle w:val="44"/>
              <w:rPr>
                <w:color w:val="auto"/>
              </w:rPr>
            </w:pPr>
            <w:r>
              <w:rPr>
                <w:color w:val="auto"/>
              </w:rPr>
              <w:t>跳蹬河流域片区</w:t>
            </w:r>
          </w:p>
        </w:tc>
        <w:tc>
          <w:tcPr>
            <w:tcW w:w="901" w:type="dxa"/>
            <w:tcBorders>
              <w:tl2br w:val="nil"/>
              <w:tr2bl w:val="nil"/>
            </w:tcBorders>
            <w:tcMar>
              <w:top w:w="15" w:type="dxa"/>
              <w:left w:w="15" w:type="dxa"/>
              <w:right w:w="15" w:type="dxa"/>
            </w:tcMar>
            <w:vAlign w:val="center"/>
          </w:tcPr>
          <w:p w14:paraId="5E59EB87">
            <w:pPr>
              <w:pStyle w:val="44"/>
              <w:rPr>
                <w:color w:val="auto"/>
              </w:rPr>
            </w:pPr>
            <w:r>
              <w:rPr>
                <w:color w:val="auto"/>
              </w:rPr>
              <w:t>0.95</w:t>
            </w:r>
          </w:p>
        </w:tc>
        <w:tc>
          <w:tcPr>
            <w:tcW w:w="1155" w:type="dxa"/>
            <w:tcBorders>
              <w:tl2br w:val="nil"/>
              <w:tr2bl w:val="nil"/>
            </w:tcBorders>
            <w:tcMar>
              <w:top w:w="15" w:type="dxa"/>
              <w:left w:w="15" w:type="dxa"/>
              <w:right w:w="15" w:type="dxa"/>
            </w:tcMar>
            <w:vAlign w:val="center"/>
          </w:tcPr>
          <w:p w14:paraId="121495E2">
            <w:pPr>
              <w:pStyle w:val="44"/>
              <w:rPr>
                <w:color w:val="auto"/>
              </w:rPr>
            </w:pPr>
            <w:r>
              <w:rPr>
                <w:color w:val="auto"/>
              </w:rPr>
              <w:t>0.41</w:t>
            </w:r>
          </w:p>
        </w:tc>
        <w:tc>
          <w:tcPr>
            <w:tcW w:w="1088" w:type="dxa"/>
            <w:tcBorders>
              <w:tl2br w:val="nil"/>
              <w:tr2bl w:val="nil"/>
            </w:tcBorders>
            <w:tcMar>
              <w:top w:w="15" w:type="dxa"/>
              <w:left w:w="15" w:type="dxa"/>
              <w:right w:w="15" w:type="dxa"/>
            </w:tcMar>
            <w:vAlign w:val="center"/>
          </w:tcPr>
          <w:p w14:paraId="194D3C93">
            <w:pPr>
              <w:pStyle w:val="44"/>
              <w:rPr>
                <w:color w:val="auto"/>
              </w:rPr>
            </w:pPr>
            <w:r>
              <w:rPr>
                <w:color w:val="auto"/>
              </w:rPr>
              <w:t>0.10</w:t>
            </w:r>
          </w:p>
        </w:tc>
        <w:tc>
          <w:tcPr>
            <w:tcW w:w="1088" w:type="dxa"/>
            <w:tcBorders>
              <w:tl2br w:val="nil"/>
              <w:tr2bl w:val="nil"/>
            </w:tcBorders>
            <w:tcMar>
              <w:top w:w="15" w:type="dxa"/>
              <w:left w:w="15" w:type="dxa"/>
              <w:right w:w="15" w:type="dxa"/>
            </w:tcMar>
            <w:vAlign w:val="center"/>
          </w:tcPr>
          <w:p w14:paraId="5BEDDCFB">
            <w:pPr>
              <w:pStyle w:val="44"/>
              <w:rPr>
                <w:color w:val="auto"/>
              </w:rPr>
            </w:pPr>
            <w:r>
              <w:rPr>
                <w:color w:val="auto"/>
              </w:rPr>
              <w:t>0.00</w:t>
            </w:r>
          </w:p>
        </w:tc>
        <w:tc>
          <w:tcPr>
            <w:tcW w:w="1081" w:type="dxa"/>
            <w:tcBorders>
              <w:tl2br w:val="nil"/>
              <w:tr2bl w:val="nil"/>
            </w:tcBorders>
            <w:tcMar>
              <w:top w:w="15" w:type="dxa"/>
              <w:left w:w="15" w:type="dxa"/>
              <w:right w:w="15" w:type="dxa"/>
            </w:tcMar>
            <w:vAlign w:val="center"/>
          </w:tcPr>
          <w:p w14:paraId="442EF66C">
            <w:pPr>
              <w:pStyle w:val="44"/>
              <w:rPr>
                <w:color w:val="auto"/>
              </w:rPr>
            </w:pPr>
            <w:r>
              <w:rPr>
                <w:color w:val="auto"/>
              </w:rPr>
              <w:t>0.41</w:t>
            </w:r>
          </w:p>
        </w:tc>
        <w:tc>
          <w:tcPr>
            <w:tcW w:w="949" w:type="dxa"/>
            <w:tcBorders>
              <w:tl2br w:val="nil"/>
              <w:tr2bl w:val="nil"/>
            </w:tcBorders>
            <w:tcMar>
              <w:top w:w="15" w:type="dxa"/>
              <w:left w:w="15" w:type="dxa"/>
              <w:right w:w="15" w:type="dxa"/>
            </w:tcMar>
            <w:vAlign w:val="center"/>
          </w:tcPr>
          <w:p w14:paraId="258C2D2C">
            <w:pPr>
              <w:pStyle w:val="44"/>
              <w:rPr>
                <w:color w:val="auto"/>
              </w:rPr>
            </w:pPr>
            <w:r>
              <w:rPr>
                <w:color w:val="auto"/>
              </w:rPr>
              <w:t>0.43</w:t>
            </w:r>
          </w:p>
        </w:tc>
        <w:tc>
          <w:tcPr>
            <w:tcW w:w="1590" w:type="dxa"/>
            <w:tcBorders>
              <w:tl2br w:val="nil"/>
              <w:tr2bl w:val="nil"/>
            </w:tcBorders>
            <w:tcMar>
              <w:top w:w="15" w:type="dxa"/>
              <w:left w:w="15" w:type="dxa"/>
              <w:right w:w="15" w:type="dxa"/>
            </w:tcMar>
            <w:vAlign w:val="center"/>
          </w:tcPr>
          <w:p w14:paraId="318D66B0">
            <w:pPr>
              <w:pStyle w:val="44"/>
              <w:rPr>
                <w:color w:val="auto"/>
              </w:rPr>
            </w:pPr>
            <w:r>
              <w:rPr>
                <w:color w:val="auto"/>
              </w:rPr>
              <w:t>46.25</w:t>
            </w:r>
          </w:p>
        </w:tc>
      </w:tr>
      <w:tr w14:paraId="74CA6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67" w:type="dxa"/>
            <w:tcBorders>
              <w:tl2br w:val="nil"/>
              <w:tr2bl w:val="nil"/>
            </w:tcBorders>
            <w:tcMar>
              <w:top w:w="15" w:type="dxa"/>
              <w:left w:w="15" w:type="dxa"/>
              <w:right w:w="15" w:type="dxa"/>
            </w:tcMar>
            <w:vAlign w:val="center"/>
          </w:tcPr>
          <w:p w14:paraId="06965F22">
            <w:pPr>
              <w:pStyle w:val="44"/>
              <w:rPr>
                <w:color w:val="auto"/>
              </w:rPr>
            </w:pPr>
            <w:r>
              <w:rPr>
                <w:color w:val="auto"/>
              </w:rPr>
              <w:t>合计</w:t>
            </w:r>
          </w:p>
        </w:tc>
        <w:tc>
          <w:tcPr>
            <w:tcW w:w="901" w:type="dxa"/>
            <w:tcBorders>
              <w:tl2br w:val="nil"/>
              <w:tr2bl w:val="nil"/>
            </w:tcBorders>
            <w:tcMar>
              <w:top w:w="15" w:type="dxa"/>
              <w:left w:w="15" w:type="dxa"/>
              <w:right w:w="15" w:type="dxa"/>
            </w:tcMar>
            <w:vAlign w:val="center"/>
          </w:tcPr>
          <w:p w14:paraId="25991C78">
            <w:pPr>
              <w:pStyle w:val="44"/>
              <w:rPr>
                <w:color w:val="auto"/>
              </w:rPr>
            </w:pPr>
            <w:r>
              <w:rPr>
                <w:color w:val="auto"/>
              </w:rPr>
              <w:t>4.59</w:t>
            </w:r>
          </w:p>
        </w:tc>
        <w:tc>
          <w:tcPr>
            <w:tcW w:w="1155" w:type="dxa"/>
            <w:tcBorders>
              <w:tl2br w:val="nil"/>
              <w:tr2bl w:val="nil"/>
            </w:tcBorders>
            <w:tcMar>
              <w:top w:w="15" w:type="dxa"/>
              <w:left w:w="15" w:type="dxa"/>
              <w:right w:w="15" w:type="dxa"/>
            </w:tcMar>
            <w:vAlign w:val="center"/>
          </w:tcPr>
          <w:p w14:paraId="352DE510">
            <w:pPr>
              <w:pStyle w:val="44"/>
              <w:rPr>
                <w:color w:val="auto"/>
              </w:rPr>
            </w:pPr>
            <w:r>
              <w:rPr>
                <w:color w:val="auto"/>
              </w:rPr>
              <w:t>1.98</w:t>
            </w:r>
          </w:p>
        </w:tc>
        <w:tc>
          <w:tcPr>
            <w:tcW w:w="1088" w:type="dxa"/>
            <w:tcBorders>
              <w:tl2br w:val="nil"/>
              <w:tr2bl w:val="nil"/>
            </w:tcBorders>
            <w:tcMar>
              <w:top w:w="15" w:type="dxa"/>
              <w:left w:w="15" w:type="dxa"/>
              <w:right w:w="15" w:type="dxa"/>
            </w:tcMar>
            <w:vAlign w:val="center"/>
          </w:tcPr>
          <w:p w14:paraId="458D3D6C">
            <w:pPr>
              <w:pStyle w:val="44"/>
              <w:rPr>
                <w:color w:val="auto"/>
              </w:rPr>
            </w:pPr>
            <w:r>
              <w:rPr>
                <w:color w:val="auto"/>
              </w:rPr>
              <w:t>0.48</w:t>
            </w:r>
          </w:p>
        </w:tc>
        <w:tc>
          <w:tcPr>
            <w:tcW w:w="1088" w:type="dxa"/>
            <w:tcBorders>
              <w:tl2br w:val="nil"/>
              <w:tr2bl w:val="nil"/>
            </w:tcBorders>
            <w:tcMar>
              <w:top w:w="15" w:type="dxa"/>
              <w:left w:w="15" w:type="dxa"/>
              <w:right w:w="15" w:type="dxa"/>
            </w:tcMar>
            <w:vAlign w:val="center"/>
          </w:tcPr>
          <w:p w14:paraId="519F548C">
            <w:pPr>
              <w:pStyle w:val="44"/>
              <w:rPr>
                <w:color w:val="auto"/>
              </w:rPr>
            </w:pPr>
            <w:r>
              <w:rPr>
                <w:color w:val="auto"/>
              </w:rPr>
              <w:t>0.00</w:t>
            </w:r>
          </w:p>
        </w:tc>
        <w:tc>
          <w:tcPr>
            <w:tcW w:w="1081" w:type="dxa"/>
            <w:tcBorders>
              <w:tl2br w:val="nil"/>
              <w:tr2bl w:val="nil"/>
            </w:tcBorders>
            <w:tcMar>
              <w:top w:w="15" w:type="dxa"/>
              <w:left w:w="15" w:type="dxa"/>
              <w:right w:w="15" w:type="dxa"/>
            </w:tcMar>
            <w:vAlign w:val="center"/>
          </w:tcPr>
          <w:p w14:paraId="12BF6C5B">
            <w:pPr>
              <w:pStyle w:val="44"/>
              <w:rPr>
                <w:color w:val="auto"/>
              </w:rPr>
            </w:pPr>
            <w:r>
              <w:rPr>
                <w:color w:val="auto"/>
              </w:rPr>
              <w:t>1.98</w:t>
            </w:r>
          </w:p>
        </w:tc>
        <w:tc>
          <w:tcPr>
            <w:tcW w:w="949" w:type="dxa"/>
            <w:tcBorders>
              <w:tl2br w:val="nil"/>
              <w:tr2bl w:val="nil"/>
            </w:tcBorders>
            <w:tcMar>
              <w:top w:w="15" w:type="dxa"/>
              <w:left w:w="15" w:type="dxa"/>
              <w:right w:w="15" w:type="dxa"/>
            </w:tcMar>
            <w:vAlign w:val="center"/>
          </w:tcPr>
          <w:p w14:paraId="36E272F8">
            <w:pPr>
              <w:pStyle w:val="44"/>
              <w:rPr>
                <w:color w:val="auto"/>
              </w:rPr>
            </w:pPr>
            <w:r>
              <w:rPr>
                <w:color w:val="auto"/>
              </w:rPr>
              <w:t>0.43</w:t>
            </w:r>
          </w:p>
        </w:tc>
        <w:tc>
          <w:tcPr>
            <w:tcW w:w="1590" w:type="dxa"/>
            <w:tcBorders>
              <w:tl2br w:val="nil"/>
              <w:tr2bl w:val="nil"/>
            </w:tcBorders>
            <w:tcMar>
              <w:top w:w="15" w:type="dxa"/>
              <w:left w:w="15" w:type="dxa"/>
              <w:right w:w="15" w:type="dxa"/>
            </w:tcMar>
            <w:vAlign w:val="center"/>
          </w:tcPr>
          <w:p w14:paraId="502234B8">
            <w:pPr>
              <w:pStyle w:val="44"/>
              <w:rPr>
                <w:color w:val="auto"/>
              </w:rPr>
            </w:pPr>
            <w:r>
              <w:rPr>
                <w:color w:val="auto"/>
              </w:rPr>
              <w:t>45.90</w:t>
            </w:r>
          </w:p>
        </w:tc>
      </w:tr>
    </w:tbl>
    <w:p w14:paraId="30981C92">
      <w:pPr>
        <w:pStyle w:val="5"/>
        <w:numPr>
          <w:ilvl w:val="0"/>
          <w:numId w:val="0"/>
        </w:numPr>
        <w:spacing w:before="166" w:after="166"/>
        <w:rPr>
          <w:color w:val="auto"/>
        </w:rPr>
      </w:pPr>
      <w:r>
        <w:rPr>
          <w:color w:val="auto"/>
        </w:rPr>
        <w:t>3.2.2 供水基础设施</w:t>
      </w:r>
    </w:p>
    <w:p w14:paraId="618DBF73">
      <w:pPr>
        <w:ind w:firstLine="480"/>
        <w:rPr>
          <w:color w:val="auto"/>
        </w:rPr>
      </w:pPr>
      <w:r>
        <w:rPr>
          <w:rFonts w:hint="eastAsia"/>
          <w:color w:val="auto"/>
        </w:rPr>
        <w:t>（1）供水基础设施</w:t>
      </w:r>
    </w:p>
    <w:p w14:paraId="51A0DE04">
      <w:pPr>
        <w:ind w:firstLine="480"/>
        <w:rPr>
          <w:color w:val="auto"/>
        </w:rPr>
      </w:pPr>
      <w:r>
        <w:rPr>
          <w:color w:val="auto"/>
        </w:rPr>
        <w:t>根据统计资料，截止201</w:t>
      </w:r>
      <w:r>
        <w:rPr>
          <w:rFonts w:hint="eastAsia"/>
          <w:color w:val="auto"/>
        </w:rPr>
        <w:t>9</w:t>
      </w:r>
      <w:r>
        <w:rPr>
          <w:color w:val="auto"/>
        </w:rPr>
        <w:t>年，</w:t>
      </w:r>
      <w:r>
        <w:rPr>
          <w:rFonts w:hint="eastAsia"/>
          <w:color w:val="auto"/>
        </w:rPr>
        <w:t>九龙坡区</w:t>
      </w:r>
      <w:r>
        <w:rPr>
          <w:color w:val="auto"/>
        </w:rPr>
        <w:t>现有各类水利工程1139处，其中</w:t>
      </w:r>
      <w:r>
        <w:rPr>
          <w:rFonts w:hint="eastAsia"/>
          <w:color w:val="auto"/>
        </w:rPr>
        <w:t>蓄水工程</w:t>
      </w:r>
      <w:r>
        <w:rPr>
          <w:color w:val="auto"/>
        </w:rPr>
        <w:t>1118处，</w:t>
      </w:r>
      <w:r>
        <w:rPr>
          <w:rFonts w:hint="eastAsia"/>
          <w:color w:val="auto"/>
        </w:rPr>
        <w:t>引提水工程12</w:t>
      </w:r>
      <w:r>
        <w:rPr>
          <w:color w:val="auto"/>
        </w:rPr>
        <w:t>处，</w:t>
      </w:r>
      <w:r>
        <w:rPr>
          <w:rFonts w:hint="eastAsia"/>
          <w:color w:val="auto"/>
        </w:rPr>
        <w:t>地下取水工程9</w:t>
      </w:r>
      <w:r>
        <w:rPr>
          <w:color w:val="auto"/>
        </w:rPr>
        <w:t>处。</w:t>
      </w:r>
    </w:p>
    <w:p w14:paraId="4E8BA8DF">
      <w:pPr>
        <w:ind w:firstLine="480"/>
        <w:rPr>
          <w:color w:val="auto"/>
        </w:rPr>
      </w:pPr>
      <w:r>
        <w:rPr>
          <w:color w:val="auto"/>
        </w:rPr>
        <w:t>1）蓄水工程</w:t>
      </w:r>
    </w:p>
    <w:p w14:paraId="5376D5CF">
      <w:pPr>
        <w:ind w:firstLine="480"/>
        <w:rPr>
          <w:color w:val="auto"/>
        </w:rPr>
      </w:pPr>
      <w:r>
        <w:rPr>
          <w:rFonts w:hint="eastAsia"/>
          <w:color w:val="auto"/>
        </w:rPr>
        <w:t>九龙坡区</w:t>
      </w:r>
      <w:r>
        <w:rPr>
          <w:color w:val="auto"/>
        </w:rPr>
        <w:t>共有已成水库</w:t>
      </w:r>
      <w:r>
        <w:rPr>
          <w:rFonts w:hint="eastAsia"/>
          <w:color w:val="auto"/>
        </w:rPr>
        <w:t>37</w:t>
      </w:r>
      <w:r>
        <w:rPr>
          <w:color w:val="auto"/>
        </w:rPr>
        <w:t>座，</w:t>
      </w:r>
      <w:r>
        <w:rPr>
          <w:rFonts w:hint="eastAsia"/>
          <w:color w:val="auto"/>
        </w:rPr>
        <w:t>总库容3921</w:t>
      </w:r>
      <w:r>
        <w:rPr>
          <w:color w:val="auto"/>
        </w:rPr>
        <w:t>万m³，</w:t>
      </w:r>
      <w:r>
        <w:rPr>
          <w:rFonts w:hint="eastAsia"/>
          <w:color w:val="auto"/>
        </w:rPr>
        <w:t>兴利库容2392</w:t>
      </w:r>
      <w:r>
        <w:rPr>
          <w:color w:val="auto"/>
        </w:rPr>
        <w:t>万m³，其中小（1）型水库</w:t>
      </w:r>
      <w:r>
        <w:rPr>
          <w:rFonts w:hint="eastAsia"/>
          <w:color w:val="auto"/>
        </w:rPr>
        <w:t>8</w:t>
      </w:r>
      <w:r>
        <w:rPr>
          <w:color w:val="auto"/>
        </w:rPr>
        <w:t>座，</w:t>
      </w:r>
      <w:r>
        <w:rPr>
          <w:rFonts w:hint="eastAsia"/>
          <w:color w:val="auto"/>
        </w:rPr>
        <w:t>总库容2819</w:t>
      </w:r>
      <w:r>
        <w:rPr>
          <w:color w:val="auto"/>
        </w:rPr>
        <w:t>万m³，</w:t>
      </w:r>
      <w:r>
        <w:rPr>
          <w:rFonts w:hint="eastAsia"/>
          <w:color w:val="auto"/>
        </w:rPr>
        <w:t>兴利库容1720</w:t>
      </w:r>
      <w:r>
        <w:rPr>
          <w:color w:val="auto"/>
        </w:rPr>
        <w:t>万m³</w:t>
      </w:r>
      <w:r>
        <w:rPr>
          <w:rFonts w:hint="eastAsia"/>
          <w:color w:val="auto"/>
        </w:rPr>
        <w:t>；</w:t>
      </w:r>
      <w:r>
        <w:rPr>
          <w:color w:val="auto"/>
        </w:rPr>
        <w:t>小（2）型水库</w:t>
      </w:r>
      <w:r>
        <w:rPr>
          <w:rFonts w:hint="eastAsia"/>
          <w:color w:val="auto"/>
        </w:rPr>
        <w:t>29</w:t>
      </w:r>
      <w:r>
        <w:rPr>
          <w:color w:val="auto"/>
        </w:rPr>
        <w:t>座</w:t>
      </w:r>
      <w:r>
        <w:rPr>
          <w:rFonts w:hint="eastAsia"/>
          <w:color w:val="auto"/>
        </w:rPr>
        <w:t>，总库容1102</w:t>
      </w:r>
      <w:r>
        <w:rPr>
          <w:color w:val="auto"/>
        </w:rPr>
        <w:t>万m³，</w:t>
      </w:r>
      <w:r>
        <w:rPr>
          <w:rFonts w:hint="eastAsia"/>
          <w:color w:val="auto"/>
        </w:rPr>
        <w:t>兴利库容672</w:t>
      </w:r>
      <w:r>
        <w:rPr>
          <w:color w:val="auto"/>
        </w:rPr>
        <w:t>万m³。</w:t>
      </w:r>
      <w:r>
        <w:rPr>
          <w:rFonts w:hint="eastAsia"/>
          <w:color w:val="auto"/>
        </w:rPr>
        <w:t>九龙坡区</w:t>
      </w:r>
      <w:r>
        <w:rPr>
          <w:color w:val="auto"/>
        </w:rPr>
        <w:t>共有山坪塘</w:t>
      </w:r>
      <w:r>
        <w:rPr>
          <w:rFonts w:hint="eastAsia"/>
          <w:color w:val="auto"/>
        </w:rPr>
        <w:t>1081</w:t>
      </w:r>
      <w:r>
        <w:rPr>
          <w:color w:val="auto"/>
        </w:rPr>
        <w:t>处，总容积</w:t>
      </w:r>
      <w:r>
        <w:rPr>
          <w:rFonts w:hint="eastAsia"/>
          <w:color w:val="auto"/>
        </w:rPr>
        <w:t>514</w:t>
      </w:r>
      <w:r>
        <w:rPr>
          <w:color w:val="auto"/>
        </w:rPr>
        <w:t>万m³，</w:t>
      </w:r>
      <w:r>
        <w:rPr>
          <w:rFonts w:hint="eastAsia"/>
          <w:color w:val="auto"/>
        </w:rPr>
        <w:t>其中</w:t>
      </w:r>
      <w:r>
        <w:rPr>
          <w:color w:val="auto"/>
        </w:rPr>
        <w:t>蓄水量达0.5万m³以上山坪塘共234处，总容积331.</w:t>
      </w:r>
      <w:r>
        <w:rPr>
          <w:rFonts w:hint="eastAsia"/>
          <w:color w:val="auto"/>
        </w:rPr>
        <w:t>18</w:t>
      </w:r>
      <w:r>
        <w:rPr>
          <w:color w:val="auto"/>
        </w:rPr>
        <w:t>万m³</w:t>
      </w:r>
      <w:r>
        <w:rPr>
          <w:rFonts w:hint="eastAsia"/>
          <w:color w:val="auto"/>
        </w:rPr>
        <w:t>。</w:t>
      </w:r>
    </w:p>
    <w:p w14:paraId="3BF9908B">
      <w:pPr>
        <w:ind w:firstLine="480"/>
        <w:rPr>
          <w:color w:val="auto"/>
        </w:rPr>
      </w:pPr>
      <w:r>
        <w:rPr>
          <w:color w:val="auto"/>
        </w:rPr>
        <w:t>九龙坡区各分区现有蓄水工程统计情况见表3.2-</w:t>
      </w:r>
      <w:r>
        <w:rPr>
          <w:rFonts w:hint="eastAsia"/>
          <w:color w:val="auto"/>
        </w:rPr>
        <w:t>3</w:t>
      </w:r>
      <w:r>
        <w:rPr>
          <w:color w:val="auto"/>
        </w:rPr>
        <w:t>。</w:t>
      </w:r>
    </w:p>
    <w:p w14:paraId="61FF694A">
      <w:pPr>
        <w:pStyle w:val="43"/>
        <w:rPr>
          <w:color w:val="auto"/>
        </w:rPr>
      </w:pPr>
    </w:p>
    <w:p w14:paraId="2B8B65F9">
      <w:pPr>
        <w:pStyle w:val="43"/>
        <w:rPr>
          <w:color w:val="auto"/>
        </w:rPr>
      </w:pPr>
    </w:p>
    <w:p w14:paraId="0DE7677B">
      <w:pPr>
        <w:pStyle w:val="43"/>
        <w:rPr>
          <w:color w:val="auto"/>
        </w:rPr>
      </w:pPr>
      <w:r>
        <w:rPr>
          <w:color w:val="auto"/>
        </w:rPr>
        <w:t>表3.2-</w:t>
      </w:r>
      <w:r>
        <w:rPr>
          <w:rFonts w:hint="eastAsia"/>
          <w:color w:val="auto"/>
        </w:rPr>
        <w:t>3</w:t>
      </w:r>
      <w:r>
        <w:rPr>
          <w:color w:val="auto"/>
        </w:rPr>
        <w:t xml:space="preserve">                   九龙坡区现有蓄水工程统计表</w:t>
      </w: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02"/>
        <w:gridCol w:w="914"/>
        <w:gridCol w:w="968"/>
        <w:gridCol w:w="941"/>
        <w:gridCol w:w="1121"/>
        <w:gridCol w:w="1128"/>
        <w:gridCol w:w="1123"/>
        <w:gridCol w:w="1125"/>
      </w:tblGrid>
      <w:tr w14:paraId="75C8DC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02" w:type="dxa"/>
            <w:vMerge w:val="restart"/>
            <w:tcBorders>
              <w:tl2br w:val="nil"/>
              <w:tr2bl w:val="nil"/>
            </w:tcBorders>
            <w:tcMar>
              <w:top w:w="15" w:type="dxa"/>
              <w:left w:w="15" w:type="dxa"/>
              <w:right w:w="15" w:type="dxa"/>
            </w:tcMar>
            <w:vAlign w:val="center"/>
          </w:tcPr>
          <w:p w14:paraId="59670F8F">
            <w:pPr>
              <w:pStyle w:val="44"/>
              <w:rPr>
                <w:color w:val="auto"/>
              </w:rPr>
            </w:pPr>
            <w:r>
              <w:rPr>
                <w:color w:val="auto"/>
              </w:rPr>
              <w:t>水资源五级区</w:t>
            </w:r>
          </w:p>
        </w:tc>
        <w:tc>
          <w:tcPr>
            <w:tcW w:w="5072" w:type="dxa"/>
            <w:gridSpan w:val="5"/>
            <w:tcBorders>
              <w:tl2br w:val="nil"/>
              <w:tr2bl w:val="nil"/>
            </w:tcBorders>
            <w:tcMar>
              <w:top w:w="15" w:type="dxa"/>
              <w:left w:w="15" w:type="dxa"/>
              <w:right w:w="15" w:type="dxa"/>
            </w:tcMar>
            <w:vAlign w:val="center"/>
          </w:tcPr>
          <w:p w14:paraId="684E9EBF">
            <w:pPr>
              <w:pStyle w:val="44"/>
              <w:rPr>
                <w:color w:val="auto"/>
              </w:rPr>
            </w:pPr>
            <w:r>
              <w:rPr>
                <w:color w:val="auto"/>
              </w:rPr>
              <w:t>水库</w:t>
            </w:r>
          </w:p>
        </w:tc>
        <w:tc>
          <w:tcPr>
            <w:tcW w:w="2248" w:type="dxa"/>
            <w:gridSpan w:val="2"/>
            <w:tcBorders>
              <w:tl2br w:val="nil"/>
              <w:tr2bl w:val="nil"/>
            </w:tcBorders>
            <w:tcMar>
              <w:top w:w="15" w:type="dxa"/>
              <w:left w:w="15" w:type="dxa"/>
              <w:right w:w="15" w:type="dxa"/>
            </w:tcMar>
            <w:vAlign w:val="center"/>
          </w:tcPr>
          <w:p w14:paraId="3F0C094F">
            <w:pPr>
              <w:pStyle w:val="44"/>
              <w:rPr>
                <w:color w:val="auto"/>
              </w:rPr>
            </w:pPr>
            <w:r>
              <w:rPr>
                <w:color w:val="auto"/>
              </w:rPr>
              <w:t>山坪塘</w:t>
            </w:r>
          </w:p>
        </w:tc>
      </w:tr>
      <w:tr w14:paraId="12D91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02" w:type="dxa"/>
            <w:vMerge w:val="continue"/>
            <w:tcBorders>
              <w:tl2br w:val="nil"/>
              <w:tr2bl w:val="nil"/>
            </w:tcBorders>
            <w:tcMar>
              <w:top w:w="15" w:type="dxa"/>
              <w:left w:w="15" w:type="dxa"/>
              <w:right w:w="15" w:type="dxa"/>
            </w:tcMar>
            <w:vAlign w:val="center"/>
          </w:tcPr>
          <w:p w14:paraId="55C11712">
            <w:pPr>
              <w:pStyle w:val="44"/>
              <w:rPr>
                <w:color w:val="auto"/>
              </w:rPr>
            </w:pPr>
          </w:p>
        </w:tc>
        <w:tc>
          <w:tcPr>
            <w:tcW w:w="2823" w:type="dxa"/>
            <w:gridSpan w:val="3"/>
            <w:tcBorders>
              <w:tl2br w:val="nil"/>
              <w:tr2bl w:val="nil"/>
            </w:tcBorders>
            <w:tcMar>
              <w:top w:w="15" w:type="dxa"/>
              <w:left w:w="15" w:type="dxa"/>
              <w:right w:w="15" w:type="dxa"/>
            </w:tcMar>
            <w:vAlign w:val="center"/>
          </w:tcPr>
          <w:p w14:paraId="2EB5632F">
            <w:pPr>
              <w:pStyle w:val="44"/>
              <w:rPr>
                <w:color w:val="auto"/>
              </w:rPr>
            </w:pPr>
            <w:r>
              <w:rPr>
                <w:color w:val="auto"/>
              </w:rPr>
              <w:t>数量（座）</w:t>
            </w:r>
          </w:p>
        </w:tc>
        <w:tc>
          <w:tcPr>
            <w:tcW w:w="1121" w:type="dxa"/>
            <w:vMerge w:val="restart"/>
            <w:tcBorders>
              <w:tl2br w:val="nil"/>
              <w:tr2bl w:val="nil"/>
            </w:tcBorders>
            <w:tcMar>
              <w:top w:w="15" w:type="dxa"/>
              <w:left w:w="15" w:type="dxa"/>
              <w:right w:w="15" w:type="dxa"/>
            </w:tcMar>
            <w:vAlign w:val="center"/>
          </w:tcPr>
          <w:p w14:paraId="36EFBEF6">
            <w:pPr>
              <w:pStyle w:val="44"/>
              <w:rPr>
                <w:color w:val="auto"/>
              </w:rPr>
            </w:pPr>
            <w:r>
              <w:rPr>
                <w:color w:val="auto"/>
              </w:rPr>
              <w:t>总容积</w:t>
            </w:r>
          </w:p>
          <w:p w14:paraId="7A1C902E">
            <w:pPr>
              <w:pStyle w:val="44"/>
              <w:rPr>
                <w:color w:val="auto"/>
              </w:rPr>
            </w:pPr>
            <w:r>
              <w:rPr>
                <w:color w:val="auto"/>
              </w:rPr>
              <w:t>（万m³）</w:t>
            </w:r>
          </w:p>
        </w:tc>
        <w:tc>
          <w:tcPr>
            <w:tcW w:w="1128" w:type="dxa"/>
            <w:vMerge w:val="restart"/>
            <w:tcBorders>
              <w:tl2br w:val="nil"/>
              <w:tr2bl w:val="nil"/>
            </w:tcBorders>
            <w:tcMar>
              <w:top w:w="15" w:type="dxa"/>
              <w:left w:w="15" w:type="dxa"/>
              <w:right w:w="15" w:type="dxa"/>
            </w:tcMar>
            <w:vAlign w:val="center"/>
          </w:tcPr>
          <w:p w14:paraId="70102D08">
            <w:pPr>
              <w:pStyle w:val="44"/>
              <w:rPr>
                <w:color w:val="auto"/>
              </w:rPr>
            </w:pPr>
            <w:r>
              <w:rPr>
                <w:color w:val="auto"/>
              </w:rPr>
              <w:t>兴利库容（万m³）</w:t>
            </w:r>
          </w:p>
        </w:tc>
        <w:tc>
          <w:tcPr>
            <w:tcW w:w="1123" w:type="dxa"/>
            <w:vMerge w:val="restart"/>
            <w:tcBorders>
              <w:tl2br w:val="nil"/>
              <w:tr2bl w:val="nil"/>
            </w:tcBorders>
            <w:tcMar>
              <w:top w:w="15" w:type="dxa"/>
              <w:left w:w="15" w:type="dxa"/>
              <w:right w:w="15" w:type="dxa"/>
            </w:tcMar>
            <w:vAlign w:val="center"/>
          </w:tcPr>
          <w:p w14:paraId="748E61BA">
            <w:pPr>
              <w:pStyle w:val="44"/>
              <w:rPr>
                <w:color w:val="auto"/>
              </w:rPr>
            </w:pPr>
            <w:r>
              <w:rPr>
                <w:color w:val="auto"/>
              </w:rPr>
              <w:t>数量（处）</w:t>
            </w:r>
          </w:p>
        </w:tc>
        <w:tc>
          <w:tcPr>
            <w:tcW w:w="1125" w:type="dxa"/>
            <w:vMerge w:val="restart"/>
            <w:tcBorders>
              <w:tl2br w:val="nil"/>
              <w:tr2bl w:val="nil"/>
            </w:tcBorders>
            <w:tcMar>
              <w:top w:w="15" w:type="dxa"/>
              <w:left w:w="15" w:type="dxa"/>
              <w:right w:w="15" w:type="dxa"/>
            </w:tcMar>
            <w:vAlign w:val="center"/>
          </w:tcPr>
          <w:p w14:paraId="2A234E9A">
            <w:pPr>
              <w:pStyle w:val="44"/>
              <w:rPr>
                <w:color w:val="auto"/>
              </w:rPr>
            </w:pPr>
            <w:r>
              <w:rPr>
                <w:color w:val="auto"/>
              </w:rPr>
              <w:t>总容积</w:t>
            </w:r>
          </w:p>
          <w:p w14:paraId="04BEF686">
            <w:pPr>
              <w:pStyle w:val="44"/>
              <w:rPr>
                <w:color w:val="auto"/>
              </w:rPr>
            </w:pPr>
            <w:r>
              <w:rPr>
                <w:color w:val="auto"/>
              </w:rPr>
              <w:t>（万m³）</w:t>
            </w:r>
          </w:p>
        </w:tc>
      </w:tr>
      <w:tr w14:paraId="4486E9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02" w:type="dxa"/>
            <w:vMerge w:val="continue"/>
            <w:tcBorders>
              <w:tl2br w:val="nil"/>
              <w:tr2bl w:val="nil"/>
            </w:tcBorders>
            <w:tcMar>
              <w:top w:w="15" w:type="dxa"/>
              <w:left w:w="15" w:type="dxa"/>
              <w:right w:w="15" w:type="dxa"/>
            </w:tcMar>
            <w:vAlign w:val="center"/>
          </w:tcPr>
          <w:p w14:paraId="040F8CDF">
            <w:pPr>
              <w:pStyle w:val="44"/>
              <w:rPr>
                <w:color w:val="auto"/>
              </w:rPr>
            </w:pPr>
          </w:p>
        </w:tc>
        <w:tc>
          <w:tcPr>
            <w:tcW w:w="914" w:type="dxa"/>
            <w:tcBorders>
              <w:tl2br w:val="nil"/>
              <w:tr2bl w:val="nil"/>
            </w:tcBorders>
            <w:tcMar>
              <w:top w:w="15" w:type="dxa"/>
              <w:left w:w="15" w:type="dxa"/>
              <w:right w:w="15" w:type="dxa"/>
            </w:tcMar>
            <w:vAlign w:val="center"/>
          </w:tcPr>
          <w:p w14:paraId="7848361E">
            <w:pPr>
              <w:pStyle w:val="44"/>
              <w:rPr>
                <w:color w:val="auto"/>
              </w:rPr>
            </w:pPr>
            <w:r>
              <w:rPr>
                <w:color w:val="auto"/>
              </w:rPr>
              <w:t>小（1）型</w:t>
            </w:r>
          </w:p>
        </w:tc>
        <w:tc>
          <w:tcPr>
            <w:tcW w:w="968" w:type="dxa"/>
            <w:tcBorders>
              <w:tl2br w:val="nil"/>
              <w:tr2bl w:val="nil"/>
            </w:tcBorders>
            <w:tcMar>
              <w:top w:w="15" w:type="dxa"/>
              <w:left w:w="15" w:type="dxa"/>
              <w:right w:w="15" w:type="dxa"/>
            </w:tcMar>
            <w:vAlign w:val="center"/>
          </w:tcPr>
          <w:p w14:paraId="36A81297">
            <w:pPr>
              <w:pStyle w:val="44"/>
              <w:rPr>
                <w:color w:val="auto"/>
              </w:rPr>
            </w:pPr>
            <w:r>
              <w:rPr>
                <w:color w:val="auto"/>
              </w:rPr>
              <w:t>小（2）型</w:t>
            </w:r>
          </w:p>
        </w:tc>
        <w:tc>
          <w:tcPr>
            <w:tcW w:w="941" w:type="dxa"/>
            <w:tcBorders>
              <w:tl2br w:val="nil"/>
              <w:tr2bl w:val="nil"/>
            </w:tcBorders>
            <w:tcMar>
              <w:top w:w="15" w:type="dxa"/>
              <w:left w:w="15" w:type="dxa"/>
              <w:right w:w="15" w:type="dxa"/>
            </w:tcMar>
            <w:vAlign w:val="center"/>
          </w:tcPr>
          <w:p w14:paraId="493D88D4">
            <w:pPr>
              <w:pStyle w:val="44"/>
              <w:rPr>
                <w:color w:val="auto"/>
              </w:rPr>
            </w:pPr>
            <w:r>
              <w:rPr>
                <w:color w:val="auto"/>
              </w:rPr>
              <w:t>合计</w:t>
            </w:r>
          </w:p>
        </w:tc>
        <w:tc>
          <w:tcPr>
            <w:tcW w:w="1121" w:type="dxa"/>
            <w:vMerge w:val="continue"/>
            <w:tcBorders>
              <w:tl2br w:val="nil"/>
              <w:tr2bl w:val="nil"/>
            </w:tcBorders>
            <w:tcMar>
              <w:top w:w="15" w:type="dxa"/>
              <w:left w:w="15" w:type="dxa"/>
              <w:right w:w="15" w:type="dxa"/>
            </w:tcMar>
            <w:vAlign w:val="center"/>
          </w:tcPr>
          <w:p w14:paraId="1A10EB1F">
            <w:pPr>
              <w:pStyle w:val="44"/>
              <w:rPr>
                <w:color w:val="auto"/>
              </w:rPr>
            </w:pPr>
          </w:p>
        </w:tc>
        <w:tc>
          <w:tcPr>
            <w:tcW w:w="1128" w:type="dxa"/>
            <w:vMerge w:val="continue"/>
            <w:tcBorders>
              <w:tl2br w:val="nil"/>
              <w:tr2bl w:val="nil"/>
            </w:tcBorders>
            <w:tcMar>
              <w:top w:w="15" w:type="dxa"/>
              <w:left w:w="15" w:type="dxa"/>
              <w:right w:w="15" w:type="dxa"/>
            </w:tcMar>
            <w:vAlign w:val="center"/>
          </w:tcPr>
          <w:p w14:paraId="2BEB8A92">
            <w:pPr>
              <w:pStyle w:val="44"/>
              <w:rPr>
                <w:color w:val="auto"/>
              </w:rPr>
            </w:pPr>
          </w:p>
        </w:tc>
        <w:tc>
          <w:tcPr>
            <w:tcW w:w="1123" w:type="dxa"/>
            <w:vMerge w:val="continue"/>
            <w:tcBorders>
              <w:tl2br w:val="nil"/>
              <w:tr2bl w:val="nil"/>
            </w:tcBorders>
            <w:tcMar>
              <w:top w:w="15" w:type="dxa"/>
              <w:left w:w="15" w:type="dxa"/>
              <w:right w:w="15" w:type="dxa"/>
            </w:tcMar>
            <w:vAlign w:val="center"/>
          </w:tcPr>
          <w:p w14:paraId="6236DC45">
            <w:pPr>
              <w:pStyle w:val="44"/>
              <w:rPr>
                <w:color w:val="auto"/>
              </w:rPr>
            </w:pPr>
          </w:p>
        </w:tc>
        <w:tc>
          <w:tcPr>
            <w:tcW w:w="1125" w:type="dxa"/>
            <w:vMerge w:val="continue"/>
            <w:tcBorders>
              <w:tl2br w:val="nil"/>
              <w:tr2bl w:val="nil"/>
            </w:tcBorders>
            <w:tcMar>
              <w:top w:w="15" w:type="dxa"/>
              <w:left w:w="15" w:type="dxa"/>
              <w:right w:w="15" w:type="dxa"/>
            </w:tcMar>
            <w:vAlign w:val="center"/>
          </w:tcPr>
          <w:p w14:paraId="5D166DC8">
            <w:pPr>
              <w:pStyle w:val="44"/>
              <w:rPr>
                <w:color w:val="auto"/>
              </w:rPr>
            </w:pPr>
          </w:p>
        </w:tc>
      </w:tr>
      <w:tr w14:paraId="005540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02" w:type="dxa"/>
            <w:tcBorders>
              <w:tl2br w:val="nil"/>
              <w:tr2bl w:val="nil"/>
            </w:tcBorders>
            <w:tcMar>
              <w:top w:w="15" w:type="dxa"/>
              <w:left w:w="15" w:type="dxa"/>
              <w:right w:w="15" w:type="dxa"/>
            </w:tcMar>
            <w:vAlign w:val="center"/>
          </w:tcPr>
          <w:p w14:paraId="18409913">
            <w:pPr>
              <w:pStyle w:val="44"/>
              <w:rPr>
                <w:color w:val="auto"/>
              </w:rPr>
            </w:pPr>
            <w:r>
              <w:rPr>
                <w:color w:val="auto"/>
              </w:rPr>
              <w:t>梁滩河流域片区</w:t>
            </w:r>
          </w:p>
        </w:tc>
        <w:tc>
          <w:tcPr>
            <w:tcW w:w="914" w:type="dxa"/>
            <w:tcBorders>
              <w:tl2br w:val="nil"/>
              <w:tr2bl w:val="nil"/>
            </w:tcBorders>
            <w:tcMar>
              <w:top w:w="15" w:type="dxa"/>
              <w:left w:w="15" w:type="dxa"/>
              <w:right w:w="15" w:type="dxa"/>
            </w:tcMar>
            <w:vAlign w:val="center"/>
          </w:tcPr>
          <w:p w14:paraId="13AD2FC6">
            <w:pPr>
              <w:pStyle w:val="44"/>
              <w:rPr>
                <w:color w:val="auto"/>
              </w:rPr>
            </w:pPr>
            <w:r>
              <w:rPr>
                <w:color w:val="auto"/>
              </w:rPr>
              <w:t>5</w:t>
            </w:r>
          </w:p>
        </w:tc>
        <w:tc>
          <w:tcPr>
            <w:tcW w:w="968" w:type="dxa"/>
            <w:tcBorders>
              <w:tl2br w:val="nil"/>
              <w:tr2bl w:val="nil"/>
            </w:tcBorders>
            <w:tcMar>
              <w:top w:w="15" w:type="dxa"/>
              <w:left w:w="15" w:type="dxa"/>
              <w:right w:w="15" w:type="dxa"/>
            </w:tcMar>
            <w:vAlign w:val="center"/>
          </w:tcPr>
          <w:p w14:paraId="1DF9300E">
            <w:pPr>
              <w:pStyle w:val="44"/>
              <w:rPr>
                <w:color w:val="auto"/>
              </w:rPr>
            </w:pPr>
            <w:r>
              <w:rPr>
                <w:color w:val="auto"/>
              </w:rPr>
              <w:t>18</w:t>
            </w:r>
          </w:p>
        </w:tc>
        <w:tc>
          <w:tcPr>
            <w:tcW w:w="941" w:type="dxa"/>
            <w:tcBorders>
              <w:tl2br w:val="nil"/>
              <w:tr2bl w:val="nil"/>
            </w:tcBorders>
            <w:tcMar>
              <w:top w:w="15" w:type="dxa"/>
              <w:left w:w="15" w:type="dxa"/>
              <w:right w:w="15" w:type="dxa"/>
            </w:tcMar>
            <w:vAlign w:val="center"/>
          </w:tcPr>
          <w:p w14:paraId="4795E53D">
            <w:pPr>
              <w:pStyle w:val="44"/>
              <w:rPr>
                <w:color w:val="auto"/>
              </w:rPr>
            </w:pPr>
            <w:r>
              <w:rPr>
                <w:color w:val="auto"/>
              </w:rPr>
              <w:t>23</w:t>
            </w:r>
          </w:p>
        </w:tc>
        <w:tc>
          <w:tcPr>
            <w:tcW w:w="1121" w:type="dxa"/>
            <w:tcBorders>
              <w:tl2br w:val="nil"/>
              <w:tr2bl w:val="nil"/>
            </w:tcBorders>
            <w:tcMar>
              <w:top w:w="15" w:type="dxa"/>
              <w:left w:w="15" w:type="dxa"/>
              <w:right w:w="15" w:type="dxa"/>
            </w:tcMar>
            <w:vAlign w:val="center"/>
          </w:tcPr>
          <w:p w14:paraId="7285D5DF">
            <w:pPr>
              <w:pStyle w:val="44"/>
              <w:rPr>
                <w:color w:val="auto"/>
              </w:rPr>
            </w:pPr>
            <w:r>
              <w:rPr>
                <w:color w:val="auto"/>
              </w:rPr>
              <w:t>2523</w:t>
            </w:r>
          </w:p>
        </w:tc>
        <w:tc>
          <w:tcPr>
            <w:tcW w:w="1128" w:type="dxa"/>
            <w:tcBorders>
              <w:tl2br w:val="nil"/>
              <w:tr2bl w:val="nil"/>
            </w:tcBorders>
            <w:tcMar>
              <w:top w:w="15" w:type="dxa"/>
              <w:left w:w="15" w:type="dxa"/>
              <w:right w:w="15" w:type="dxa"/>
            </w:tcMar>
            <w:vAlign w:val="center"/>
          </w:tcPr>
          <w:p w14:paraId="10F7C70F">
            <w:pPr>
              <w:pStyle w:val="44"/>
              <w:rPr>
                <w:color w:val="auto"/>
              </w:rPr>
            </w:pPr>
            <w:r>
              <w:rPr>
                <w:color w:val="auto"/>
              </w:rPr>
              <w:t>1737</w:t>
            </w:r>
          </w:p>
        </w:tc>
        <w:tc>
          <w:tcPr>
            <w:tcW w:w="1123" w:type="dxa"/>
            <w:tcBorders>
              <w:tl2br w:val="nil"/>
              <w:tr2bl w:val="nil"/>
            </w:tcBorders>
            <w:tcMar>
              <w:top w:w="15" w:type="dxa"/>
              <w:left w:w="15" w:type="dxa"/>
              <w:right w:w="15" w:type="dxa"/>
            </w:tcMar>
            <w:vAlign w:val="center"/>
          </w:tcPr>
          <w:p w14:paraId="0AA2205B">
            <w:pPr>
              <w:pStyle w:val="44"/>
              <w:rPr>
                <w:color w:val="auto"/>
              </w:rPr>
            </w:pPr>
            <w:r>
              <w:rPr>
                <w:color w:val="auto"/>
              </w:rPr>
              <w:t>413</w:t>
            </w:r>
          </w:p>
        </w:tc>
        <w:tc>
          <w:tcPr>
            <w:tcW w:w="1125" w:type="dxa"/>
            <w:tcBorders>
              <w:tl2br w:val="nil"/>
              <w:tr2bl w:val="nil"/>
            </w:tcBorders>
            <w:tcMar>
              <w:top w:w="15" w:type="dxa"/>
              <w:left w:w="15" w:type="dxa"/>
              <w:right w:w="15" w:type="dxa"/>
            </w:tcMar>
            <w:vAlign w:val="center"/>
          </w:tcPr>
          <w:p w14:paraId="1988A259">
            <w:pPr>
              <w:pStyle w:val="44"/>
              <w:rPr>
                <w:color w:val="auto"/>
              </w:rPr>
            </w:pPr>
            <w:r>
              <w:rPr>
                <w:color w:val="auto"/>
              </w:rPr>
              <w:t>257</w:t>
            </w:r>
          </w:p>
        </w:tc>
      </w:tr>
      <w:tr w14:paraId="274720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02" w:type="dxa"/>
            <w:tcBorders>
              <w:tl2br w:val="nil"/>
              <w:tr2bl w:val="nil"/>
            </w:tcBorders>
            <w:tcMar>
              <w:top w:w="15" w:type="dxa"/>
              <w:left w:w="15" w:type="dxa"/>
              <w:right w:w="15" w:type="dxa"/>
            </w:tcMar>
            <w:vAlign w:val="center"/>
          </w:tcPr>
          <w:p w14:paraId="755C0154">
            <w:pPr>
              <w:pStyle w:val="44"/>
              <w:rPr>
                <w:color w:val="auto"/>
              </w:rPr>
            </w:pPr>
            <w:r>
              <w:rPr>
                <w:color w:val="auto"/>
              </w:rPr>
              <w:t>大溪河流域片区</w:t>
            </w:r>
          </w:p>
        </w:tc>
        <w:tc>
          <w:tcPr>
            <w:tcW w:w="914" w:type="dxa"/>
            <w:tcBorders>
              <w:tl2br w:val="nil"/>
              <w:tr2bl w:val="nil"/>
            </w:tcBorders>
            <w:tcMar>
              <w:top w:w="15" w:type="dxa"/>
              <w:left w:w="15" w:type="dxa"/>
              <w:right w:w="15" w:type="dxa"/>
            </w:tcMar>
            <w:vAlign w:val="center"/>
          </w:tcPr>
          <w:p w14:paraId="1DF9D2F6">
            <w:pPr>
              <w:pStyle w:val="44"/>
              <w:rPr>
                <w:color w:val="auto"/>
              </w:rPr>
            </w:pPr>
            <w:r>
              <w:rPr>
                <w:color w:val="auto"/>
              </w:rPr>
              <w:t>2</w:t>
            </w:r>
          </w:p>
        </w:tc>
        <w:tc>
          <w:tcPr>
            <w:tcW w:w="968" w:type="dxa"/>
            <w:tcBorders>
              <w:tl2br w:val="nil"/>
              <w:tr2bl w:val="nil"/>
            </w:tcBorders>
            <w:tcMar>
              <w:top w:w="15" w:type="dxa"/>
              <w:left w:w="15" w:type="dxa"/>
              <w:right w:w="15" w:type="dxa"/>
            </w:tcMar>
            <w:vAlign w:val="center"/>
          </w:tcPr>
          <w:p w14:paraId="3435E98B">
            <w:pPr>
              <w:pStyle w:val="44"/>
              <w:rPr>
                <w:color w:val="auto"/>
              </w:rPr>
            </w:pPr>
            <w:r>
              <w:rPr>
                <w:color w:val="auto"/>
              </w:rPr>
              <w:t>10</w:t>
            </w:r>
          </w:p>
        </w:tc>
        <w:tc>
          <w:tcPr>
            <w:tcW w:w="941" w:type="dxa"/>
            <w:tcBorders>
              <w:tl2br w:val="nil"/>
              <w:tr2bl w:val="nil"/>
            </w:tcBorders>
            <w:tcMar>
              <w:top w:w="15" w:type="dxa"/>
              <w:left w:w="15" w:type="dxa"/>
              <w:right w:w="15" w:type="dxa"/>
            </w:tcMar>
            <w:vAlign w:val="center"/>
          </w:tcPr>
          <w:p w14:paraId="4992D7F3">
            <w:pPr>
              <w:pStyle w:val="44"/>
              <w:rPr>
                <w:color w:val="auto"/>
              </w:rPr>
            </w:pPr>
            <w:r>
              <w:rPr>
                <w:color w:val="auto"/>
              </w:rPr>
              <w:t>12</w:t>
            </w:r>
          </w:p>
        </w:tc>
        <w:tc>
          <w:tcPr>
            <w:tcW w:w="1121" w:type="dxa"/>
            <w:tcBorders>
              <w:tl2br w:val="nil"/>
              <w:tr2bl w:val="nil"/>
            </w:tcBorders>
            <w:tcMar>
              <w:top w:w="15" w:type="dxa"/>
              <w:left w:w="15" w:type="dxa"/>
              <w:right w:w="15" w:type="dxa"/>
            </w:tcMar>
            <w:vAlign w:val="center"/>
          </w:tcPr>
          <w:p w14:paraId="32179F9D">
            <w:pPr>
              <w:pStyle w:val="44"/>
              <w:rPr>
                <w:color w:val="auto"/>
              </w:rPr>
            </w:pPr>
            <w:r>
              <w:rPr>
                <w:color w:val="auto"/>
              </w:rPr>
              <w:t>1138</w:t>
            </w:r>
          </w:p>
        </w:tc>
        <w:tc>
          <w:tcPr>
            <w:tcW w:w="1128" w:type="dxa"/>
            <w:tcBorders>
              <w:tl2br w:val="nil"/>
              <w:tr2bl w:val="nil"/>
            </w:tcBorders>
            <w:tcMar>
              <w:top w:w="15" w:type="dxa"/>
              <w:left w:w="15" w:type="dxa"/>
              <w:right w:w="15" w:type="dxa"/>
            </w:tcMar>
            <w:vAlign w:val="center"/>
          </w:tcPr>
          <w:p w14:paraId="1DD4B383">
            <w:pPr>
              <w:pStyle w:val="44"/>
              <w:rPr>
                <w:color w:val="auto"/>
              </w:rPr>
            </w:pPr>
            <w:r>
              <w:rPr>
                <w:color w:val="auto"/>
              </w:rPr>
              <w:t>483</w:t>
            </w:r>
          </w:p>
        </w:tc>
        <w:tc>
          <w:tcPr>
            <w:tcW w:w="1123" w:type="dxa"/>
            <w:tcBorders>
              <w:tl2br w:val="nil"/>
              <w:tr2bl w:val="nil"/>
            </w:tcBorders>
            <w:tcMar>
              <w:top w:w="15" w:type="dxa"/>
              <w:left w:w="15" w:type="dxa"/>
              <w:right w:w="15" w:type="dxa"/>
            </w:tcMar>
            <w:vAlign w:val="center"/>
          </w:tcPr>
          <w:p w14:paraId="7908477F">
            <w:pPr>
              <w:pStyle w:val="44"/>
              <w:rPr>
                <w:color w:val="auto"/>
              </w:rPr>
            </w:pPr>
            <w:r>
              <w:rPr>
                <w:color w:val="auto"/>
              </w:rPr>
              <w:t>663</w:t>
            </w:r>
          </w:p>
        </w:tc>
        <w:tc>
          <w:tcPr>
            <w:tcW w:w="1125" w:type="dxa"/>
            <w:tcBorders>
              <w:tl2br w:val="nil"/>
              <w:tr2bl w:val="nil"/>
            </w:tcBorders>
            <w:tcMar>
              <w:top w:w="15" w:type="dxa"/>
              <w:left w:w="15" w:type="dxa"/>
              <w:right w:w="15" w:type="dxa"/>
            </w:tcMar>
            <w:vAlign w:val="center"/>
          </w:tcPr>
          <w:p w14:paraId="38CB4A48">
            <w:pPr>
              <w:pStyle w:val="44"/>
              <w:rPr>
                <w:color w:val="auto"/>
              </w:rPr>
            </w:pPr>
            <w:r>
              <w:rPr>
                <w:color w:val="auto"/>
              </w:rPr>
              <w:t>250</w:t>
            </w:r>
          </w:p>
        </w:tc>
      </w:tr>
      <w:tr w14:paraId="69D45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02" w:type="dxa"/>
            <w:tcBorders>
              <w:tl2br w:val="nil"/>
              <w:tr2bl w:val="nil"/>
            </w:tcBorders>
            <w:tcMar>
              <w:top w:w="15" w:type="dxa"/>
              <w:left w:w="15" w:type="dxa"/>
              <w:right w:w="15" w:type="dxa"/>
            </w:tcMar>
            <w:vAlign w:val="center"/>
          </w:tcPr>
          <w:p w14:paraId="37F278B9">
            <w:pPr>
              <w:pStyle w:val="44"/>
              <w:rPr>
                <w:color w:val="auto"/>
              </w:rPr>
            </w:pPr>
            <w:r>
              <w:rPr>
                <w:color w:val="auto"/>
              </w:rPr>
              <w:t>跳蹬河流域片区</w:t>
            </w:r>
          </w:p>
        </w:tc>
        <w:tc>
          <w:tcPr>
            <w:tcW w:w="914" w:type="dxa"/>
            <w:tcBorders>
              <w:tl2br w:val="nil"/>
              <w:tr2bl w:val="nil"/>
            </w:tcBorders>
            <w:tcMar>
              <w:top w:w="15" w:type="dxa"/>
              <w:left w:w="15" w:type="dxa"/>
              <w:right w:w="15" w:type="dxa"/>
            </w:tcMar>
            <w:vAlign w:val="center"/>
          </w:tcPr>
          <w:p w14:paraId="66DB62C6">
            <w:pPr>
              <w:pStyle w:val="44"/>
              <w:rPr>
                <w:color w:val="auto"/>
              </w:rPr>
            </w:pPr>
            <w:r>
              <w:rPr>
                <w:color w:val="auto"/>
              </w:rPr>
              <w:t>1</w:t>
            </w:r>
          </w:p>
        </w:tc>
        <w:tc>
          <w:tcPr>
            <w:tcW w:w="968" w:type="dxa"/>
            <w:tcBorders>
              <w:tl2br w:val="nil"/>
              <w:tr2bl w:val="nil"/>
            </w:tcBorders>
            <w:tcMar>
              <w:top w:w="15" w:type="dxa"/>
              <w:left w:w="15" w:type="dxa"/>
              <w:right w:w="15" w:type="dxa"/>
            </w:tcMar>
            <w:vAlign w:val="center"/>
          </w:tcPr>
          <w:p w14:paraId="31BEB1E9">
            <w:pPr>
              <w:pStyle w:val="44"/>
              <w:rPr>
                <w:color w:val="auto"/>
              </w:rPr>
            </w:pPr>
            <w:r>
              <w:rPr>
                <w:color w:val="auto"/>
              </w:rPr>
              <w:t>1</w:t>
            </w:r>
          </w:p>
        </w:tc>
        <w:tc>
          <w:tcPr>
            <w:tcW w:w="941" w:type="dxa"/>
            <w:tcBorders>
              <w:tl2br w:val="nil"/>
              <w:tr2bl w:val="nil"/>
            </w:tcBorders>
            <w:tcMar>
              <w:top w:w="15" w:type="dxa"/>
              <w:left w:w="15" w:type="dxa"/>
              <w:right w:w="15" w:type="dxa"/>
            </w:tcMar>
            <w:vAlign w:val="center"/>
          </w:tcPr>
          <w:p w14:paraId="28A6B41E">
            <w:pPr>
              <w:pStyle w:val="44"/>
              <w:rPr>
                <w:color w:val="auto"/>
              </w:rPr>
            </w:pPr>
            <w:r>
              <w:rPr>
                <w:color w:val="auto"/>
              </w:rPr>
              <w:t>2</w:t>
            </w:r>
          </w:p>
        </w:tc>
        <w:tc>
          <w:tcPr>
            <w:tcW w:w="1121" w:type="dxa"/>
            <w:tcBorders>
              <w:tl2br w:val="nil"/>
              <w:tr2bl w:val="nil"/>
            </w:tcBorders>
            <w:tcMar>
              <w:top w:w="15" w:type="dxa"/>
              <w:left w:w="15" w:type="dxa"/>
              <w:right w:w="15" w:type="dxa"/>
            </w:tcMar>
            <w:vAlign w:val="center"/>
          </w:tcPr>
          <w:p w14:paraId="6A41DB22">
            <w:pPr>
              <w:pStyle w:val="44"/>
              <w:rPr>
                <w:color w:val="auto"/>
              </w:rPr>
            </w:pPr>
            <w:r>
              <w:rPr>
                <w:color w:val="auto"/>
              </w:rPr>
              <w:t>260</w:t>
            </w:r>
          </w:p>
        </w:tc>
        <w:tc>
          <w:tcPr>
            <w:tcW w:w="1128" w:type="dxa"/>
            <w:tcBorders>
              <w:tl2br w:val="nil"/>
              <w:tr2bl w:val="nil"/>
            </w:tcBorders>
            <w:tcMar>
              <w:top w:w="15" w:type="dxa"/>
              <w:left w:w="15" w:type="dxa"/>
              <w:right w:w="15" w:type="dxa"/>
            </w:tcMar>
            <w:vAlign w:val="center"/>
          </w:tcPr>
          <w:p w14:paraId="7B36B76A">
            <w:pPr>
              <w:pStyle w:val="44"/>
              <w:rPr>
                <w:color w:val="auto"/>
              </w:rPr>
            </w:pPr>
            <w:r>
              <w:rPr>
                <w:color w:val="auto"/>
              </w:rPr>
              <w:t>172</w:t>
            </w:r>
          </w:p>
        </w:tc>
        <w:tc>
          <w:tcPr>
            <w:tcW w:w="1123" w:type="dxa"/>
            <w:tcBorders>
              <w:tl2br w:val="nil"/>
              <w:tr2bl w:val="nil"/>
            </w:tcBorders>
            <w:tcMar>
              <w:top w:w="15" w:type="dxa"/>
              <w:left w:w="15" w:type="dxa"/>
              <w:right w:w="15" w:type="dxa"/>
            </w:tcMar>
            <w:vAlign w:val="center"/>
          </w:tcPr>
          <w:p w14:paraId="25627F5B">
            <w:pPr>
              <w:pStyle w:val="44"/>
              <w:rPr>
                <w:color w:val="auto"/>
              </w:rPr>
            </w:pPr>
            <w:r>
              <w:rPr>
                <w:color w:val="auto"/>
              </w:rPr>
              <w:t>5</w:t>
            </w:r>
          </w:p>
        </w:tc>
        <w:tc>
          <w:tcPr>
            <w:tcW w:w="1125" w:type="dxa"/>
            <w:tcBorders>
              <w:tl2br w:val="nil"/>
              <w:tr2bl w:val="nil"/>
            </w:tcBorders>
            <w:tcMar>
              <w:top w:w="15" w:type="dxa"/>
              <w:left w:w="15" w:type="dxa"/>
              <w:right w:w="15" w:type="dxa"/>
            </w:tcMar>
            <w:vAlign w:val="center"/>
          </w:tcPr>
          <w:p w14:paraId="102FBA09">
            <w:pPr>
              <w:pStyle w:val="44"/>
              <w:rPr>
                <w:color w:val="auto"/>
              </w:rPr>
            </w:pPr>
            <w:r>
              <w:rPr>
                <w:color w:val="auto"/>
              </w:rPr>
              <w:t>6</w:t>
            </w:r>
          </w:p>
        </w:tc>
      </w:tr>
      <w:tr w14:paraId="64321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02" w:type="dxa"/>
            <w:tcBorders>
              <w:tl2br w:val="nil"/>
              <w:tr2bl w:val="nil"/>
            </w:tcBorders>
            <w:tcMar>
              <w:top w:w="15" w:type="dxa"/>
              <w:left w:w="15" w:type="dxa"/>
              <w:right w:w="15" w:type="dxa"/>
            </w:tcMar>
            <w:vAlign w:val="center"/>
          </w:tcPr>
          <w:p w14:paraId="488E7D30">
            <w:pPr>
              <w:pStyle w:val="44"/>
              <w:rPr>
                <w:color w:val="auto"/>
              </w:rPr>
            </w:pPr>
            <w:r>
              <w:rPr>
                <w:color w:val="auto"/>
              </w:rPr>
              <w:t>合计</w:t>
            </w:r>
          </w:p>
        </w:tc>
        <w:tc>
          <w:tcPr>
            <w:tcW w:w="914" w:type="dxa"/>
            <w:tcBorders>
              <w:tl2br w:val="nil"/>
              <w:tr2bl w:val="nil"/>
            </w:tcBorders>
            <w:tcMar>
              <w:top w:w="15" w:type="dxa"/>
              <w:left w:w="15" w:type="dxa"/>
              <w:right w:w="15" w:type="dxa"/>
            </w:tcMar>
            <w:vAlign w:val="center"/>
          </w:tcPr>
          <w:p w14:paraId="598C6A96">
            <w:pPr>
              <w:pStyle w:val="44"/>
              <w:rPr>
                <w:color w:val="auto"/>
              </w:rPr>
            </w:pPr>
            <w:r>
              <w:rPr>
                <w:color w:val="auto"/>
              </w:rPr>
              <w:t>8</w:t>
            </w:r>
          </w:p>
        </w:tc>
        <w:tc>
          <w:tcPr>
            <w:tcW w:w="968" w:type="dxa"/>
            <w:tcBorders>
              <w:tl2br w:val="nil"/>
              <w:tr2bl w:val="nil"/>
            </w:tcBorders>
            <w:tcMar>
              <w:top w:w="15" w:type="dxa"/>
              <w:left w:w="15" w:type="dxa"/>
              <w:right w:w="15" w:type="dxa"/>
            </w:tcMar>
            <w:vAlign w:val="center"/>
          </w:tcPr>
          <w:p w14:paraId="2B22DD79">
            <w:pPr>
              <w:pStyle w:val="44"/>
              <w:rPr>
                <w:color w:val="auto"/>
              </w:rPr>
            </w:pPr>
            <w:r>
              <w:rPr>
                <w:color w:val="auto"/>
              </w:rPr>
              <w:t>29</w:t>
            </w:r>
          </w:p>
        </w:tc>
        <w:tc>
          <w:tcPr>
            <w:tcW w:w="941" w:type="dxa"/>
            <w:tcBorders>
              <w:tl2br w:val="nil"/>
              <w:tr2bl w:val="nil"/>
            </w:tcBorders>
            <w:tcMar>
              <w:top w:w="15" w:type="dxa"/>
              <w:left w:w="15" w:type="dxa"/>
              <w:right w:w="15" w:type="dxa"/>
            </w:tcMar>
            <w:vAlign w:val="center"/>
          </w:tcPr>
          <w:p w14:paraId="351197ED">
            <w:pPr>
              <w:pStyle w:val="44"/>
              <w:rPr>
                <w:color w:val="auto"/>
              </w:rPr>
            </w:pPr>
            <w:r>
              <w:rPr>
                <w:color w:val="auto"/>
              </w:rPr>
              <w:t>37</w:t>
            </w:r>
          </w:p>
        </w:tc>
        <w:tc>
          <w:tcPr>
            <w:tcW w:w="1121" w:type="dxa"/>
            <w:tcBorders>
              <w:tl2br w:val="nil"/>
              <w:tr2bl w:val="nil"/>
            </w:tcBorders>
            <w:tcMar>
              <w:top w:w="15" w:type="dxa"/>
              <w:left w:w="15" w:type="dxa"/>
              <w:right w:w="15" w:type="dxa"/>
            </w:tcMar>
            <w:vAlign w:val="center"/>
          </w:tcPr>
          <w:p w14:paraId="3F79EBB9">
            <w:pPr>
              <w:pStyle w:val="44"/>
              <w:rPr>
                <w:color w:val="auto"/>
              </w:rPr>
            </w:pPr>
            <w:r>
              <w:rPr>
                <w:color w:val="auto"/>
              </w:rPr>
              <w:t>3921</w:t>
            </w:r>
          </w:p>
        </w:tc>
        <w:tc>
          <w:tcPr>
            <w:tcW w:w="1128" w:type="dxa"/>
            <w:tcBorders>
              <w:tl2br w:val="nil"/>
              <w:tr2bl w:val="nil"/>
            </w:tcBorders>
            <w:tcMar>
              <w:top w:w="15" w:type="dxa"/>
              <w:left w:w="15" w:type="dxa"/>
              <w:right w:w="15" w:type="dxa"/>
            </w:tcMar>
            <w:vAlign w:val="center"/>
          </w:tcPr>
          <w:p w14:paraId="5B246A3D">
            <w:pPr>
              <w:pStyle w:val="44"/>
              <w:rPr>
                <w:color w:val="auto"/>
              </w:rPr>
            </w:pPr>
            <w:r>
              <w:rPr>
                <w:color w:val="auto"/>
              </w:rPr>
              <w:t>2392</w:t>
            </w:r>
          </w:p>
        </w:tc>
        <w:tc>
          <w:tcPr>
            <w:tcW w:w="1123" w:type="dxa"/>
            <w:tcBorders>
              <w:tl2br w:val="nil"/>
              <w:tr2bl w:val="nil"/>
            </w:tcBorders>
            <w:tcMar>
              <w:top w:w="15" w:type="dxa"/>
              <w:left w:w="15" w:type="dxa"/>
              <w:right w:w="15" w:type="dxa"/>
            </w:tcMar>
            <w:vAlign w:val="center"/>
          </w:tcPr>
          <w:p w14:paraId="5C368F55">
            <w:pPr>
              <w:pStyle w:val="44"/>
              <w:rPr>
                <w:color w:val="auto"/>
              </w:rPr>
            </w:pPr>
            <w:r>
              <w:rPr>
                <w:color w:val="auto"/>
              </w:rPr>
              <w:t>1081</w:t>
            </w:r>
          </w:p>
        </w:tc>
        <w:tc>
          <w:tcPr>
            <w:tcW w:w="1125" w:type="dxa"/>
            <w:tcBorders>
              <w:tl2br w:val="nil"/>
              <w:tr2bl w:val="nil"/>
            </w:tcBorders>
            <w:tcMar>
              <w:top w:w="15" w:type="dxa"/>
              <w:left w:w="15" w:type="dxa"/>
              <w:right w:w="15" w:type="dxa"/>
            </w:tcMar>
            <w:vAlign w:val="center"/>
          </w:tcPr>
          <w:p w14:paraId="78A08D7E">
            <w:pPr>
              <w:pStyle w:val="44"/>
              <w:rPr>
                <w:color w:val="auto"/>
              </w:rPr>
            </w:pPr>
            <w:r>
              <w:rPr>
                <w:color w:val="auto"/>
              </w:rPr>
              <w:t>514</w:t>
            </w:r>
          </w:p>
        </w:tc>
      </w:tr>
    </w:tbl>
    <w:p w14:paraId="30C5AF68">
      <w:pPr>
        <w:ind w:firstLine="480"/>
        <w:rPr>
          <w:color w:val="auto"/>
        </w:rPr>
      </w:pPr>
      <w:r>
        <w:rPr>
          <w:color w:val="auto"/>
        </w:rPr>
        <w:t>（2）引提水工程</w:t>
      </w:r>
    </w:p>
    <w:p w14:paraId="67A9E044">
      <w:pPr>
        <w:ind w:firstLine="480"/>
        <w:rPr>
          <w:color w:val="auto"/>
        </w:rPr>
      </w:pPr>
      <w:r>
        <w:rPr>
          <w:color w:val="auto"/>
        </w:rPr>
        <w:t>根据调查统计，</w:t>
      </w:r>
      <w:r>
        <w:rPr>
          <w:rFonts w:hint="eastAsia"/>
          <w:bCs/>
          <w:color w:val="auto"/>
        </w:rPr>
        <w:t>九龙坡</w:t>
      </w:r>
      <w:r>
        <w:rPr>
          <w:rFonts w:hint="eastAsia"/>
          <w:color w:val="auto"/>
        </w:rPr>
        <w:t>区</w:t>
      </w:r>
      <w:r>
        <w:rPr>
          <w:color w:val="auto"/>
        </w:rPr>
        <w:t>现状无引水工程，有提水工程</w:t>
      </w:r>
      <w:r>
        <w:rPr>
          <w:rFonts w:hint="eastAsia"/>
          <w:color w:val="auto"/>
        </w:rPr>
        <w:t>12</w:t>
      </w:r>
      <w:r>
        <w:rPr>
          <w:color w:val="auto"/>
        </w:rPr>
        <w:t>处，其中规模以下提水工程</w:t>
      </w:r>
      <w:r>
        <w:rPr>
          <w:rFonts w:hint="eastAsia"/>
          <w:color w:val="auto"/>
        </w:rPr>
        <w:t>5</w:t>
      </w:r>
      <w:r>
        <w:rPr>
          <w:color w:val="auto"/>
        </w:rPr>
        <w:t>处，规模以上提水工程</w:t>
      </w:r>
      <w:r>
        <w:rPr>
          <w:rFonts w:hint="eastAsia"/>
          <w:color w:val="auto"/>
        </w:rPr>
        <w:t>7</w:t>
      </w:r>
      <w:r>
        <w:rPr>
          <w:color w:val="auto"/>
        </w:rPr>
        <w:t>座，其中重庆润龙水资源开发有限公司仅在</w:t>
      </w:r>
      <w:r>
        <w:rPr>
          <w:rFonts w:hint="eastAsia"/>
          <w:color w:val="auto"/>
        </w:rPr>
        <w:t>规划区</w:t>
      </w:r>
      <w:r>
        <w:rPr>
          <w:color w:val="auto"/>
        </w:rPr>
        <w:t>内取水，不向</w:t>
      </w:r>
      <w:r>
        <w:rPr>
          <w:rFonts w:hint="eastAsia"/>
          <w:color w:val="auto"/>
        </w:rPr>
        <w:t>规划区</w:t>
      </w:r>
      <w:r>
        <w:rPr>
          <w:color w:val="auto"/>
        </w:rPr>
        <w:t>供水。另外，沙坪坝水厂、丰收坝水厂分别位于沙坪坝区境内和大渡口区境内，但</w:t>
      </w:r>
      <w:r>
        <w:rPr>
          <w:rFonts w:hint="eastAsia"/>
          <w:color w:val="auto"/>
        </w:rPr>
        <w:t>均</w:t>
      </w:r>
      <w:r>
        <w:rPr>
          <w:color w:val="auto"/>
        </w:rPr>
        <w:t>为</w:t>
      </w:r>
      <w:r>
        <w:rPr>
          <w:rFonts w:hint="eastAsia"/>
          <w:color w:val="auto"/>
        </w:rPr>
        <w:t>规划区</w:t>
      </w:r>
      <w:r>
        <w:rPr>
          <w:color w:val="auto"/>
        </w:rPr>
        <w:t>供水，其中沙坪坝水厂</w:t>
      </w:r>
      <w:r>
        <w:rPr>
          <w:rFonts w:hint="eastAsia"/>
          <w:color w:val="auto"/>
        </w:rPr>
        <w:t>设计</w:t>
      </w:r>
      <w:r>
        <w:rPr>
          <w:color w:val="auto"/>
        </w:rPr>
        <w:t>规模20万m³/d</w:t>
      </w:r>
      <w:r>
        <w:rPr>
          <w:rFonts w:hint="eastAsia"/>
          <w:color w:val="auto"/>
        </w:rPr>
        <w:t>，</w:t>
      </w:r>
      <w:r>
        <w:rPr>
          <w:color w:val="auto"/>
        </w:rPr>
        <w:t>丰收坝水厂</w:t>
      </w:r>
      <w:r>
        <w:rPr>
          <w:rFonts w:hint="eastAsia"/>
          <w:color w:val="auto"/>
        </w:rPr>
        <w:t>设计</w:t>
      </w:r>
      <w:r>
        <w:rPr>
          <w:color w:val="auto"/>
        </w:rPr>
        <w:t>规模20万m³/d。</w:t>
      </w:r>
      <w:r>
        <w:rPr>
          <w:rFonts w:hint="eastAsia"/>
          <w:color w:val="auto"/>
        </w:rPr>
        <w:t>九龙坡区内引提水工程统计</w:t>
      </w:r>
      <w:r>
        <w:rPr>
          <w:color w:val="auto"/>
        </w:rPr>
        <w:t>情况见表</w:t>
      </w:r>
      <w:r>
        <w:rPr>
          <w:rFonts w:hint="eastAsia"/>
          <w:color w:val="auto"/>
        </w:rPr>
        <w:t>3.2-4</w:t>
      </w:r>
      <w:r>
        <w:rPr>
          <w:color w:val="auto"/>
        </w:rPr>
        <w:t>。</w:t>
      </w:r>
    </w:p>
    <w:p w14:paraId="0E5BA35F">
      <w:pPr>
        <w:pStyle w:val="43"/>
        <w:rPr>
          <w:color w:val="auto"/>
        </w:rPr>
      </w:pPr>
      <w:r>
        <w:rPr>
          <w:color w:val="auto"/>
        </w:rPr>
        <w:t>表</w:t>
      </w:r>
      <w:r>
        <w:rPr>
          <w:rFonts w:hint="eastAsia"/>
          <w:color w:val="auto"/>
        </w:rPr>
        <w:t>3.2-4                  九龙坡区内引提水工程统计表</w:t>
      </w:r>
    </w:p>
    <w:tbl>
      <w:tblPr>
        <w:tblStyle w:val="21"/>
        <w:tblW w:w="89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1"/>
        <w:gridCol w:w="3103"/>
        <w:gridCol w:w="2040"/>
        <w:gridCol w:w="1695"/>
        <w:gridCol w:w="1209"/>
      </w:tblGrid>
      <w:tr w14:paraId="69D65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81" w:type="dxa"/>
            <w:tcBorders>
              <w:tl2br w:val="nil"/>
              <w:tr2bl w:val="nil"/>
            </w:tcBorders>
            <w:tcMar>
              <w:top w:w="15" w:type="dxa"/>
              <w:left w:w="15" w:type="dxa"/>
              <w:right w:w="15" w:type="dxa"/>
            </w:tcMar>
            <w:vAlign w:val="center"/>
          </w:tcPr>
          <w:p w14:paraId="6E3BE26F">
            <w:pPr>
              <w:pStyle w:val="44"/>
              <w:rPr>
                <w:color w:val="auto"/>
              </w:rPr>
            </w:pPr>
            <w:r>
              <w:rPr>
                <w:color w:val="auto"/>
              </w:rPr>
              <w:t>序号</w:t>
            </w:r>
          </w:p>
        </w:tc>
        <w:tc>
          <w:tcPr>
            <w:tcW w:w="3103" w:type="dxa"/>
            <w:tcBorders>
              <w:tl2br w:val="nil"/>
              <w:tr2bl w:val="nil"/>
            </w:tcBorders>
            <w:tcMar>
              <w:top w:w="15" w:type="dxa"/>
              <w:left w:w="15" w:type="dxa"/>
              <w:right w:w="15" w:type="dxa"/>
            </w:tcMar>
            <w:vAlign w:val="center"/>
          </w:tcPr>
          <w:p w14:paraId="61FF909C">
            <w:pPr>
              <w:pStyle w:val="44"/>
              <w:rPr>
                <w:color w:val="auto"/>
              </w:rPr>
            </w:pPr>
            <w:r>
              <w:rPr>
                <w:color w:val="auto"/>
              </w:rPr>
              <w:t>工程名称</w:t>
            </w:r>
          </w:p>
        </w:tc>
        <w:tc>
          <w:tcPr>
            <w:tcW w:w="2040" w:type="dxa"/>
            <w:tcBorders>
              <w:tl2br w:val="nil"/>
              <w:tr2bl w:val="nil"/>
            </w:tcBorders>
            <w:tcMar>
              <w:top w:w="15" w:type="dxa"/>
              <w:left w:w="15" w:type="dxa"/>
              <w:right w:w="15" w:type="dxa"/>
            </w:tcMar>
            <w:vAlign w:val="center"/>
          </w:tcPr>
          <w:p w14:paraId="4A3CF438">
            <w:pPr>
              <w:pStyle w:val="44"/>
              <w:rPr>
                <w:color w:val="auto"/>
              </w:rPr>
            </w:pPr>
            <w:r>
              <w:rPr>
                <w:color w:val="auto"/>
              </w:rPr>
              <w:t>取水</w:t>
            </w:r>
            <w:r>
              <w:rPr>
                <w:rFonts w:hint="eastAsia"/>
                <w:color w:val="auto"/>
              </w:rPr>
              <w:t>地点</w:t>
            </w:r>
          </w:p>
        </w:tc>
        <w:tc>
          <w:tcPr>
            <w:tcW w:w="1695" w:type="dxa"/>
            <w:tcBorders>
              <w:tl2br w:val="nil"/>
              <w:tr2bl w:val="nil"/>
            </w:tcBorders>
            <w:tcMar>
              <w:top w:w="15" w:type="dxa"/>
              <w:left w:w="15" w:type="dxa"/>
              <w:right w:w="15" w:type="dxa"/>
            </w:tcMar>
            <w:vAlign w:val="center"/>
          </w:tcPr>
          <w:p w14:paraId="20C1D74A">
            <w:pPr>
              <w:pStyle w:val="44"/>
              <w:rPr>
                <w:color w:val="auto"/>
              </w:rPr>
            </w:pPr>
            <w:r>
              <w:rPr>
                <w:rFonts w:hint="eastAsia"/>
                <w:color w:val="auto"/>
              </w:rPr>
              <w:t>许可</w:t>
            </w:r>
            <w:r>
              <w:rPr>
                <w:color w:val="auto"/>
              </w:rPr>
              <w:t>水量（万m³）</w:t>
            </w:r>
          </w:p>
        </w:tc>
        <w:tc>
          <w:tcPr>
            <w:tcW w:w="1209" w:type="dxa"/>
            <w:tcBorders>
              <w:tl2br w:val="nil"/>
              <w:tr2bl w:val="nil"/>
            </w:tcBorders>
            <w:tcMar>
              <w:top w:w="15" w:type="dxa"/>
              <w:left w:w="15" w:type="dxa"/>
              <w:right w:w="15" w:type="dxa"/>
            </w:tcMar>
            <w:vAlign w:val="center"/>
          </w:tcPr>
          <w:p w14:paraId="31442D4C">
            <w:pPr>
              <w:pStyle w:val="44"/>
              <w:rPr>
                <w:color w:val="auto"/>
              </w:rPr>
            </w:pPr>
            <w:r>
              <w:rPr>
                <w:color w:val="auto"/>
              </w:rPr>
              <w:t>备注</w:t>
            </w:r>
          </w:p>
        </w:tc>
      </w:tr>
      <w:tr w14:paraId="34BF17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044F1B0C">
            <w:pPr>
              <w:pStyle w:val="44"/>
              <w:rPr>
                <w:color w:val="auto"/>
              </w:rPr>
            </w:pPr>
            <w:r>
              <w:rPr>
                <w:color w:val="auto"/>
              </w:rPr>
              <w:t>1</w:t>
            </w:r>
          </w:p>
        </w:tc>
        <w:tc>
          <w:tcPr>
            <w:tcW w:w="3103" w:type="dxa"/>
            <w:tcBorders>
              <w:tl2br w:val="nil"/>
              <w:tr2bl w:val="nil"/>
            </w:tcBorders>
            <w:tcMar>
              <w:top w:w="15" w:type="dxa"/>
              <w:left w:w="15" w:type="dxa"/>
              <w:right w:w="15" w:type="dxa"/>
            </w:tcMar>
            <w:vAlign w:val="center"/>
          </w:tcPr>
          <w:p w14:paraId="2A93D832">
            <w:pPr>
              <w:pStyle w:val="44"/>
              <w:rPr>
                <w:color w:val="auto"/>
              </w:rPr>
            </w:pPr>
            <w:r>
              <w:rPr>
                <w:color w:val="auto"/>
              </w:rPr>
              <w:t xml:space="preserve">重庆和友实业股份有限公司 </w:t>
            </w:r>
          </w:p>
        </w:tc>
        <w:tc>
          <w:tcPr>
            <w:tcW w:w="2040" w:type="dxa"/>
            <w:tcBorders>
              <w:tl2br w:val="nil"/>
              <w:tr2bl w:val="nil"/>
            </w:tcBorders>
            <w:tcMar>
              <w:top w:w="15" w:type="dxa"/>
              <w:left w:w="15" w:type="dxa"/>
              <w:right w:w="15" w:type="dxa"/>
            </w:tcMar>
            <w:vAlign w:val="center"/>
          </w:tcPr>
          <w:p w14:paraId="112753CD">
            <w:pPr>
              <w:pStyle w:val="44"/>
              <w:rPr>
                <w:color w:val="auto"/>
              </w:rPr>
            </w:pPr>
            <w:r>
              <w:rPr>
                <w:color w:val="auto"/>
              </w:rPr>
              <w:t>铜罐驿镇上横梁</w:t>
            </w:r>
          </w:p>
        </w:tc>
        <w:tc>
          <w:tcPr>
            <w:tcW w:w="1695" w:type="dxa"/>
            <w:tcBorders>
              <w:tl2br w:val="nil"/>
              <w:tr2bl w:val="nil"/>
            </w:tcBorders>
            <w:tcMar>
              <w:top w:w="15" w:type="dxa"/>
              <w:left w:w="15" w:type="dxa"/>
              <w:right w:w="15" w:type="dxa"/>
            </w:tcMar>
            <w:vAlign w:val="center"/>
          </w:tcPr>
          <w:p w14:paraId="1F3A0BE1">
            <w:pPr>
              <w:pStyle w:val="44"/>
              <w:rPr>
                <w:color w:val="auto"/>
              </w:rPr>
            </w:pPr>
            <w:r>
              <w:rPr>
                <w:rFonts w:hint="eastAsia"/>
                <w:color w:val="auto"/>
              </w:rPr>
              <w:t>200</w:t>
            </w:r>
          </w:p>
        </w:tc>
        <w:tc>
          <w:tcPr>
            <w:tcW w:w="1209" w:type="dxa"/>
            <w:tcBorders>
              <w:tl2br w:val="nil"/>
              <w:tr2bl w:val="nil"/>
            </w:tcBorders>
            <w:tcMar>
              <w:top w:w="15" w:type="dxa"/>
              <w:left w:w="15" w:type="dxa"/>
              <w:right w:w="15" w:type="dxa"/>
            </w:tcMar>
            <w:vAlign w:val="center"/>
          </w:tcPr>
          <w:p w14:paraId="2116A384">
            <w:pPr>
              <w:pStyle w:val="44"/>
              <w:rPr>
                <w:color w:val="auto"/>
              </w:rPr>
            </w:pPr>
          </w:p>
        </w:tc>
      </w:tr>
      <w:tr w14:paraId="3B858B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01639C27">
            <w:pPr>
              <w:pStyle w:val="44"/>
              <w:rPr>
                <w:color w:val="auto"/>
              </w:rPr>
            </w:pPr>
            <w:r>
              <w:rPr>
                <w:color w:val="auto"/>
              </w:rPr>
              <w:t>2</w:t>
            </w:r>
          </w:p>
        </w:tc>
        <w:tc>
          <w:tcPr>
            <w:tcW w:w="3103" w:type="dxa"/>
            <w:tcBorders>
              <w:tl2br w:val="nil"/>
              <w:tr2bl w:val="nil"/>
            </w:tcBorders>
            <w:tcMar>
              <w:top w:w="15" w:type="dxa"/>
              <w:left w:w="15" w:type="dxa"/>
              <w:right w:w="15" w:type="dxa"/>
            </w:tcMar>
            <w:vAlign w:val="center"/>
          </w:tcPr>
          <w:p w14:paraId="63A803DD">
            <w:pPr>
              <w:pStyle w:val="44"/>
              <w:rPr>
                <w:color w:val="auto"/>
              </w:rPr>
            </w:pPr>
            <w:r>
              <w:rPr>
                <w:color w:val="auto"/>
              </w:rPr>
              <w:t>重庆川维物流有限公司储运公司</w:t>
            </w:r>
          </w:p>
        </w:tc>
        <w:tc>
          <w:tcPr>
            <w:tcW w:w="2040" w:type="dxa"/>
            <w:tcBorders>
              <w:tl2br w:val="nil"/>
              <w:tr2bl w:val="nil"/>
            </w:tcBorders>
            <w:tcMar>
              <w:top w:w="15" w:type="dxa"/>
              <w:left w:w="15" w:type="dxa"/>
              <w:right w:w="15" w:type="dxa"/>
            </w:tcMar>
            <w:vAlign w:val="center"/>
          </w:tcPr>
          <w:p w14:paraId="5F3845C2">
            <w:pPr>
              <w:pStyle w:val="44"/>
              <w:rPr>
                <w:color w:val="auto"/>
              </w:rPr>
            </w:pPr>
            <w:r>
              <w:rPr>
                <w:color w:val="auto"/>
              </w:rPr>
              <w:t>黄谦李家河</w:t>
            </w:r>
          </w:p>
        </w:tc>
        <w:tc>
          <w:tcPr>
            <w:tcW w:w="1695" w:type="dxa"/>
            <w:tcBorders>
              <w:tl2br w:val="nil"/>
              <w:tr2bl w:val="nil"/>
            </w:tcBorders>
            <w:tcMar>
              <w:top w:w="15" w:type="dxa"/>
              <w:left w:w="15" w:type="dxa"/>
              <w:right w:w="15" w:type="dxa"/>
            </w:tcMar>
            <w:vAlign w:val="center"/>
          </w:tcPr>
          <w:p w14:paraId="16FA1FCE">
            <w:pPr>
              <w:pStyle w:val="44"/>
              <w:rPr>
                <w:color w:val="auto"/>
              </w:rPr>
            </w:pPr>
            <w:r>
              <w:rPr>
                <w:rFonts w:hint="eastAsia"/>
                <w:color w:val="auto"/>
              </w:rPr>
              <w:t>9.8</w:t>
            </w:r>
          </w:p>
        </w:tc>
        <w:tc>
          <w:tcPr>
            <w:tcW w:w="1209" w:type="dxa"/>
            <w:tcBorders>
              <w:tl2br w:val="nil"/>
              <w:tr2bl w:val="nil"/>
            </w:tcBorders>
            <w:tcMar>
              <w:top w:w="15" w:type="dxa"/>
              <w:left w:w="15" w:type="dxa"/>
              <w:right w:w="15" w:type="dxa"/>
            </w:tcMar>
            <w:vAlign w:val="center"/>
          </w:tcPr>
          <w:p w14:paraId="70D9511F">
            <w:pPr>
              <w:pStyle w:val="44"/>
              <w:rPr>
                <w:color w:val="auto"/>
              </w:rPr>
            </w:pPr>
          </w:p>
        </w:tc>
      </w:tr>
      <w:tr w14:paraId="69DDD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4A1E6E4E">
            <w:pPr>
              <w:pStyle w:val="44"/>
              <w:rPr>
                <w:color w:val="auto"/>
              </w:rPr>
            </w:pPr>
            <w:r>
              <w:rPr>
                <w:color w:val="auto"/>
              </w:rPr>
              <w:t>3</w:t>
            </w:r>
          </w:p>
        </w:tc>
        <w:tc>
          <w:tcPr>
            <w:tcW w:w="3103" w:type="dxa"/>
            <w:tcBorders>
              <w:tl2br w:val="nil"/>
              <w:tr2bl w:val="nil"/>
            </w:tcBorders>
            <w:tcMar>
              <w:top w:w="15" w:type="dxa"/>
              <w:left w:w="15" w:type="dxa"/>
              <w:right w:w="15" w:type="dxa"/>
            </w:tcMar>
            <w:vAlign w:val="center"/>
          </w:tcPr>
          <w:p w14:paraId="2E67E0E3">
            <w:pPr>
              <w:pStyle w:val="44"/>
              <w:rPr>
                <w:color w:val="auto"/>
              </w:rPr>
            </w:pPr>
            <w:r>
              <w:rPr>
                <w:color w:val="auto"/>
              </w:rPr>
              <w:t>重庆九龙坡区西彭针织有限公司</w:t>
            </w:r>
          </w:p>
        </w:tc>
        <w:tc>
          <w:tcPr>
            <w:tcW w:w="2040" w:type="dxa"/>
            <w:tcBorders>
              <w:tl2br w:val="nil"/>
              <w:tr2bl w:val="nil"/>
            </w:tcBorders>
            <w:tcMar>
              <w:top w:w="15" w:type="dxa"/>
              <w:left w:w="15" w:type="dxa"/>
              <w:right w:w="15" w:type="dxa"/>
            </w:tcMar>
            <w:vAlign w:val="center"/>
          </w:tcPr>
          <w:p w14:paraId="7EBAD6F5">
            <w:pPr>
              <w:pStyle w:val="44"/>
              <w:rPr>
                <w:color w:val="auto"/>
              </w:rPr>
            </w:pPr>
            <w:r>
              <w:rPr>
                <w:color w:val="auto"/>
              </w:rPr>
              <w:t>元明湾河嘴桥下3米</w:t>
            </w:r>
          </w:p>
        </w:tc>
        <w:tc>
          <w:tcPr>
            <w:tcW w:w="1695" w:type="dxa"/>
            <w:tcBorders>
              <w:tl2br w:val="nil"/>
              <w:tr2bl w:val="nil"/>
            </w:tcBorders>
            <w:tcMar>
              <w:top w:w="15" w:type="dxa"/>
              <w:left w:w="15" w:type="dxa"/>
              <w:right w:w="15" w:type="dxa"/>
            </w:tcMar>
            <w:vAlign w:val="center"/>
          </w:tcPr>
          <w:p w14:paraId="41D4D3A8">
            <w:pPr>
              <w:pStyle w:val="44"/>
              <w:rPr>
                <w:color w:val="auto"/>
              </w:rPr>
            </w:pPr>
            <w:r>
              <w:rPr>
                <w:rFonts w:hint="eastAsia"/>
                <w:color w:val="auto"/>
              </w:rPr>
              <w:t>10</w:t>
            </w:r>
          </w:p>
        </w:tc>
        <w:tc>
          <w:tcPr>
            <w:tcW w:w="1209" w:type="dxa"/>
            <w:tcBorders>
              <w:tl2br w:val="nil"/>
              <w:tr2bl w:val="nil"/>
            </w:tcBorders>
            <w:tcMar>
              <w:top w:w="15" w:type="dxa"/>
              <w:left w:w="15" w:type="dxa"/>
              <w:right w:w="15" w:type="dxa"/>
            </w:tcMar>
            <w:vAlign w:val="center"/>
          </w:tcPr>
          <w:p w14:paraId="7B4DAE3D">
            <w:pPr>
              <w:pStyle w:val="44"/>
              <w:rPr>
                <w:color w:val="auto"/>
              </w:rPr>
            </w:pPr>
          </w:p>
        </w:tc>
      </w:tr>
      <w:tr w14:paraId="198574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27F5E007">
            <w:pPr>
              <w:pStyle w:val="44"/>
              <w:rPr>
                <w:color w:val="auto"/>
              </w:rPr>
            </w:pPr>
            <w:r>
              <w:rPr>
                <w:color w:val="auto"/>
              </w:rPr>
              <w:t>4</w:t>
            </w:r>
          </w:p>
        </w:tc>
        <w:tc>
          <w:tcPr>
            <w:tcW w:w="3103" w:type="dxa"/>
            <w:tcBorders>
              <w:tl2br w:val="nil"/>
              <w:tr2bl w:val="nil"/>
            </w:tcBorders>
            <w:tcMar>
              <w:top w:w="15" w:type="dxa"/>
              <w:left w:w="15" w:type="dxa"/>
              <w:right w:w="15" w:type="dxa"/>
            </w:tcMar>
            <w:vAlign w:val="center"/>
          </w:tcPr>
          <w:p w14:paraId="7B0005EB">
            <w:pPr>
              <w:pStyle w:val="44"/>
              <w:rPr>
                <w:color w:val="auto"/>
              </w:rPr>
            </w:pPr>
            <w:r>
              <w:rPr>
                <w:color w:val="auto"/>
              </w:rPr>
              <w:t>重庆天泰铝业有限公司</w:t>
            </w:r>
          </w:p>
        </w:tc>
        <w:tc>
          <w:tcPr>
            <w:tcW w:w="2040" w:type="dxa"/>
            <w:tcBorders>
              <w:tl2br w:val="nil"/>
              <w:tr2bl w:val="nil"/>
            </w:tcBorders>
            <w:tcMar>
              <w:top w:w="15" w:type="dxa"/>
              <w:left w:w="15" w:type="dxa"/>
              <w:right w:w="15" w:type="dxa"/>
            </w:tcMar>
            <w:vAlign w:val="center"/>
          </w:tcPr>
          <w:p w14:paraId="059F8217">
            <w:pPr>
              <w:pStyle w:val="44"/>
              <w:rPr>
                <w:color w:val="auto"/>
              </w:rPr>
            </w:pPr>
            <w:r>
              <w:rPr>
                <w:color w:val="auto"/>
              </w:rPr>
              <w:t>铜罐驿</w:t>
            </w:r>
            <w:r>
              <w:rPr>
                <w:rFonts w:hint="eastAsia"/>
                <w:color w:val="auto"/>
              </w:rPr>
              <w:t>镇</w:t>
            </w:r>
            <w:r>
              <w:rPr>
                <w:color w:val="auto"/>
              </w:rPr>
              <w:t>大碑村</w:t>
            </w:r>
          </w:p>
        </w:tc>
        <w:tc>
          <w:tcPr>
            <w:tcW w:w="1695" w:type="dxa"/>
            <w:tcBorders>
              <w:tl2br w:val="nil"/>
              <w:tr2bl w:val="nil"/>
            </w:tcBorders>
            <w:tcMar>
              <w:top w:w="15" w:type="dxa"/>
              <w:left w:w="15" w:type="dxa"/>
              <w:right w:w="15" w:type="dxa"/>
            </w:tcMar>
            <w:vAlign w:val="center"/>
          </w:tcPr>
          <w:p w14:paraId="67944E9F">
            <w:pPr>
              <w:pStyle w:val="44"/>
              <w:rPr>
                <w:color w:val="auto"/>
              </w:rPr>
            </w:pPr>
            <w:r>
              <w:rPr>
                <w:rFonts w:hint="eastAsia"/>
                <w:color w:val="auto"/>
              </w:rPr>
              <w:t>70</w:t>
            </w:r>
          </w:p>
        </w:tc>
        <w:tc>
          <w:tcPr>
            <w:tcW w:w="1209" w:type="dxa"/>
            <w:tcBorders>
              <w:tl2br w:val="nil"/>
              <w:tr2bl w:val="nil"/>
            </w:tcBorders>
            <w:tcMar>
              <w:top w:w="15" w:type="dxa"/>
              <w:left w:w="15" w:type="dxa"/>
              <w:right w:w="15" w:type="dxa"/>
            </w:tcMar>
            <w:vAlign w:val="center"/>
          </w:tcPr>
          <w:p w14:paraId="17C44AF9">
            <w:pPr>
              <w:pStyle w:val="44"/>
              <w:rPr>
                <w:color w:val="auto"/>
              </w:rPr>
            </w:pPr>
          </w:p>
        </w:tc>
      </w:tr>
      <w:tr w14:paraId="4C52DC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57342896">
            <w:pPr>
              <w:pStyle w:val="44"/>
              <w:rPr>
                <w:color w:val="auto"/>
              </w:rPr>
            </w:pPr>
            <w:r>
              <w:rPr>
                <w:color w:val="auto"/>
              </w:rPr>
              <w:t>5</w:t>
            </w:r>
          </w:p>
        </w:tc>
        <w:tc>
          <w:tcPr>
            <w:tcW w:w="3103" w:type="dxa"/>
            <w:tcBorders>
              <w:tl2br w:val="nil"/>
              <w:tr2bl w:val="nil"/>
            </w:tcBorders>
            <w:tcMar>
              <w:top w:w="15" w:type="dxa"/>
              <w:left w:w="15" w:type="dxa"/>
              <w:right w:w="15" w:type="dxa"/>
            </w:tcMar>
            <w:vAlign w:val="center"/>
          </w:tcPr>
          <w:p w14:paraId="2820D35E">
            <w:pPr>
              <w:pStyle w:val="44"/>
              <w:rPr>
                <w:color w:val="auto"/>
              </w:rPr>
            </w:pPr>
            <w:r>
              <w:rPr>
                <w:color w:val="auto"/>
              </w:rPr>
              <w:t>重庆三元针织印染有限公司</w:t>
            </w:r>
          </w:p>
        </w:tc>
        <w:tc>
          <w:tcPr>
            <w:tcW w:w="2040" w:type="dxa"/>
            <w:tcBorders>
              <w:tl2br w:val="nil"/>
              <w:tr2bl w:val="nil"/>
            </w:tcBorders>
            <w:tcMar>
              <w:top w:w="15" w:type="dxa"/>
              <w:left w:w="15" w:type="dxa"/>
              <w:right w:w="15" w:type="dxa"/>
            </w:tcMar>
            <w:vAlign w:val="center"/>
          </w:tcPr>
          <w:p w14:paraId="6142566C">
            <w:pPr>
              <w:pStyle w:val="44"/>
              <w:rPr>
                <w:color w:val="auto"/>
              </w:rPr>
            </w:pPr>
            <w:r>
              <w:rPr>
                <w:color w:val="auto"/>
              </w:rPr>
              <w:t>西彭镇元明街</w:t>
            </w:r>
          </w:p>
        </w:tc>
        <w:tc>
          <w:tcPr>
            <w:tcW w:w="1695" w:type="dxa"/>
            <w:tcBorders>
              <w:tl2br w:val="nil"/>
              <w:tr2bl w:val="nil"/>
            </w:tcBorders>
            <w:tcMar>
              <w:top w:w="15" w:type="dxa"/>
              <w:left w:w="15" w:type="dxa"/>
              <w:right w:w="15" w:type="dxa"/>
            </w:tcMar>
            <w:vAlign w:val="center"/>
          </w:tcPr>
          <w:p w14:paraId="68901BAD">
            <w:pPr>
              <w:pStyle w:val="44"/>
              <w:rPr>
                <w:color w:val="auto"/>
              </w:rPr>
            </w:pPr>
            <w:r>
              <w:rPr>
                <w:rFonts w:hint="eastAsia"/>
                <w:color w:val="auto"/>
              </w:rPr>
              <w:t>8</w:t>
            </w:r>
          </w:p>
        </w:tc>
        <w:tc>
          <w:tcPr>
            <w:tcW w:w="1209" w:type="dxa"/>
            <w:tcBorders>
              <w:tl2br w:val="nil"/>
              <w:tr2bl w:val="nil"/>
            </w:tcBorders>
            <w:tcMar>
              <w:top w:w="15" w:type="dxa"/>
              <w:left w:w="15" w:type="dxa"/>
              <w:right w:w="15" w:type="dxa"/>
            </w:tcMar>
            <w:vAlign w:val="center"/>
          </w:tcPr>
          <w:p w14:paraId="1866B154">
            <w:pPr>
              <w:pStyle w:val="44"/>
              <w:rPr>
                <w:color w:val="auto"/>
              </w:rPr>
            </w:pPr>
          </w:p>
        </w:tc>
      </w:tr>
      <w:tr w14:paraId="030BBA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42E8F4FE">
            <w:pPr>
              <w:pStyle w:val="44"/>
              <w:rPr>
                <w:color w:val="auto"/>
              </w:rPr>
            </w:pPr>
            <w:r>
              <w:rPr>
                <w:color w:val="auto"/>
              </w:rPr>
              <w:t>6</w:t>
            </w:r>
          </w:p>
        </w:tc>
        <w:tc>
          <w:tcPr>
            <w:tcW w:w="3103" w:type="dxa"/>
            <w:tcBorders>
              <w:tl2br w:val="nil"/>
              <w:tr2bl w:val="nil"/>
            </w:tcBorders>
            <w:tcMar>
              <w:top w:w="15" w:type="dxa"/>
              <w:left w:w="15" w:type="dxa"/>
              <w:right w:w="15" w:type="dxa"/>
            </w:tcMar>
            <w:vAlign w:val="center"/>
          </w:tcPr>
          <w:p w14:paraId="1D61B2E3">
            <w:pPr>
              <w:pStyle w:val="44"/>
              <w:rPr>
                <w:color w:val="auto"/>
              </w:rPr>
            </w:pPr>
            <w:r>
              <w:rPr>
                <w:color w:val="auto"/>
              </w:rPr>
              <w:t>西南铝业集团有限责任公司</w:t>
            </w:r>
          </w:p>
        </w:tc>
        <w:tc>
          <w:tcPr>
            <w:tcW w:w="2040" w:type="dxa"/>
            <w:tcBorders>
              <w:tl2br w:val="nil"/>
              <w:tr2bl w:val="nil"/>
            </w:tcBorders>
            <w:tcMar>
              <w:top w:w="15" w:type="dxa"/>
              <w:left w:w="15" w:type="dxa"/>
              <w:right w:w="15" w:type="dxa"/>
            </w:tcMar>
            <w:vAlign w:val="center"/>
          </w:tcPr>
          <w:p w14:paraId="5810B3EA">
            <w:pPr>
              <w:pStyle w:val="44"/>
              <w:rPr>
                <w:color w:val="auto"/>
              </w:rPr>
            </w:pPr>
            <w:r>
              <w:rPr>
                <w:color w:val="auto"/>
              </w:rPr>
              <w:t>西彭镇黄磏村下石盘</w:t>
            </w:r>
          </w:p>
        </w:tc>
        <w:tc>
          <w:tcPr>
            <w:tcW w:w="1695" w:type="dxa"/>
            <w:tcBorders>
              <w:tl2br w:val="nil"/>
              <w:tr2bl w:val="nil"/>
            </w:tcBorders>
            <w:tcMar>
              <w:top w:w="15" w:type="dxa"/>
              <w:left w:w="15" w:type="dxa"/>
              <w:right w:w="15" w:type="dxa"/>
            </w:tcMar>
            <w:vAlign w:val="center"/>
          </w:tcPr>
          <w:p w14:paraId="2A498DF7">
            <w:pPr>
              <w:pStyle w:val="44"/>
              <w:rPr>
                <w:color w:val="auto"/>
              </w:rPr>
            </w:pPr>
            <w:r>
              <w:rPr>
                <w:color w:val="auto"/>
              </w:rPr>
              <w:t>3500</w:t>
            </w:r>
          </w:p>
        </w:tc>
        <w:tc>
          <w:tcPr>
            <w:tcW w:w="1209" w:type="dxa"/>
            <w:tcBorders>
              <w:tl2br w:val="nil"/>
              <w:tr2bl w:val="nil"/>
            </w:tcBorders>
            <w:tcMar>
              <w:top w:w="15" w:type="dxa"/>
              <w:left w:w="15" w:type="dxa"/>
              <w:right w:w="15" w:type="dxa"/>
            </w:tcMar>
            <w:vAlign w:val="center"/>
          </w:tcPr>
          <w:p w14:paraId="007F633A">
            <w:pPr>
              <w:pStyle w:val="44"/>
              <w:rPr>
                <w:color w:val="auto"/>
              </w:rPr>
            </w:pPr>
          </w:p>
        </w:tc>
      </w:tr>
      <w:tr w14:paraId="0DDACD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404175D3">
            <w:pPr>
              <w:pStyle w:val="44"/>
              <w:rPr>
                <w:color w:val="auto"/>
              </w:rPr>
            </w:pPr>
            <w:r>
              <w:rPr>
                <w:color w:val="auto"/>
              </w:rPr>
              <w:t>7</w:t>
            </w:r>
          </w:p>
        </w:tc>
        <w:tc>
          <w:tcPr>
            <w:tcW w:w="3103" w:type="dxa"/>
            <w:tcBorders>
              <w:tl2br w:val="nil"/>
              <w:tr2bl w:val="nil"/>
            </w:tcBorders>
            <w:tcMar>
              <w:top w:w="15" w:type="dxa"/>
              <w:left w:w="15" w:type="dxa"/>
              <w:right w:w="15" w:type="dxa"/>
            </w:tcMar>
            <w:vAlign w:val="center"/>
          </w:tcPr>
          <w:p w14:paraId="46D8A87E">
            <w:pPr>
              <w:pStyle w:val="44"/>
              <w:rPr>
                <w:color w:val="auto"/>
              </w:rPr>
            </w:pPr>
            <w:r>
              <w:rPr>
                <w:color w:val="auto"/>
              </w:rPr>
              <w:t>重庆凯能建材有限公司</w:t>
            </w:r>
          </w:p>
        </w:tc>
        <w:tc>
          <w:tcPr>
            <w:tcW w:w="2040" w:type="dxa"/>
            <w:tcBorders>
              <w:tl2br w:val="nil"/>
              <w:tr2bl w:val="nil"/>
            </w:tcBorders>
            <w:tcMar>
              <w:top w:w="15" w:type="dxa"/>
              <w:left w:w="15" w:type="dxa"/>
              <w:right w:w="15" w:type="dxa"/>
            </w:tcMar>
            <w:vAlign w:val="center"/>
          </w:tcPr>
          <w:p w14:paraId="3CA04667">
            <w:pPr>
              <w:pStyle w:val="44"/>
              <w:rPr>
                <w:color w:val="auto"/>
              </w:rPr>
            </w:pPr>
            <w:r>
              <w:rPr>
                <w:rFonts w:hint="eastAsia"/>
                <w:color w:val="auto"/>
              </w:rPr>
              <w:t>陶家镇文峰村</w:t>
            </w:r>
          </w:p>
        </w:tc>
        <w:tc>
          <w:tcPr>
            <w:tcW w:w="1695" w:type="dxa"/>
            <w:tcBorders>
              <w:tl2br w:val="nil"/>
              <w:tr2bl w:val="nil"/>
            </w:tcBorders>
            <w:tcMar>
              <w:top w:w="15" w:type="dxa"/>
              <w:left w:w="15" w:type="dxa"/>
              <w:right w:w="15" w:type="dxa"/>
            </w:tcMar>
            <w:vAlign w:val="center"/>
          </w:tcPr>
          <w:p w14:paraId="717704AA">
            <w:pPr>
              <w:pStyle w:val="44"/>
              <w:rPr>
                <w:color w:val="auto"/>
              </w:rPr>
            </w:pPr>
            <w:r>
              <w:rPr>
                <w:rFonts w:hint="eastAsia"/>
                <w:color w:val="auto"/>
              </w:rPr>
              <w:t>9</w:t>
            </w:r>
          </w:p>
        </w:tc>
        <w:tc>
          <w:tcPr>
            <w:tcW w:w="1209" w:type="dxa"/>
            <w:tcBorders>
              <w:tl2br w:val="nil"/>
              <w:tr2bl w:val="nil"/>
            </w:tcBorders>
            <w:tcMar>
              <w:top w:w="15" w:type="dxa"/>
              <w:left w:w="15" w:type="dxa"/>
              <w:right w:w="15" w:type="dxa"/>
            </w:tcMar>
            <w:vAlign w:val="center"/>
          </w:tcPr>
          <w:p w14:paraId="2119D29D">
            <w:pPr>
              <w:pStyle w:val="44"/>
              <w:rPr>
                <w:color w:val="auto"/>
              </w:rPr>
            </w:pPr>
          </w:p>
        </w:tc>
      </w:tr>
      <w:tr w14:paraId="617C2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1F75F128">
            <w:pPr>
              <w:pStyle w:val="44"/>
              <w:rPr>
                <w:color w:val="auto"/>
              </w:rPr>
            </w:pPr>
            <w:r>
              <w:rPr>
                <w:color w:val="auto"/>
              </w:rPr>
              <w:t>8</w:t>
            </w:r>
          </w:p>
        </w:tc>
        <w:tc>
          <w:tcPr>
            <w:tcW w:w="3103" w:type="dxa"/>
            <w:tcBorders>
              <w:tl2br w:val="nil"/>
              <w:tr2bl w:val="nil"/>
            </w:tcBorders>
            <w:tcMar>
              <w:top w:w="15" w:type="dxa"/>
              <w:left w:w="15" w:type="dxa"/>
              <w:right w:w="15" w:type="dxa"/>
            </w:tcMar>
            <w:vAlign w:val="center"/>
          </w:tcPr>
          <w:p w14:paraId="18BDE4F8">
            <w:pPr>
              <w:pStyle w:val="44"/>
              <w:rPr>
                <w:color w:val="auto"/>
              </w:rPr>
            </w:pPr>
            <w:r>
              <w:rPr>
                <w:color w:val="auto"/>
              </w:rPr>
              <w:t>重庆市润龙水资源开发有限公司</w:t>
            </w:r>
          </w:p>
        </w:tc>
        <w:tc>
          <w:tcPr>
            <w:tcW w:w="2040" w:type="dxa"/>
            <w:tcBorders>
              <w:tl2br w:val="nil"/>
              <w:tr2bl w:val="nil"/>
            </w:tcBorders>
            <w:tcMar>
              <w:top w:w="15" w:type="dxa"/>
              <w:left w:w="15" w:type="dxa"/>
              <w:right w:w="15" w:type="dxa"/>
            </w:tcMar>
            <w:vAlign w:val="center"/>
          </w:tcPr>
          <w:p w14:paraId="67FE0BA8">
            <w:pPr>
              <w:pStyle w:val="44"/>
              <w:rPr>
                <w:color w:val="auto"/>
              </w:rPr>
            </w:pPr>
            <w:r>
              <w:rPr>
                <w:color w:val="auto"/>
              </w:rPr>
              <w:t>铜罐驿镇黄金堡村</w:t>
            </w:r>
          </w:p>
        </w:tc>
        <w:tc>
          <w:tcPr>
            <w:tcW w:w="1695" w:type="dxa"/>
            <w:tcBorders>
              <w:tl2br w:val="nil"/>
              <w:tr2bl w:val="nil"/>
            </w:tcBorders>
            <w:tcMar>
              <w:top w:w="15" w:type="dxa"/>
              <w:left w:w="15" w:type="dxa"/>
              <w:right w:w="15" w:type="dxa"/>
            </w:tcMar>
            <w:vAlign w:val="center"/>
          </w:tcPr>
          <w:p w14:paraId="53A40B1D">
            <w:pPr>
              <w:pStyle w:val="44"/>
              <w:rPr>
                <w:color w:val="auto"/>
              </w:rPr>
            </w:pPr>
            <w:r>
              <w:rPr>
                <w:rFonts w:hint="eastAsia"/>
                <w:color w:val="auto"/>
              </w:rPr>
              <w:t>4999</w:t>
            </w:r>
          </w:p>
        </w:tc>
        <w:tc>
          <w:tcPr>
            <w:tcW w:w="1209" w:type="dxa"/>
            <w:tcBorders>
              <w:tl2br w:val="nil"/>
              <w:tr2bl w:val="nil"/>
            </w:tcBorders>
            <w:tcMar>
              <w:top w:w="15" w:type="dxa"/>
              <w:left w:w="15" w:type="dxa"/>
              <w:right w:w="15" w:type="dxa"/>
            </w:tcMar>
            <w:vAlign w:val="center"/>
          </w:tcPr>
          <w:p w14:paraId="16FEA66A">
            <w:pPr>
              <w:pStyle w:val="44"/>
              <w:rPr>
                <w:color w:val="auto"/>
              </w:rPr>
            </w:pPr>
            <w:r>
              <w:rPr>
                <w:color w:val="auto"/>
              </w:rPr>
              <w:t>不</w:t>
            </w:r>
            <w:r>
              <w:rPr>
                <w:rFonts w:hint="eastAsia"/>
                <w:color w:val="auto"/>
              </w:rPr>
              <w:t>供本区</w:t>
            </w:r>
          </w:p>
        </w:tc>
      </w:tr>
      <w:tr w14:paraId="08B1FF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7593732D">
            <w:pPr>
              <w:pStyle w:val="44"/>
              <w:rPr>
                <w:color w:val="auto"/>
              </w:rPr>
            </w:pPr>
            <w:r>
              <w:rPr>
                <w:color w:val="auto"/>
              </w:rPr>
              <w:t>9</w:t>
            </w:r>
          </w:p>
        </w:tc>
        <w:tc>
          <w:tcPr>
            <w:tcW w:w="3103" w:type="dxa"/>
            <w:tcBorders>
              <w:tl2br w:val="nil"/>
              <w:tr2bl w:val="nil"/>
            </w:tcBorders>
            <w:tcMar>
              <w:top w:w="15" w:type="dxa"/>
              <w:left w:w="15" w:type="dxa"/>
              <w:right w:w="15" w:type="dxa"/>
            </w:tcMar>
            <w:vAlign w:val="center"/>
          </w:tcPr>
          <w:p w14:paraId="30A25A60">
            <w:pPr>
              <w:pStyle w:val="44"/>
              <w:rPr>
                <w:color w:val="auto"/>
              </w:rPr>
            </w:pPr>
            <w:r>
              <w:rPr>
                <w:color w:val="auto"/>
              </w:rPr>
              <w:t>重庆市自来水公司和尚山水厂</w:t>
            </w:r>
          </w:p>
        </w:tc>
        <w:tc>
          <w:tcPr>
            <w:tcW w:w="2040" w:type="dxa"/>
            <w:tcBorders>
              <w:tl2br w:val="nil"/>
              <w:tr2bl w:val="nil"/>
            </w:tcBorders>
            <w:tcMar>
              <w:top w:w="15" w:type="dxa"/>
              <w:left w:w="15" w:type="dxa"/>
              <w:right w:w="15" w:type="dxa"/>
            </w:tcMar>
            <w:vAlign w:val="center"/>
          </w:tcPr>
          <w:p w14:paraId="44E6C3AE">
            <w:pPr>
              <w:pStyle w:val="44"/>
              <w:rPr>
                <w:color w:val="auto"/>
              </w:rPr>
            </w:pPr>
            <w:r>
              <w:rPr>
                <w:color w:val="auto"/>
              </w:rPr>
              <w:t>九龙</w:t>
            </w:r>
            <w:r>
              <w:rPr>
                <w:rFonts w:hint="eastAsia"/>
                <w:color w:val="auto"/>
              </w:rPr>
              <w:t>坡</w:t>
            </w:r>
            <w:r>
              <w:rPr>
                <w:color w:val="auto"/>
              </w:rPr>
              <w:t>区九龙滩</w:t>
            </w:r>
          </w:p>
        </w:tc>
        <w:tc>
          <w:tcPr>
            <w:tcW w:w="1695" w:type="dxa"/>
            <w:tcBorders>
              <w:tl2br w:val="nil"/>
              <w:tr2bl w:val="nil"/>
            </w:tcBorders>
            <w:tcMar>
              <w:top w:w="15" w:type="dxa"/>
              <w:left w:w="15" w:type="dxa"/>
              <w:right w:w="15" w:type="dxa"/>
            </w:tcMar>
            <w:vAlign w:val="center"/>
          </w:tcPr>
          <w:p w14:paraId="7CEE89D5">
            <w:pPr>
              <w:pStyle w:val="44"/>
              <w:rPr>
                <w:color w:val="auto"/>
              </w:rPr>
            </w:pPr>
            <w:r>
              <w:rPr>
                <w:rFonts w:hint="eastAsia"/>
                <w:color w:val="auto"/>
              </w:rPr>
              <w:t>12775</w:t>
            </w:r>
          </w:p>
        </w:tc>
        <w:tc>
          <w:tcPr>
            <w:tcW w:w="1209" w:type="dxa"/>
            <w:tcBorders>
              <w:tl2br w:val="nil"/>
              <w:tr2bl w:val="nil"/>
            </w:tcBorders>
            <w:tcMar>
              <w:top w:w="15" w:type="dxa"/>
              <w:left w:w="15" w:type="dxa"/>
              <w:right w:w="15" w:type="dxa"/>
            </w:tcMar>
            <w:vAlign w:val="center"/>
          </w:tcPr>
          <w:p w14:paraId="46C682D7">
            <w:pPr>
              <w:pStyle w:val="44"/>
              <w:rPr>
                <w:color w:val="auto"/>
              </w:rPr>
            </w:pPr>
          </w:p>
        </w:tc>
      </w:tr>
      <w:tr w14:paraId="371544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1" w:type="dxa"/>
            <w:tcBorders>
              <w:tl2br w:val="nil"/>
              <w:tr2bl w:val="nil"/>
            </w:tcBorders>
            <w:tcMar>
              <w:top w:w="15" w:type="dxa"/>
              <w:left w:w="15" w:type="dxa"/>
              <w:right w:w="15" w:type="dxa"/>
            </w:tcMar>
            <w:vAlign w:val="center"/>
          </w:tcPr>
          <w:p w14:paraId="6F33E0BA">
            <w:pPr>
              <w:pStyle w:val="44"/>
              <w:rPr>
                <w:color w:val="auto"/>
              </w:rPr>
            </w:pPr>
            <w:r>
              <w:rPr>
                <w:rFonts w:hint="eastAsia"/>
                <w:color w:val="auto"/>
              </w:rPr>
              <w:t>10</w:t>
            </w:r>
          </w:p>
        </w:tc>
        <w:tc>
          <w:tcPr>
            <w:tcW w:w="3103" w:type="dxa"/>
            <w:tcBorders>
              <w:tl2br w:val="nil"/>
              <w:tr2bl w:val="nil"/>
            </w:tcBorders>
            <w:tcMar>
              <w:top w:w="15" w:type="dxa"/>
              <w:left w:w="15" w:type="dxa"/>
              <w:right w:w="15" w:type="dxa"/>
            </w:tcMar>
            <w:vAlign w:val="center"/>
          </w:tcPr>
          <w:p w14:paraId="5B2F73E1">
            <w:pPr>
              <w:pStyle w:val="44"/>
              <w:rPr>
                <w:color w:val="auto"/>
              </w:rPr>
            </w:pPr>
            <w:r>
              <w:rPr>
                <w:color w:val="auto"/>
              </w:rPr>
              <w:t>重庆力扬物业发展有限公司</w:t>
            </w:r>
          </w:p>
        </w:tc>
        <w:tc>
          <w:tcPr>
            <w:tcW w:w="2040" w:type="dxa"/>
            <w:tcBorders>
              <w:tl2br w:val="nil"/>
              <w:tr2bl w:val="nil"/>
            </w:tcBorders>
            <w:tcMar>
              <w:top w:w="15" w:type="dxa"/>
              <w:left w:w="15" w:type="dxa"/>
              <w:right w:w="15" w:type="dxa"/>
            </w:tcMar>
            <w:vAlign w:val="center"/>
          </w:tcPr>
          <w:p w14:paraId="2620DAB2">
            <w:pPr>
              <w:pStyle w:val="44"/>
              <w:rPr>
                <w:color w:val="auto"/>
              </w:rPr>
            </w:pPr>
            <w:r>
              <w:rPr>
                <w:color w:val="auto"/>
              </w:rPr>
              <w:t>金凤镇海兰村</w:t>
            </w:r>
          </w:p>
        </w:tc>
        <w:tc>
          <w:tcPr>
            <w:tcW w:w="1695" w:type="dxa"/>
            <w:tcBorders>
              <w:tl2br w:val="nil"/>
              <w:tr2bl w:val="nil"/>
            </w:tcBorders>
            <w:tcMar>
              <w:top w:w="15" w:type="dxa"/>
              <w:left w:w="15" w:type="dxa"/>
              <w:right w:w="15" w:type="dxa"/>
            </w:tcMar>
            <w:vAlign w:val="center"/>
          </w:tcPr>
          <w:p w14:paraId="04453342">
            <w:pPr>
              <w:pStyle w:val="44"/>
              <w:rPr>
                <w:color w:val="auto"/>
              </w:rPr>
            </w:pPr>
            <w:r>
              <w:rPr>
                <w:color w:val="auto"/>
              </w:rPr>
              <w:t>14</w:t>
            </w:r>
          </w:p>
        </w:tc>
        <w:tc>
          <w:tcPr>
            <w:tcW w:w="1209" w:type="dxa"/>
            <w:tcBorders>
              <w:tl2br w:val="nil"/>
              <w:tr2bl w:val="nil"/>
            </w:tcBorders>
            <w:tcMar>
              <w:top w:w="15" w:type="dxa"/>
              <w:left w:w="15" w:type="dxa"/>
              <w:right w:w="15" w:type="dxa"/>
            </w:tcMar>
            <w:vAlign w:val="center"/>
          </w:tcPr>
          <w:p w14:paraId="62F95C80">
            <w:pPr>
              <w:pStyle w:val="44"/>
              <w:rPr>
                <w:color w:val="auto"/>
              </w:rPr>
            </w:pPr>
          </w:p>
        </w:tc>
      </w:tr>
      <w:tr w14:paraId="199C1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3ED4BB82">
            <w:pPr>
              <w:pStyle w:val="44"/>
              <w:rPr>
                <w:color w:val="auto"/>
              </w:rPr>
            </w:pPr>
            <w:r>
              <w:rPr>
                <w:rFonts w:hint="eastAsia"/>
                <w:color w:val="auto"/>
              </w:rPr>
              <w:t>11</w:t>
            </w:r>
          </w:p>
        </w:tc>
        <w:tc>
          <w:tcPr>
            <w:tcW w:w="3103" w:type="dxa"/>
            <w:tcBorders>
              <w:tl2br w:val="nil"/>
              <w:tr2bl w:val="nil"/>
            </w:tcBorders>
            <w:tcMar>
              <w:top w:w="15" w:type="dxa"/>
              <w:left w:w="15" w:type="dxa"/>
              <w:right w:w="15" w:type="dxa"/>
            </w:tcMar>
            <w:vAlign w:val="center"/>
          </w:tcPr>
          <w:p w14:paraId="36D04D64">
            <w:pPr>
              <w:pStyle w:val="44"/>
              <w:rPr>
                <w:color w:val="auto"/>
              </w:rPr>
            </w:pPr>
            <w:r>
              <w:rPr>
                <w:color w:val="auto"/>
              </w:rPr>
              <w:t>成渝高速公路有限公司</w:t>
            </w:r>
          </w:p>
        </w:tc>
        <w:tc>
          <w:tcPr>
            <w:tcW w:w="2040" w:type="dxa"/>
            <w:tcBorders>
              <w:tl2br w:val="nil"/>
              <w:tr2bl w:val="nil"/>
            </w:tcBorders>
            <w:tcMar>
              <w:top w:w="15" w:type="dxa"/>
              <w:left w:w="15" w:type="dxa"/>
              <w:right w:w="15" w:type="dxa"/>
            </w:tcMar>
            <w:vAlign w:val="center"/>
          </w:tcPr>
          <w:p w14:paraId="35EEFDA1">
            <w:pPr>
              <w:pStyle w:val="44"/>
              <w:rPr>
                <w:color w:val="auto"/>
              </w:rPr>
            </w:pPr>
            <w:r>
              <w:rPr>
                <w:color w:val="auto"/>
              </w:rPr>
              <w:t>宋家沟2号隧道口</w:t>
            </w:r>
          </w:p>
        </w:tc>
        <w:tc>
          <w:tcPr>
            <w:tcW w:w="1695" w:type="dxa"/>
            <w:tcBorders>
              <w:tl2br w:val="nil"/>
              <w:tr2bl w:val="nil"/>
            </w:tcBorders>
            <w:tcMar>
              <w:top w:w="15" w:type="dxa"/>
              <w:left w:w="15" w:type="dxa"/>
              <w:right w:w="15" w:type="dxa"/>
            </w:tcMar>
            <w:vAlign w:val="center"/>
          </w:tcPr>
          <w:p w14:paraId="7BEA4AC0">
            <w:pPr>
              <w:pStyle w:val="44"/>
              <w:rPr>
                <w:color w:val="auto"/>
              </w:rPr>
            </w:pPr>
            <w:r>
              <w:rPr>
                <w:color w:val="auto"/>
              </w:rPr>
              <w:t>1.2</w:t>
            </w:r>
          </w:p>
        </w:tc>
        <w:tc>
          <w:tcPr>
            <w:tcW w:w="1209" w:type="dxa"/>
            <w:tcBorders>
              <w:tl2br w:val="nil"/>
              <w:tr2bl w:val="nil"/>
            </w:tcBorders>
            <w:tcMar>
              <w:top w:w="15" w:type="dxa"/>
              <w:left w:w="15" w:type="dxa"/>
              <w:right w:w="15" w:type="dxa"/>
            </w:tcMar>
            <w:vAlign w:val="center"/>
          </w:tcPr>
          <w:p w14:paraId="37B92846">
            <w:pPr>
              <w:pStyle w:val="44"/>
              <w:rPr>
                <w:color w:val="auto"/>
              </w:rPr>
            </w:pPr>
          </w:p>
        </w:tc>
      </w:tr>
      <w:tr w14:paraId="31D5E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3C089E9D">
            <w:pPr>
              <w:pStyle w:val="44"/>
              <w:rPr>
                <w:color w:val="auto"/>
              </w:rPr>
            </w:pPr>
            <w:r>
              <w:rPr>
                <w:rFonts w:hint="eastAsia"/>
                <w:color w:val="auto"/>
              </w:rPr>
              <w:t>12</w:t>
            </w:r>
          </w:p>
        </w:tc>
        <w:tc>
          <w:tcPr>
            <w:tcW w:w="3103" w:type="dxa"/>
            <w:tcBorders>
              <w:tl2br w:val="nil"/>
              <w:tr2bl w:val="nil"/>
            </w:tcBorders>
            <w:tcMar>
              <w:top w:w="15" w:type="dxa"/>
              <w:left w:w="15" w:type="dxa"/>
              <w:right w:w="15" w:type="dxa"/>
            </w:tcMar>
            <w:vAlign w:val="center"/>
          </w:tcPr>
          <w:p w14:paraId="30E59AD5">
            <w:pPr>
              <w:pStyle w:val="44"/>
              <w:rPr>
                <w:color w:val="auto"/>
              </w:rPr>
            </w:pPr>
            <w:r>
              <w:rPr>
                <w:color w:val="auto"/>
              </w:rPr>
              <w:t>重庆上邦高尔夫俱乐部有限公司</w:t>
            </w:r>
          </w:p>
        </w:tc>
        <w:tc>
          <w:tcPr>
            <w:tcW w:w="2040" w:type="dxa"/>
            <w:tcBorders>
              <w:tl2br w:val="nil"/>
              <w:tr2bl w:val="nil"/>
            </w:tcBorders>
            <w:tcMar>
              <w:top w:w="15" w:type="dxa"/>
              <w:left w:w="15" w:type="dxa"/>
              <w:right w:w="15" w:type="dxa"/>
            </w:tcMar>
            <w:vAlign w:val="center"/>
          </w:tcPr>
          <w:p w14:paraId="3E1A48A0">
            <w:pPr>
              <w:pStyle w:val="44"/>
              <w:rPr>
                <w:color w:val="auto"/>
              </w:rPr>
            </w:pPr>
            <w:r>
              <w:rPr>
                <w:color w:val="auto"/>
              </w:rPr>
              <w:t>走马镇高尔夫场内</w:t>
            </w:r>
          </w:p>
        </w:tc>
        <w:tc>
          <w:tcPr>
            <w:tcW w:w="1695" w:type="dxa"/>
            <w:tcBorders>
              <w:tl2br w:val="nil"/>
              <w:tr2bl w:val="nil"/>
            </w:tcBorders>
            <w:tcMar>
              <w:top w:w="15" w:type="dxa"/>
              <w:left w:w="15" w:type="dxa"/>
              <w:right w:w="15" w:type="dxa"/>
            </w:tcMar>
            <w:vAlign w:val="center"/>
          </w:tcPr>
          <w:p w14:paraId="44703B47">
            <w:pPr>
              <w:pStyle w:val="44"/>
              <w:rPr>
                <w:color w:val="auto"/>
              </w:rPr>
            </w:pPr>
            <w:r>
              <w:rPr>
                <w:color w:val="auto"/>
              </w:rPr>
              <w:t>4</w:t>
            </w:r>
          </w:p>
        </w:tc>
        <w:tc>
          <w:tcPr>
            <w:tcW w:w="1209" w:type="dxa"/>
            <w:tcBorders>
              <w:tl2br w:val="nil"/>
              <w:tr2bl w:val="nil"/>
            </w:tcBorders>
            <w:tcMar>
              <w:top w:w="15" w:type="dxa"/>
              <w:left w:w="15" w:type="dxa"/>
              <w:right w:w="15" w:type="dxa"/>
            </w:tcMar>
            <w:vAlign w:val="center"/>
          </w:tcPr>
          <w:p w14:paraId="394968A3">
            <w:pPr>
              <w:pStyle w:val="44"/>
              <w:rPr>
                <w:color w:val="auto"/>
              </w:rPr>
            </w:pPr>
          </w:p>
        </w:tc>
      </w:tr>
      <w:tr w14:paraId="1B438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1" w:type="dxa"/>
            <w:tcBorders>
              <w:tl2br w:val="nil"/>
              <w:tr2bl w:val="nil"/>
            </w:tcBorders>
            <w:tcMar>
              <w:top w:w="15" w:type="dxa"/>
              <w:left w:w="15" w:type="dxa"/>
              <w:right w:w="15" w:type="dxa"/>
            </w:tcMar>
            <w:vAlign w:val="center"/>
          </w:tcPr>
          <w:p w14:paraId="32808723">
            <w:pPr>
              <w:pStyle w:val="44"/>
              <w:rPr>
                <w:color w:val="auto"/>
              </w:rPr>
            </w:pPr>
            <w:r>
              <w:rPr>
                <w:color w:val="auto"/>
              </w:rPr>
              <w:t>合计</w:t>
            </w:r>
          </w:p>
        </w:tc>
        <w:tc>
          <w:tcPr>
            <w:tcW w:w="3103" w:type="dxa"/>
            <w:tcBorders>
              <w:tl2br w:val="nil"/>
              <w:tr2bl w:val="nil"/>
            </w:tcBorders>
            <w:tcMar>
              <w:top w:w="15" w:type="dxa"/>
              <w:left w:w="15" w:type="dxa"/>
              <w:right w:w="15" w:type="dxa"/>
            </w:tcMar>
            <w:vAlign w:val="center"/>
          </w:tcPr>
          <w:p w14:paraId="2357A506">
            <w:pPr>
              <w:pStyle w:val="44"/>
              <w:rPr>
                <w:color w:val="auto"/>
              </w:rPr>
            </w:pPr>
          </w:p>
        </w:tc>
        <w:tc>
          <w:tcPr>
            <w:tcW w:w="2040" w:type="dxa"/>
            <w:tcBorders>
              <w:tl2br w:val="nil"/>
              <w:tr2bl w:val="nil"/>
            </w:tcBorders>
            <w:tcMar>
              <w:top w:w="15" w:type="dxa"/>
              <w:left w:w="15" w:type="dxa"/>
              <w:right w:w="15" w:type="dxa"/>
            </w:tcMar>
            <w:vAlign w:val="center"/>
          </w:tcPr>
          <w:p w14:paraId="08D7E949">
            <w:pPr>
              <w:pStyle w:val="44"/>
              <w:rPr>
                <w:color w:val="auto"/>
              </w:rPr>
            </w:pPr>
          </w:p>
        </w:tc>
        <w:tc>
          <w:tcPr>
            <w:tcW w:w="1695" w:type="dxa"/>
            <w:tcBorders>
              <w:tl2br w:val="nil"/>
              <w:tr2bl w:val="nil"/>
            </w:tcBorders>
            <w:tcMar>
              <w:top w:w="15" w:type="dxa"/>
              <w:left w:w="15" w:type="dxa"/>
              <w:right w:w="15" w:type="dxa"/>
            </w:tcMar>
            <w:vAlign w:val="center"/>
          </w:tcPr>
          <w:p w14:paraId="168B3440">
            <w:pPr>
              <w:pStyle w:val="44"/>
              <w:rPr>
                <w:color w:val="auto"/>
              </w:rPr>
            </w:pPr>
            <w:r>
              <w:rPr>
                <w:rFonts w:hint="eastAsia"/>
                <w:color w:val="auto"/>
              </w:rPr>
              <w:t>21600</w:t>
            </w:r>
          </w:p>
        </w:tc>
        <w:tc>
          <w:tcPr>
            <w:tcW w:w="1209" w:type="dxa"/>
            <w:tcBorders>
              <w:tl2br w:val="nil"/>
              <w:tr2bl w:val="nil"/>
            </w:tcBorders>
            <w:tcMar>
              <w:top w:w="15" w:type="dxa"/>
              <w:left w:w="15" w:type="dxa"/>
              <w:right w:w="15" w:type="dxa"/>
            </w:tcMar>
            <w:vAlign w:val="center"/>
          </w:tcPr>
          <w:p w14:paraId="123355C4">
            <w:pPr>
              <w:pStyle w:val="44"/>
              <w:rPr>
                <w:color w:val="auto"/>
              </w:rPr>
            </w:pPr>
          </w:p>
        </w:tc>
      </w:tr>
    </w:tbl>
    <w:p w14:paraId="37C7622D">
      <w:pPr>
        <w:ind w:firstLine="480"/>
        <w:rPr>
          <w:color w:val="auto"/>
        </w:rPr>
      </w:pPr>
      <w:r>
        <w:rPr>
          <w:color w:val="auto"/>
        </w:rPr>
        <w:t>（3）地下水源工程</w:t>
      </w:r>
    </w:p>
    <w:p w14:paraId="1109CAD6">
      <w:pPr>
        <w:ind w:firstLine="480"/>
        <w:rPr>
          <w:bCs/>
          <w:color w:val="auto"/>
        </w:rPr>
      </w:pPr>
      <w:r>
        <w:rPr>
          <w:rFonts w:hint="eastAsia"/>
          <w:bCs/>
          <w:color w:val="auto"/>
        </w:rPr>
        <w:t>九龙坡区</w:t>
      </w:r>
      <w:r>
        <w:rPr>
          <w:bCs/>
          <w:color w:val="auto"/>
        </w:rPr>
        <w:t>内地下水源工程共计</w:t>
      </w:r>
      <w:r>
        <w:rPr>
          <w:rFonts w:hint="eastAsia"/>
          <w:bCs/>
          <w:color w:val="auto"/>
        </w:rPr>
        <w:t>9</w:t>
      </w:r>
      <w:r>
        <w:rPr>
          <w:bCs/>
          <w:color w:val="auto"/>
        </w:rPr>
        <w:t>处，年取水总量为</w:t>
      </w:r>
      <w:r>
        <w:rPr>
          <w:rFonts w:hint="eastAsia"/>
          <w:bCs/>
          <w:color w:val="auto"/>
        </w:rPr>
        <w:t>160.95</w:t>
      </w:r>
      <w:r>
        <w:rPr>
          <w:bCs/>
          <w:color w:val="auto"/>
        </w:rPr>
        <w:t>万m³</w:t>
      </w:r>
      <w:r>
        <w:rPr>
          <w:rFonts w:hint="eastAsia"/>
          <w:bCs/>
          <w:color w:val="auto"/>
        </w:rPr>
        <w:t>。</w:t>
      </w:r>
    </w:p>
    <w:p w14:paraId="2DDC3BB6">
      <w:pPr>
        <w:pStyle w:val="2"/>
        <w:ind w:firstLine="480"/>
        <w:rPr>
          <w:color w:val="auto"/>
        </w:rPr>
      </w:pPr>
    </w:p>
    <w:p w14:paraId="3E22185F">
      <w:pPr>
        <w:pStyle w:val="2"/>
        <w:ind w:firstLine="480"/>
        <w:rPr>
          <w:color w:val="auto"/>
        </w:rPr>
      </w:pPr>
    </w:p>
    <w:p w14:paraId="77EE65BF">
      <w:pPr>
        <w:pStyle w:val="43"/>
        <w:rPr>
          <w:color w:val="auto"/>
        </w:rPr>
      </w:pPr>
      <w:r>
        <w:rPr>
          <w:color w:val="auto"/>
        </w:rPr>
        <w:t>表</w:t>
      </w:r>
      <w:r>
        <w:rPr>
          <w:rFonts w:hint="eastAsia"/>
          <w:color w:val="auto"/>
        </w:rPr>
        <w:t>3.2-5                 九龙坡区内地下取水工程统计表</w:t>
      </w:r>
    </w:p>
    <w:tbl>
      <w:tblPr>
        <w:tblStyle w:val="21"/>
        <w:tblW w:w="89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0"/>
        <w:gridCol w:w="3103"/>
        <w:gridCol w:w="2040"/>
        <w:gridCol w:w="1695"/>
        <w:gridCol w:w="1209"/>
      </w:tblGrid>
      <w:tr w14:paraId="238184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80" w:type="dxa"/>
            <w:tcBorders>
              <w:tl2br w:val="nil"/>
              <w:tr2bl w:val="nil"/>
            </w:tcBorders>
            <w:tcMar>
              <w:top w:w="15" w:type="dxa"/>
              <w:left w:w="15" w:type="dxa"/>
              <w:right w:w="15" w:type="dxa"/>
            </w:tcMar>
            <w:vAlign w:val="center"/>
          </w:tcPr>
          <w:p w14:paraId="4AE1F5D2">
            <w:pPr>
              <w:pStyle w:val="44"/>
              <w:rPr>
                <w:color w:val="auto"/>
              </w:rPr>
            </w:pPr>
            <w:r>
              <w:rPr>
                <w:color w:val="auto"/>
              </w:rPr>
              <w:t>序号</w:t>
            </w:r>
          </w:p>
        </w:tc>
        <w:tc>
          <w:tcPr>
            <w:tcW w:w="3103" w:type="dxa"/>
            <w:tcBorders>
              <w:tl2br w:val="nil"/>
              <w:tr2bl w:val="nil"/>
            </w:tcBorders>
            <w:tcMar>
              <w:top w:w="15" w:type="dxa"/>
              <w:left w:w="15" w:type="dxa"/>
              <w:right w:w="15" w:type="dxa"/>
            </w:tcMar>
            <w:vAlign w:val="center"/>
          </w:tcPr>
          <w:p w14:paraId="76866590">
            <w:pPr>
              <w:pStyle w:val="44"/>
              <w:rPr>
                <w:color w:val="auto"/>
              </w:rPr>
            </w:pPr>
            <w:r>
              <w:rPr>
                <w:color w:val="auto"/>
              </w:rPr>
              <w:t>工程名称</w:t>
            </w:r>
          </w:p>
        </w:tc>
        <w:tc>
          <w:tcPr>
            <w:tcW w:w="2040" w:type="dxa"/>
            <w:tcBorders>
              <w:tl2br w:val="nil"/>
              <w:tr2bl w:val="nil"/>
            </w:tcBorders>
            <w:tcMar>
              <w:top w:w="15" w:type="dxa"/>
              <w:left w:w="15" w:type="dxa"/>
              <w:right w:w="15" w:type="dxa"/>
            </w:tcMar>
            <w:vAlign w:val="center"/>
          </w:tcPr>
          <w:p w14:paraId="363F4C97">
            <w:pPr>
              <w:pStyle w:val="44"/>
              <w:rPr>
                <w:color w:val="auto"/>
              </w:rPr>
            </w:pPr>
            <w:r>
              <w:rPr>
                <w:color w:val="auto"/>
              </w:rPr>
              <w:t>取水</w:t>
            </w:r>
            <w:r>
              <w:rPr>
                <w:rFonts w:hint="eastAsia"/>
                <w:color w:val="auto"/>
              </w:rPr>
              <w:t>地点</w:t>
            </w:r>
          </w:p>
        </w:tc>
        <w:tc>
          <w:tcPr>
            <w:tcW w:w="1695" w:type="dxa"/>
            <w:tcBorders>
              <w:tl2br w:val="nil"/>
              <w:tr2bl w:val="nil"/>
            </w:tcBorders>
            <w:tcMar>
              <w:top w:w="15" w:type="dxa"/>
              <w:left w:w="15" w:type="dxa"/>
              <w:right w:w="15" w:type="dxa"/>
            </w:tcMar>
            <w:vAlign w:val="center"/>
          </w:tcPr>
          <w:p w14:paraId="6E9B831B">
            <w:pPr>
              <w:pStyle w:val="44"/>
              <w:rPr>
                <w:color w:val="auto"/>
              </w:rPr>
            </w:pPr>
            <w:r>
              <w:rPr>
                <w:rFonts w:hint="eastAsia"/>
                <w:color w:val="auto"/>
              </w:rPr>
              <w:t>许可</w:t>
            </w:r>
            <w:r>
              <w:rPr>
                <w:color w:val="auto"/>
              </w:rPr>
              <w:t>水量（万m³）</w:t>
            </w:r>
          </w:p>
        </w:tc>
        <w:tc>
          <w:tcPr>
            <w:tcW w:w="1209" w:type="dxa"/>
            <w:tcBorders>
              <w:tl2br w:val="nil"/>
              <w:tr2bl w:val="nil"/>
            </w:tcBorders>
            <w:tcMar>
              <w:top w:w="15" w:type="dxa"/>
              <w:left w:w="15" w:type="dxa"/>
              <w:right w:w="15" w:type="dxa"/>
            </w:tcMar>
            <w:vAlign w:val="center"/>
          </w:tcPr>
          <w:p w14:paraId="4A6E90DD">
            <w:pPr>
              <w:pStyle w:val="44"/>
              <w:rPr>
                <w:color w:val="auto"/>
              </w:rPr>
            </w:pPr>
            <w:r>
              <w:rPr>
                <w:color w:val="auto"/>
              </w:rPr>
              <w:t>备注</w:t>
            </w:r>
          </w:p>
        </w:tc>
      </w:tr>
      <w:tr w14:paraId="08663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74052C55">
            <w:pPr>
              <w:pStyle w:val="44"/>
              <w:rPr>
                <w:color w:val="auto"/>
              </w:rPr>
            </w:pPr>
            <w:r>
              <w:rPr>
                <w:color w:val="auto"/>
              </w:rPr>
              <w:t>1</w:t>
            </w:r>
          </w:p>
        </w:tc>
        <w:tc>
          <w:tcPr>
            <w:tcW w:w="3103" w:type="dxa"/>
            <w:tcBorders>
              <w:tl2br w:val="nil"/>
              <w:tr2bl w:val="nil"/>
            </w:tcBorders>
            <w:tcMar>
              <w:top w:w="15" w:type="dxa"/>
              <w:left w:w="15" w:type="dxa"/>
              <w:right w:w="15" w:type="dxa"/>
            </w:tcMar>
            <w:vAlign w:val="center"/>
          </w:tcPr>
          <w:p w14:paraId="51E8F77C">
            <w:pPr>
              <w:pStyle w:val="44"/>
              <w:rPr>
                <w:color w:val="auto"/>
              </w:rPr>
            </w:pPr>
            <w:r>
              <w:rPr>
                <w:color w:val="auto"/>
              </w:rPr>
              <w:t xml:space="preserve">重庆中梁山饮品有限公司 </w:t>
            </w:r>
          </w:p>
        </w:tc>
        <w:tc>
          <w:tcPr>
            <w:tcW w:w="2040" w:type="dxa"/>
            <w:tcBorders>
              <w:tl2br w:val="nil"/>
              <w:tr2bl w:val="nil"/>
            </w:tcBorders>
            <w:tcMar>
              <w:top w:w="15" w:type="dxa"/>
              <w:left w:w="15" w:type="dxa"/>
              <w:right w:w="15" w:type="dxa"/>
            </w:tcMar>
            <w:vAlign w:val="center"/>
          </w:tcPr>
          <w:p w14:paraId="29ED34B3">
            <w:pPr>
              <w:pStyle w:val="44"/>
              <w:rPr>
                <w:color w:val="auto"/>
              </w:rPr>
            </w:pPr>
            <w:r>
              <w:rPr>
                <w:color w:val="auto"/>
              </w:rPr>
              <w:t>华岩镇九盘子</w:t>
            </w:r>
          </w:p>
        </w:tc>
        <w:tc>
          <w:tcPr>
            <w:tcW w:w="1695" w:type="dxa"/>
            <w:tcBorders>
              <w:tl2br w:val="nil"/>
              <w:tr2bl w:val="nil"/>
            </w:tcBorders>
            <w:tcMar>
              <w:top w:w="15" w:type="dxa"/>
              <w:left w:w="15" w:type="dxa"/>
              <w:right w:w="15" w:type="dxa"/>
            </w:tcMar>
            <w:vAlign w:val="center"/>
          </w:tcPr>
          <w:p w14:paraId="152A5021">
            <w:pPr>
              <w:pStyle w:val="44"/>
              <w:rPr>
                <w:color w:val="auto"/>
              </w:rPr>
            </w:pPr>
            <w:r>
              <w:rPr>
                <w:rFonts w:hint="eastAsia"/>
                <w:color w:val="auto"/>
              </w:rPr>
              <w:t>1.5</w:t>
            </w:r>
          </w:p>
        </w:tc>
        <w:tc>
          <w:tcPr>
            <w:tcW w:w="1209" w:type="dxa"/>
            <w:tcBorders>
              <w:tl2br w:val="nil"/>
              <w:tr2bl w:val="nil"/>
            </w:tcBorders>
            <w:tcMar>
              <w:top w:w="15" w:type="dxa"/>
              <w:left w:w="15" w:type="dxa"/>
              <w:right w:w="15" w:type="dxa"/>
            </w:tcMar>
            <w:vAlign w:val="center"/>
          </w:tcPr>
          <w:p w14:paraId="4814E0CF">
            <w:pPr>
              <w:pStyle w:val="44"/>
              <w:rPr>
                <w:color w:val="auto"/>
              </w:rPr>
            </w:pPr>
          </w:p>
        </w:tc>
      </w:tr>
      <w:tr w14:paraId="590FD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3E42B311">
            <w:pPr>
              <w:pStyle w:val="44"/>
              <w:rPr>
                <w:color w:val="auto"/>
              </w:rPr>
            </w:pPr>
            <w:r>
              <w:rPr>
                <w:color w:val="auto"/>
              </w:rPr>
              <w:t>2</w:t>
            </w:r>
          </w:p>
        </w:tc>
        <w:tc>
          <w:tcPr>
            <w:tcW w:w="3103" w:type="dxa"/>
            <w:tcBorders>
              <w:tl2br w:val="nil"/>
              <w:tr2bl w:val="nil"/>
            </w:tcBorders>
            <w:tcMar>
              <w:top w:w="15" w:type="dxa"/>
              <w:left w:w="15" w:type="dxa"/>
              <w:right w:w="15" w:type="dxa"/>
            </w:tcMar>
            <w:vAlign w:val="center"/>
          </w:tcPr>
          <w:p w14:paraId="45E4538F">
            <w:pPr>
              <w:pStyle w:val="44"/>
              <w:rPr>
                <w:color w:val="auto"/>
              </w:rPr>
            </w:pPr>
            <w:r>
              <w:rPr>
                <w:color w:val="auto"/>
              </w:rPr>
              <w:t>重庆中梁山饮品有限公司</w:t>
            </w:r>
          </w:p>
        </w:tc>
        <w:tc>
          <w:tcPr>
            <w:tcW w:w="2040" w:type="dxa"/>
            <w:tcBorders>
              <w:tl2br w:val="nil"/>
              <w:tr2bl w:val="nil"/>
            </w:tcBorders>
            <w:tcMar>
              <w:top w:w="15" w:type="dxa"/>
              <w:left w:w="15" w:type="dxa"/>
              <w:right w:w="15" w:type="dxa"/>
            </w:tcMar>
            <w:vAlign w:val="center"/>
          </w:tcPr>
          <w:p w14:paraId="32C85C59">
            <w:pPr>
              <w:pStyle w:val="44"/>
              <w:rPr>
                <w:color w:val="auto"/>
              </w:rPr>
            </w:pPr>
            <w:r>
              <w:rPr>
                <w:color w:val="auto"/>
              </w:rPr>
              <w:t>华岩镇北井</w:t>
            </w:r>
          </w:p>
        </w:tc>
        <w:tc>
          <w:tcPr>
            <w:tcW w:w="1695" w:type="dxa"/>
            <w:tcBorders>
              <w:tl2br w:val="nil"/>
              <w:tr2bl w:val="nil"/>
            </w:tcBorders>
            <w:tcMar>
              <w:top w:w="15" w:type="dxa"/>
              <w:left w:w="15" w:type="dxa"/>
              <w:right w:w="15" w:type="dxa"/>
            </w:tcMar>
            <w:vAlign w:val="center"/>
          </w:tcPr>
          <w:p w14:paraId="7148DB43">
            <w:pPr>
              <w:pStyle w:val="44"/>
              <w:rPr>
                <w:color w:val="auto"/>
              </w:rPr>
            </w:pPr>
            <w:r>
              <w:rPr>
                <w:rFonts w:hint="eastAsia"/>
                <w:color w:val="auto"/>
              </w:rPr>
              <w:t>4</w:t>
            </w:r>
          </w:p>
        </w:tc>
        <w:tc>
          <w:tcPr>
            <w:tcW w:w="1209" w:type="dxa"/>
            <w:tcBorders>
              <w:tl2br w:val="nil"/>
              <w:tr2bl w:val="nil"/>
            </w:tcBorders>
            <w:tcMar>
              <w:top w:w="15" w:type="dxa"/>
              <w:left w:w="15" w:type="dxa"/>
              <w:right w:w="15" w:type="dxa"/>
            </w:tcMar>
            <w:vAlign w:val="center"/>
          </w:tcPr>
          <w:p w14:paraId="4EFB6E79">
            <w:pPr>
              <w:pStyle w:val="44"/>
              <w:rPr>
                <w:color w:val="auto"/>
              </w:rPr>
            </w:pPr>
          </w:p>
        </w:tc>
      </w:tr>
      <w:tr w14:paraId="70233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4AF098F4">
            <w:pPr>
              <w:pStyle w:val="44"/>
              <w:rPr>
                <w:color w:val="auto"/>
              </w:rPr>
            </w:pPr>
            <w:r>
              <w:rPr>
                <w:color w:val="auto"/>
              </w:rPr>
              <w:t>3</w:t>
            </w:r>
          </w:p>
        </w:tc>
        <w:tc>
          <w:tcPr>
            <w:tcW w:w="3103" w:type="dxa"/>
            <w:tcBorders>
              <w:tl2br w:val="nil"/>
              <w:tr2bl w:val="nil"/>
            </w:tcBorders>
            <w:tcMar>
              <w:top w:w="15" w:type="dxa"/>
              <w:left w:w="15" w:type="dxa"/>
              <w:right w:w="15" w:type="dxa"/>
            </w:tcMar>
            <w:vAlign w:val="center"/>
          </w:tcPr>
          <w:p w14:paraId="0D93D94B">
            <w:pPr>
              <w:pStyle w:val="44"/>
              <w:rPr>
                <w:color w:val="auto"/>
              </w:rPr>
            </w:pPr>
            <w:r>
              <w:rPr>
                <w:color w:val="auto"/>
              </w:rPr>
              <w:t>重庆中梁山饮品有限公司（4号井）</w:t>
            </w:r>
          </w:p>
        </w:tc>
        <w:tc>
          <w:tcPr>
            <w:tcW w:w="2040" w:type="dxa"/>
            <w:tcBorders>
              <w:tl2br w:val="nil"/>
              <w:tr2bl w:val="nil"/>
            </w:tcBorders>
            <w:tcMar>
              <w:top w:w="15" w:type="dxa"/>
              <w:left w:w="15" w:type="dxa"/>
              <w:right w:w="15" w:type="dxa"/>
            </w:tcMar>
            <w:vAlign w:val="center"/>
          </w:tcPr>
          <w:p w14:paraId="26497ECF">
            <w:pPr>
              <w:pStyle w:val="44"/>
              <w:rPr>
                <w:color w:val="auto"/>
              </w:rPr>
            </w:pPr>
            <w:r>
              <w:rPr>
                <w:color w:val="auto"/>
              </w:rPr>
              <w:t>中梁山街道楼房沟</w:t>
            </w:r>
          </w:p>
        </w:tc>
        <w:tc>
          <w:tcPr>
            <w:tcW w:w="1695" w:type="dxa"/>
            <w:tcBorders>
              <w:tl2br w:val="nil"/>
              <w:tr2bl w:val="nil"/>
            </w:tcBorders>
            <w:tcMar>
              <w:top w:w="15" w:type="dxa"/>
              <w:left w:w="15" w:type="dxa"/>
              <w:right w:w="15" w:type="dxa"/>
            </w:tcMar>
            <w:vAlign w:val="center"/>
          </w:tcPr>
          <w:p w14:paraId="2791FFE4">
            <w:pPr>
              <w:pStyle w:val="44"/>
              <w:rPr>
                <w:color w:val="auto"/>
              </w:rPr>
            </w:pPr>
            <w:r>
              <w:rPr>
                <w:rFonts w:hint="eastAsia"/>
                <w:color w:val="auto"/>
              </w:rPr>
              <w:t>3</w:t>
            </w:r>
          </w:p>
        </w:tc>
        <w:tc>
          <w:tcPr>
            <w:tcW w:w="1209" w:type="dxa"/>
            <w:tcBorders>
              <w:tl2br w:val="nil"/>
              <w:tr2bl w:val="nil"/>
            </w:tcBorders>
            <w:tcMar>
              <w:top w:w="15" w:type="dxa"/>
              <w:left w:w="15" w:type="dxa"/>
              <w:right w:w="15" w:type="dxa"/>
            </w:tcMar>
            <w:vAlign w:val="center"/>
          </w:tcPr>
          <w:p w14:paraId="4A1A6177">
            <w:pPr>
              <w:pStyle w:val="44"/>
              <w:rPr>
                <w:color w:val="auto"/>
              </w:rPr>
            </w:pPr>
          </w:p>
        </w:tc>
      </w:tr>
      <w:tr w14:paraId="08F88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5D42112B">
            <w:pPr>
              <w:pStyle w:val="44"/>
              <w:rPr>
                <w:color w:val="auto"/>
              </w:rPr>
            </w:pPr>
            <w:r>
              <w:rPr>
                <w:color w:val="auto"/>
              </w:rPr>
              <w:t>4</w:t>
            </w:r>
          </w:p>
        </w:tc>
        <w:tc>
          <w:tcPr>
            <w:tcW w:w="3103" w:type="dxa"/>
            <w:tcBorders>
              <w:tl2br w:val="nil"/>
              <w:tr2bl w:val="nil"/>
            </w:tcBorders>
            <w:tcMar>
              <w:top w:w="15" w:type="dxa"/>
              <w:left w:w="15" w:type="dxa"/>
              <w:right w:w="15" w:type="dxa"/>
            </w:tcMar>
            <w:vAlign w:val="center"/>
          </w:tcPr>
          <w:p w14:paraId="6C9CDF14">
            <w:pPr>
              <w:pStyle w:val="44"/>
              <w:rPr>
                <w:color w:val="auto"/>
              </w:rPr>
            </w:pPr>
            <w:r>
              <w:rPr>
                <w:color w:val="auto"/>
              </w:rPr>
              <w:t>重庆中梁山饮品有限公司（6号井）</w:t>
            </w:r>
          </w:p>
        </w:tc>
        <w:tc>
          <w:tcPr>
            <w:tcW w:w="2040" w:type="dxa"/>
            <w:tcBorders>
              <w:tl2br w:val="nil"/>
              <w:tr2bl w:val="nil"/>
            </w:tcBorders>
            <w:tcMar>
              <w:top w:w="15" w:type="dxa"/>
              <w:left w:w="15" w:type="dxa"/>
              <w:right w:w="15" w:type="dxa"/>
            </w:tcMar>
            <w:vAlign w:val="center"/>
          </w:tcPr>
          <w:p w14:paraId="6AF89655">
            <w:pPr>
              <w:pStyle w:val="44"/>
              <w:rPr>
                <w:color w:val="auto"/>
              </w:rPr>
            </w:pPr>
            <w:r>
              <w:rPr>
                <w:color w:val="auto"/>
              </w:rPr>
              <w:t>中梁山街道水口山</w:t>
            </w:r>
          </w:p>
        </w:tc>
        <w:tc>
          <w:tcPr>
            <w:tcW w:w="1695" w:type="dxa"/>
            <w:tcBorders>
              <w:tl2br w:val="nil"/>
              <w:tr2bl w:val="nil"/>
            </w:tcBorders>
            <w:tcMar>
              <w:top w:w="15" w:type="dxa"/>
              <w:left w:w="15" w:type="dxa"/>
              <w:right w:w="15" w:type="dxa"/>
            </w:tcMar>
            <w:vAlign w:val="center"/>
          </w:tcPr>
          <w:p w14:paraId="4FC4E577">
            <w:pPr>
              <w:pStyle w:val="44"/>
              <w:rPr>
                <w:color w:val="auto"/>
              </w:rPr>
            </w:pPr>
            <w:r>
              <w:rPr>
                <w:rFonts w:hint="eastAsia"/>
                <w:color w:val="auto"/>
              </w:rPr>
              <w:t>3.65</w:t>
            </w:r>
          </w:p>
        </w:tc>
        <w:tc>
          <w:tcPr>
            <w:tcW w:w="1209" w:type="dxa"/>
            <w:tcBorders>
              <w:tl2br w:val="nil"/>
              <w:tr2bl w:val="nil"/>
            </w:tcBorders>
            <w:tcMar>
              <w:top w:w="15" w:type="dxa"/>
              <w:left w:w="15" w:type="dxa"/>
              <w:right w:w="15" w:type="dxa"/>
            </w:tcMar>
            <w:vAlign w:val="center"/>
          </w:tcPr>
          <w:p w14:paraId="565DD676">
            <w:pPr>
              <w:pStyle w:val="44"/>
              <w:rPr>
                <w:color w:val="auto"/>
              </w:rPr>
            </w:pPr>
          </w:p>
        </w:tc>
      </w:tr>
      <w:tr w14:paraId="557F5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0B7CC8B2">
            <w:pPr>
              <w:pStyle w:val="44"/>
              <w:rPr>
                <w:color w:val="auto"/>
              </w:rPr>
            </w:pPr>
            <w:r>
              <w:rPr>
                <w:color w:val="auto"/>
              </w:rPr>
              <w:t>5</w:t>
            </w:r>
          </w:p>
        </w:tc>
        <w:tc>
          <w:tcPr>
            <w:tcW w:w="3103" w:type="dxa"/>
            <w:tcBorders>
              <w:tl2br w:val="nil"/>
              <w:tr2bl w:val="nil"/>
            </w:tcBorders>
            <w:tcMar>
              <w:top w:w="15" w:type="dxa"/>
              <w:left w:w="15" w:type="dxa"/>
              <w:right w:w="15" w:type="dxa"/>
            </w:tcMar>
            <w:vAlign w:val="center"/>
          </w:tcPr>
          <w:p w14:paraId="72AD1ACC">
            <w:pPr>
              <w:pStyle w:val="44"/>
              <w:rPr>
                <w:color w:val="auto"/>
              </w:rPr>
            </w:pPr>
            <w:r>
              <w:rPr>
                <w:color w:val="auto"/>
              </w:rPr>
              <w:t>重庆允丰正黄酒厂</w:t>
            </w:r>
          </w:p>
        </w:tc>
        <w:tc>
          <w:tcPr>
            <w:tcW w:w="2040" w:type="dxa"/>
            <w:tcBorders>
              <w:tl2br w:val="nil"/>
              <w:tr2bl w:val="nil"/>
            </w:tcBorders>
            <w:tcMar>
              <w:top w:w="15" w:type="dxa"/>
              <w:left w:w="15" w:type="dxa"/>
              <w:right w:w="15" w:type="dxa"/>
            </w:tcMar>
            <w:vAlign w:val="center"/>
          </w:tcPr>
          <w:p w14:paraId="15D56F2E">
            <w:pPr>
              <w:pStyle w:val="44"/>
              <w:rPr>
                <w:color w:val="auto"/>
              </w:rPr>
            </w:pPr>
            <w:r>
              <w:rPr>
                <w:color w:val="auto"/>
              </w:rPr>
              <w:t>元明湾河嘴</w:t>
            </w:r>
          </w:p>
        </w:tc>
        <w:tc>
          <w:tcPr>
            <w:tcW w:w="1695" w:type="dxa"/>
            <w:tcBorders>
              <w:tl2br w:val="nil"/>
              <w:tr2bl w:val="nil"/>
            </w:tcBorders>
            <w:tcMar>
              <w:top w:w="15" w:type="dxa"/>
              <w:left w:w="15" w:type="dxa"/>
              <w:right w:w="15" w:type="dxa"/>
            </w:tcMar>
            <w:vAlign w:val="center"/>
          </w:tcPr>
          <w:p w14:paraId="2B7B7AED">
            <w:pPr>
              <w:pStyle w:val="44"/>
              <w:rPr>
                <w:color w:val="auto"/>
              </w:rPr>
            </w:pPr>
            <w:r>
              <w:rPr>
                <w:rFonts w:hint="eastAsia"/>
                <w:color w:val="auto"/>
              </w:rPr>
              <w:t>0.3</w:t>
            </w:r>
          </w:p>
        </w:tc>
        <w:tc>
          <w:tcPr>
            <w:tcW w:w="1209" w:type="dxa"/>
            <w:tcBorders>
              <w:tl2br w:val="nil"/>
              <w:tr2bl w:val="nil"/>
            </w:tcBorders>
            <w:tcMar>
              <w:top w:w="15" w:type="dxa"/>
              <w:left w:w="15" w:type="dxa"/>
              <w:right w:w="15" w:type="dxa"/>
            </w:tcMar>
            <w:vAlign w:val="center"/>
          </w:tcPr>
          <w:p w14:paraId="204303EC">
            <w:pPr>
              <w:pStyle w:val="44"/>
              <w:rPr>
                <w:color w:val="auto"/>
              </w:rPr>
            </w:pPr>
          </w:p>
        </w:tc>
      </w:tr>
      <w:tr w14:paraId="3ADD6B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767F59AC">
            <w:pPr>
              <w:pStyle w:val="44"/>
              <w:rPr>
                <w:color w:val="auto"/>
              </w:rPr>
            </w:pPr>
            <w:r>
              <w:rPr>
                <w:rFonts w:hint="eastAsia"/>
                <w:color w:val="auto"/>
              </w:rPr>
              <w:t>6</w:t>
            </w:r>
          </w:p>
        </w:tc>
        <w:tc>
          <w:tcPr>
            <w:tcW w:w="3103" w:type="dxa"/>
            <w:tcBorders>
              <w:tl2br w:val="nil"/>
              <w:tr2bl w:val="nil"/>
            </w:tcBorders>
            <w:tcMar>
              <w:top w:w="15" w:type="dxa"/>
              <w:left w:w="15" w:type="dxa"/>
              <w:right w:w="15" w:type="dxa"/>
            </w:tcMar>
            <w:vAlign w:val="center"/>
          </w:tcPr>
          <w:p w14:paraId="1123492A">
            <w:pPr>
              <w:pStyle w:val="44"/>
              <w:rPr>
                <w:color w:val="auto"/>
              </w:rPr>
            </w:pPr>
            <w:r>
              <w:rPr>
                <w:color w:val="auto"/>
              </w:rPr>
              <w:t>重庆力扬物业发展有限公司</w:t>
            </w:r>
          </w:p>
        </w:tc>
        <w:tc>
          <w:tcPr>
            <w:tcW w:w="2040" w:type="dxa"/>
            <w:tcBorders>
              <w:tl2br w:val="nil"/>
              <w:tr2bl w:val="nil"/>
            </w:tcBorders>
            <w:tcMar>
              <w:top w:w="15" w:type="dxa"/>
              <w:left w:w="15" w:type="dxa"/>
              <w:right w:w="15" w:type="dxa"/>
            </w:tcMar>
            <w:vAlign w:val="center"/>
          </w:tcPr>
          <w:p w14:paraId="628A02E6">
            <w:pPr>
              <w:pStyle w:val="44"/>
              <w:rPr>
                <w:color w:val="auto"/>
              </w:rPr>
            </w:pPr>
            <w:r>
              <w:rPr>
                <w:color w:val="auto"/>
              </w:rPr>
              <w:t>金凤镇海兰村</w:t>
            </w:r>
          </w:p>
        </w:tc>
        <w:tc>
          <w:tcPr>
            <w:tcW w:w="1695" w:type="dxa"/>
            <w:tcBorders>
              <w:tl2br w:val="nil"/>
              <w:tr2bl w:val="nil"/>
            </w:tcBorders>
            <w:tcMar>
              <w:top w:w="15" w:type="dxa"/>
              <w:left w:w="15" w:type="dxa"/>
              <w:right w:w="15" w:type="dxa"/>
            </w:tcMar>
            <w:vAlign w:val="center"/>
          </w:tcPr>
          <w:p w14:paraId="0FE0B881">
            <w:pPr>
              <w:pStyle w:val="44"/>
              <w:rPr>
                <w:color w:val="auto"/>
              </w:rPr>
            </w:pPr>
            <w:r>
              <w:rPr>
                <w:rFonts w:hint="eastAsia"/>
                <w:color w:val="auto"/>
              </w:rPr>
              <w:t>32</w:t>
            </w:r>
          </w:p>
        </w:tc>
        <w:tc>
          <w:tcPr>
            <w:tcW w:w="1209" w:type="dxa"/>
            <w:tcBorders>
              <w:tl2br w:val="nil"/>
              <w:tr2bl w:val="nil"/>
            </w:tcBorders>
            <w:tcMar>
              <w:top w:w="15" w:type="dxa"/>
              <w:left w:w="15" w:type="dxa"/>
              <w:right w:w="15" w:type="dxa"/>
            </w:tcMar>
            <w:vAlign w:val="center"/>
          </w:tcPr>
          <w:p w14:paraId="08341624">
            <w:pPr>
              <w:pStyle w:val="44"/>
              <w:rPr>
                <w:color w:val="auto"/>
              </w:rPr>
            </w:pPr>
          </w:p>
        </w:tc>
      </w:tr>
      <w:tr w14:paraId="1D9BED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4CA20277">
            <w:pPr>
              <w:pStyle w:val="44"/>
              <w:rPr>
                <w:color w:val="auto"/>
              </w:rPr>
            </w:pPr>
            <w:r>
              <w:rPr>
                <w:rFonts w:hint="eastAsia"/>
                <w:color w:val="auto"/>
              </w:rPr>
              <w:t>7</w:t>
            </w:r>
          </w:p>
        </w:tc>
        <w:tc>
          <w:tcPr>
            <w:tcW w:w="3103" w:type="dxa"/>
            <w:tcBorders>
              <w:tl2br w:val="nil"/>
              <w:tr2bl w:val="nil"/>
            </w:tcBorders>
            <w:tcMar>
              <w:top w:w="15" w:type="dxa"/>
              <w:left w:w="15" w:type="dxa"/>
              <w:right w:w="15" w:type="dxa"/>
            </w:tcMar>
            <w:vAlign w:val="center"/>
          </w:tcPr>
          <w:p w14:paraId="7354AD78">
            <w:pPr>
              <w:pStyle w:val="44"/>
              <w:rPr>
                <w:color w:val="auto"/>
              </w:rPr>
            </w:pPr>
            <w:r>
              <w:rPr>
                <w:color w:val="auto"/>
              </w:rPr>
              <w:t>重庆金谷（集团）有限公司</w:t>
            </w:r>
          </w:p>
        </w:tc>
        <w:tc>
          <w:tcPr>
            <w:tcW w:w="2040" w:type="dxa"/>
            <w:tcBorders>
              <w:tl2br w:val="nil"/>
              <w:tr2bl w:val="nil"/>
            </w:tcBorders>
            <w:tcMar>
              <w:top w:w="15" w:type="dxa"/>
              <w:left w:w="15" w:type="dxa"/>
              <w:right w:w="15" w:type="dxa"/>
            </w:tcMar>
            <w:vAlign w:val="center"/>
          </w:tcPr>
          <w:p w14:paraId="765CBD86">
            <w:pPr>
              <w:pStyle w:val="44"/>
              <w:rPr>
                <w:color w:val="auto"/>
              </w:rPr>
            </w:pPr>
            <w:r>
              <w:rPr>
                <w:rFonts w:hint="eastAsia"/>
                <w:color w:val="auto"/>
              </w:rPr>
              <w:t>含谷镇</w:t>
            </w:r>
          </w:p>
        </w:tc>
        <w:tc>
          <w:tcPr>
            <w:tcW w:w="1695" w:type="dxa"/>
            <w:tcBorders>
              <w:tl2br w:val="nil"/>
              <w:tr2bl w:val="nil"/>
            </w:tcBorders>
            <w:tcMar>
              <w:top w:w="15" w:type="dxa"/>
              <w:left w:w="15" w:type="dxa"/>
              <w:right w:w="15" w:type="dxa"/>
            </w:tcMar>
            <w:vAlign w:val="center"/>
          </w:tcPr>
          <w:p w14:paraId="04B47E50">
            <w:pPr>
              <w:pStyle w:val="44"/>
              <w:rPr>
                <w:color w:val="auto"/>
              </w:rPr>
            </w:pPr>
            <w:r>
              <w:rPr>
                <w:rFonts w:hint="eastAsia"/>
                <w:color w:val="auto"/>
              </w:rPr>
              <w:t>36.5</w:t>
            </w:r>
          </w:p>
        </w:tc>
        <w:tc>
          <w:tcPr>
            <w:tcW w:w="1209" w:type="dxa"/>
            <w:tcBorders>
              <w:tl2br w:val="nil"/>
              <w:tr2bl w:val="nil"/>
            </w:tcBorders>
            <w:tcMar>
              <w:top w:w="15" w:type="dxa"/>
              <w:left w:w="15" w:type="dxa"/>
              <w:right w:w="15" w:type="dxa"/>
            </w:tcMar>
            <w:vAlign w:val="center"/>
          </w:tcPr>
          <w:p w14:paraId="28B44EB4">
            <w:pPr>
              <w:pStyle w:val="44"/>
              <w:rPr>
                <w:color w:val="auto"/>
              </w:rPr>
            </w:pPr>
          </w:p>
        </w:tc>
      </w:tr>
      <w:tr w14:paraId="675A1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5D5DC9A6">
            <w:pPr>
              <w:pStyle w:val="44"/>
              <w:rPr>
                <w:color w:val="auto"/>
              </w:rPr>
            </w:pPr>
            <w:r>
              <w:rPr>
                <w:rFonts w:hint="eastAsia"/>
                <w:color w:val="auto"/>
              </w:rPr>
              <w:t>8</w:t>
            </w:r>
          </w:p>
        </w:tc>
        <w:tc>
          <w:tcPr>
            <w:tcW w:w="3103" w:type="dxa"/>
            <w:tcBorders>
              <w:tl2br w:val="nil"/>
              <w:tr2bl w:val="nil"/>
            </w:tcBorders>
            <w:tcMar>
              <w:top w:w="15" w:type="dxa"/>
              <w:left w:w="15" w:type="dxa"/>
              <w:right w:w="15" w:type="dxa"/>
            </w:tcMar>
            <w:vAlign w:val="center"/>
          </w:tcPr>
          <w:p w14:paraId="143C5576">
            <w:pPr>
              <w:pStyle w:val="44"/>
              <w:rPr>
                <w:color w:val="auto"/>
              </w:rPr>
            </w:pPr>
            <w:r>
              <w:rPr>
                <w:color w:val="auto"/>
              </w:rPr>
              <w:t>重庆贝迪农业发展有限公司</w:t>
            </w:r>
          </w:p>
        </w:tc>
        <w:tc>
          <w:tcPr>
            <w:tcW w:w="2040" w:type="dxa"/>
            <w:tcBorders>
              <w:tl2br w:val="nil"/>
              <w:tr2bl w:val="nil"/>
            </w:tcBorders>
            <w:tcMar>
              <w:top w:w="15" w:type="dxa"/>
              <w:left w:w="15" w:type="dxa"/>
              <w:right w:w="15" w:type="dxa"/>
            </w:tcMar>
            <w:vAlign w:val="center"/>
          </w:tcPr>
          <w:p w14:paraId="198BCB2C">
            <w:pPr>
              <w:pStyle w:val="44"/>
              <w:rPr>
                <w:color w:val="auto"/>
              </w:rPr>
            </w:pPr>
            <w:r>
              <w:rPr>
                <w:color w:val="auto"/>
              </w:rPr>
              <w:t>白市驿镇太慈村</w:t>
            </w:r>
          </w:p>
        </w:tc>
        <w:tc>
          <w:tcPr>
            <w:tcW w:w="1695" w:type="dxa"/>
            <w:tcBorders>
              <w:tl2br w:val="nil"/>
              <w:tr2bl w:val="nil"/>
            </w:tcBorders>
            <w:tcMar>
              <w:top w:w="15" w:type="dxa"/>
              <w:left w:w="15" w:type="dxa"/>
              <w:right w:w="15" w:type="dxa"/>
            </w:tcMar>
            <w:vAlign w:val="center"/>
          </w:tcPr>
          <w:p w14:paraId="4B54559B">
            <w:pPr>
              <w:pStyle w:val="44"/>
              <w:rPr>
                <w:color w:val="auto"/>
              </w:rPr>
            </w:pPr>
            <w:r>
              <w:rPr>
                <w:rFonts w:hint="eastAsia"/>
                <w:color w:val="auto"/>
              </w:rPr>
              <w:t>53</w:t>
            </w:r>
          </w:p>
        </w:tc>
        <w:tc>
          <w:tcPr>
            <w:tcW w:w="1209" w:type="dxa"/>
            <w:tcBorders>
              <w:tl2br w:val="nil"/>
              <w:tr2bl w:val="nil"/>
            </w:tcBorders>
            <w:tcMar>
              <w:top w:w="15" w:type="dxa"/>
              <w:left w:w="15" w:type="dxa"/>
              <w:right w:w="15" w:type="dxa"/>
            </w:tcMar>
            <w:vAlign w:val="center"/>
          </w:tcPr>
          <w:p w14:paraId="190BFE36">
            <w:pPr>
              <w:pStyle w:val="44"/>
              <w:rPr>
                <w:color w:val="auto"/>
              </w:rPr>
            </w:pPr>
          </w:p>
        </w:tc>
      </w:tr>
      <w:tr w14:paraId="5BBFB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2755C80A">
            <w:pPr>
              <w:pStyle w:val="44"/>
              <w:rPr>
                <w:color w:val="auto"/>
              </w:rPr>
            </w:pPr>
            <w:r>
              <w:rPr>
                <w:rFonts w:hint="eastAsia"/>
                <w:color w:val="auto"/>
              </w:rPr>
              <w:t>9</w:t>
            </w:r>
          </w:p>
        </w:tc>
        <w:tc>
          <w:tcPr>
            <w:tcW w:w="3103" w:type="dxa"/>
            <w:tcBorders>
              <w:tl2br w:val="nil"/>
              <w:tr2bl w:val="nil"/>
            </w:tcBorders>
            <w:tcMar>
              <w:top w:w="15" w:type="dxa"/>
              <w:left w:w="15" w:type="dxa"/>
              <w:right w:w="15" w:type="dxa"/>
            </w:tcMar>
            <w:vAlign w:val="center"/>
          </w:tcPr>
          <w:p w14:paraId="23A14B62">
            <w:pPr>
              <w:pStyle w:val="44"/>
              <w:rPr>
                <w:color w:val="auto"/>
              </w:rPr>
            </w:pPr>
            <w:r>
              <w:rPr>
                <w:color w:val="auto"/>
              </w:rPr>
              <w:t>重庆腾翔实业有限公司</w:t>
            </w:r>
          </w:p>
        </w:tc>
        <w:tc>
          <w:tcPr>
            <w:tcW w:w="2040" w:type="dxa"/>
            <w:tcBorders>
              <w:tl2br w:val="nil"/>
              <w:tr2bl w:val="nil"/>
            </w:tcBorders>
            <w:tcMar>
              <w:top w:w="15" w:type="dxa"/>
              <w:left w:w="15" w:type="dxa"/>
              <w:right w:w="15" w:type="dxa"/>
            </w:tcMar>
            <w:vAlign w:val="center"/>
          </w:tcPr>
          <w:p w14:paraId="103D7EC3">
            <w:pPr>
              <w:pStyle w:val="44"/>
              <w:rPr>
                <w:color w:val="auto"/>
              </w:rPr>
            </w:pPr>
          </w:p>
        </w:tc>
        <w:tc>
          <w:tcPr>
            <w:tcW w:w="1695" w:type="dxa"/>
            <w:tcBorders>
              <w:tl2br w:val="nil"/>
              <w:tr2bl w:val="nil"/>
            </w:tcBorders>
            <w:tcMar>
              <w:top w:w="15" w:type="dxa"/>
              <w:left w:w="15" w:type="dxa"/>
              <w:right w:w="15" w:type="dxa"/>
            </w:tcMar>
            <w:vAlign w:val="center"/>
          </w:tcPr>
          <w:p w14:paraId="05F28A0B">
            <w:pPr>
              <w:pStyle w:val="44"/>
              <w:rPr>
                <w:color w:val="auto"/>
              </w:rPr>
            </w:pPr>
            <w:r>
              <w:rPr>
                <w:rFonts w:hint="eastAsia"/>
                <w:color w:val="auto"/>
              </w:rPr>
              <w:t>27</w:t>
            </w:r>
          </w:p>
        </w:tc>
        <w:tc>
          <w:tcPr>
            <w:tcW w:w="1209" w:type="dxa"/>
            <w:tcBorders>
              <w:tl2br w:val="nil"/>
              <w:tr2bl w:val="nil"/>
            </w:tcBorders>
            <w:tcMar>
              <w:top w:w="15" w:type="dxa"/>
              <w:left w:w="15" w:type="dxa"/>
              <w:right w:w="15" w:type="dxa"/>
            </w:tcMar>
            <w:vAlign w:val="center"/>
          </w:tcPr>
          <w:p w14:paraId="69C01056">
            <w:pPr>
              <w:pStyle w:val="44"/>
              <w:rPr>
                <w:color w:val="auto"/>
              </w:rPr>
            </w:pPr>
          </w:p>
        </w:tc>
      </w:tr>
      <w:tr w14:paraId="6AAB6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 w:type="dxa"/>
            <w:tcBorders>
              <w:tl2br w:val="nil"/>
              <w:tr2bl w:val="nil"/>
            </w:tcBorders>
            <w:tcMar>
              <w:top w:w="15" w:type="dxa"/>
              <w:left w:w="15" w:type="dxa"/>
              <w:right w:w="15" w:type="dxa"/>
            </w:tcMar>
            <w:vAlign w:val="center"/>
          </w:tcPr>
          <w:p w14:paraId="38222304">
            <w:pPr>
              <w:pStyle w:val="44"/>
              <w:rPr>
                <w:color w:val="auto"/>
              </w:rPr>
            </w:pPr>
            <w:r>
              <w:rPr>
                <w:color w:val="auto"/>
              </w:rPr>
              <w:t>合计</w:t>
            </w:r>
          </w:p>
        </w:tc>
        <w:tc>
          <w:tcPr>
            <w:tcW w:w="3103" w:type="dxa"/>
            <w:tcBorders>
              <w:tl2br w:val="nil"/>
              <w:tr2bl w:val="nil"/>
            </w:tcBorders>
            <w:tcMar>
              <w:top w:w="15" w:type="dxa"/>
              <w:left w:w="15" w:type="dxa"/>
              <w:right w:w="15" w:type="dxa"/>
            </w:tcMar>
            <w:vAlign w:val="center"/>
          </w:tcPr>
          <w:p w14:paraId="32CE422A">
            <w:pPr>
              <w:pStyle w:val="44"/>
              <w:rPr>
                <w:color w:val="auto"/>
              </w:rPr>
            </w:pPr>
          </w:p>
        </w:tc>
        <w:tc>
          <w:tcPr>
            <w:tcW w:w="2040" w:type="dxa"/>
            <w:tcBorders>
              <w:tl2br w:val="nil"/>
              <w:tr2bl w:val="nil"/>
            </w:tcBorders>
            <w:tcMar>
              <w:top w:w="15" w:type="dxa"/>
              <w:left w:w="15" w:type="dxa"/>
              <w:right w:w="15" w:type="dxa"/>
            </w:tcMar>
            <w:vAlign w:val="center"/>
          </w:tcPr>
          <w:p w14:paraId="55611D02">
            <w:pPr>
              <w:pStyle w:val="44"/>
              <w:rPr>
                <w:color w:val="auto"/>
              </w:rPr>
            </w:pPr>
          </w:p>
        </w:tc>
        <w:tc>
          <w:tcPr>
            <w:tcW w:w="1695" w:type="dxa"/>
            <w:tcBorders>
              <w:tl2br w:val="nil"/>
              <w:tr2bl w:val="nil"/>
            </w:tcBorders>
            <w:tcMar>
              <w:top w:w="15" w:type="dxa"/>
              <w:left w:w="15" w:type="dxa"/>
              <w:right w:w="15" w:type="dxa"/>
            </w:tcMar>
            <w:vAlign w:val="center"/>
          </w:tcPr>
          <w:p w14:paraId="61B96CB3">
            <w:pPr>
              <w:pStyle w:val="44"/>
              <w:rPr>
                <w:color w:val="auto"/>
              </w:rPr>
            </w:pPr>
            <w:r>
              <w:rPr>
                <w:rFonts w:hint="eastAsia"/>
                <w:color w:val="auto"/>
              </w:rPr>
              <w:t>160.95</w:t>
            </w:r>
          </w:p>
        </w:tc>
        <w:tc>
          <w:tcPr>
            <w:tcW w:w="1209" w:type="dxa"/>
            <w:tcBorders>
              <w:tl2br w:val="nil"/>
              <w:tr2bl w:val="nil"/>
            </w:tcBorders>
            <w:tcMar>
              <w:top w:w="15" w:type="dxa"/>
              <w:left w:w="15" w:type="dxa"/>
              <w:right w:w="15" w:type="dxa"/>
            </w:tcMar>
            <w:vAlign w:val="center"/>
          </w:tcPr>
          <w:p w14:paraId="7EA0824A">
            <w:pPr>
              <w:pStyle w:val="44"/>
              <w:rPr>
                <w:color w:val="auto"/>
              </w:rPr>
            </w:pPr>
          </w:p>
        </w:tc>
      </w:tr>
    </w:tbl>
    <w:p w14:paraId="753799F3">
      <w:pPr>
        <w:ind w:firstLine="480"/>
        <w:rPr>
          <w:color w:val="auto"/>
        </w:rPr>
      </w:pPr>
      <w:r>
        <w:rPr>
          <w:rFonts w:hint="eastAsia"/>
          <w:color w:val="auto"/>
        </w:rPr>
        <w:t>（4）可供水量</w:t>
      </w:r>
    </w:p>
    <w:p w14:paraId="010D5CDC">
      <w:pPr>
        <w:ind w:firstLine="480"/>
        <w:rPr>
          <w:color w:val="auto"/>
        </w:rPr>
      </w:pPr>
      <w:r>
        <w:rPr>
          <w:rFonts w:hint="eastAsia"/>
          <w:color w:val="auto"/>
        </w:rPr>
        <w:t>九龙坡区各分区现状年可供水量见表3.2-6。</w:t>
      </w:r>
    </w:p>
    <w:p w14:paraId="466A3668">
      <w:pPr>
        <w:pStyle w:val="43"/>
        <w:rPr>
          <w:color w:val="auto"/>
        </w:rPr>
      </w:pPr>
      <w:r>
        <w:rPr>
          <w:rFonts w:hint="eastAsia"/>
          <w:color w:val="auto"/>
        </w:rPr>
        <w:t>表3.2-6                   水资源分区可供水量预测表</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28"/>
        <w:gridCol w:w="1316"/>
        <w:gridCol w:w="1420"/>
        <w:gridCol w:w="1420"/>
        <w:gridCol w:w="1598"/>
        <w:gridCol w:w="1245"/>
      </w:tblGrid>
      <w:tr w14:paraId="465439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080" w:type="pct"/>
            <w:vMerge w:val="restart"/>
            <w:tcBorders>
              <w:tl2br w:val="nil"/>
              <w:tr2bl w:val="nil"/>
            </w:tcBorders>
            <w:tcMar>
              <w:top w:w="15" w:type="dxa"/>
              <w:left w:w="15" w:type="dxa"/>
              <w:right w:w="15" w:type="dxa"/>
            </w:tcMar>
            <w:vAlign w:val="center"/>
          </w:tcPr>
          <w:p w14:paraId="4B1D291C">
            <w:pPr>
              <w:pStyle w:val="44"/>
              <w:rPr>
                <w:color w:val="auto"/>
              </w:rPr>
            </w:pPr>
            <w:r>
              <w:rPr>
                <w:color w:val="auto"/>
              </w:rPr>
              <w:t>水资源五级区</w:t>
            </w:r>
          </w:p>
        </w:tc>
        <w:tc>
          <w:tcPr>
            <w:tcW w:w="737" w:type="pct"/>
            <w:vMerge w:val="restart"/>
            <w:tcBorders>
              <w:tl2br w:val="nil"/>
              <w:tr2bl w:val="nil"/>
            </w:tcBorders>
            <w:tcMar>
              <w:top w:w="15" w:type="dxa"/>
              <w:left w:w="15" w:type="dxa"/>
              <w:right w:w="15" w:type="dxa"/>
            </w:tcMar>
            <w:vAlign w:val="center"/>
          </w:tcPr>
          <w:p w14:paraId="277ECFE8">
            <w:pPr>
              <w:pStyle w:val="44"/>
              <w:rPr>
                <w:color w:val="auto"/>
              </w:rPr>
            </w:pPr>
            <w:r>
              <w:rPr>
                <w:color w:val="auto"/>
              </w:rPr>
              <w:t>频率</w:t>
            </w:r>
          </w:p>
        </w:tc>
        <w:tc>
          <w:tcPr>
            <w:tcW w:w="3182" w:type="pct"/>
            <w:gridSpan w:val="4"/>
            <w:tcBorders>
              <w:tl2br w:val="nil"/>
              <w:tr2bl w:val="nil"/>
            </w:tcBorders>
            <w:tcMar>
              <w:top w:w="15" w:type="dxa"/>
              <w:left w:w="15" w:type="dxa"/>
              <w:right w:w="15" w:type="dxa"/>
            </w:tcMar>
            <w:vAlign w:val="center"/>
          </w:tcPr>
          <w:p w14:paraId="64A751EF">
            <w:pPr>
              <w:pStyle w:val="44"/>
              <w:rPr>
                <w:color w:val="auto"/>
              </w:rPr>
            </w:pPr>
            <w:r>
              <w:rPr>
                <w:color w:val="auto"/>
              </w:rPr>
              <w:t>可供水量（万m³）</w:t>
            </w:r>
          </w:p>
        </w:tc>
      </w:tr>
      <w:tr w14:paraId="26920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080" w:type="pct"/>
            <w:vMerge w:val="continue"/>
            <w:tcBorders>
              <w:tl2br w:val="nil"/>
              <w:tr2bl w:val="nil"/>
            </w:tcBorders>
            <w:tcMar>
              <w:top w:w="15" w:type="dxa"/>
              <w:left w:w="15" w:type="dxa"/>
              <w:right w:w="15" w:type="dxa"/>
            </w:tcMar>
            <w:vAlign w:val="center"/>
          </w:tcPr>
          <w:p w14:paraId="6A92F9D8">
            <w:pPr>
              <w:pStyle w:val="44"/>
              <w:rPr>
                <w:color w:val="auto"/>
              </w:rPr>
            </w:pPr>
          </w:p>
        </w:tc>
        <w:tc>
          <w:tcPr>
            <w:tcW w:w="737" w:type="pct"/>
            <w:vMerge w:val="continue"/>
            <w:tcBorders>
              <w:tl2br w:val="nil"/>
              <w:tr2bl w:val="nil"/>
            </w:tcBorders>
            <w:tcMar>
              <w:top w:w="15" w:type="dxa"/>
              <w:left w:w="15" w:type="dxa"/>
              <w:right w:w="15" w:type="dxa"/>
            </w:tcMar>
            <w:vAlign w:val="center"/>
          </w:tcPr>
          <w:p w14:paraId="3D426613">
            <w:pPr>
              <w:pStyle w:val="44"/>
              <w:rPr>
                <w:color w:val="auto"/>
              </w:rPr>
            </w:pPr>
          </w:p>
        </w:tc>
        <w:tc>
          <w:tcPr>
            <w:tcW w:w="795" w:type="pct"/>
            <w:tcBorders>
              <w:tl2br w:val="nil"/>
              <w:tr2bl w:val="nil"/>
            </w:tcBorders>
            <w:tcMar>
              <w:top w:w="15" w:type="dxa"/>
              <w:left w:w="15" w:type="dxa"/>
              <w:right w:w="15" w:type="dxa"/>
            </w:tcMar>
            <w:vAlign w:val="center"/>
          </w:tcPr>
          <w:p w14:paraId="4981F84D">
            <w:pPr>
              <w:pStyle w:val="44"/>
              <w:rPr>
                <w:color w:val="auto"/>
              </w:rPr>
            </w:pPr>
            <w:r>
              <w:rPr>
                <w:rFonts w:hint="eastAsia"/>
                <w:color w:val="auto"/>
              </w:rPr>
              <w:t>蓄水工程</w:t>
            </w:r>
          </w:p>
        </w:tc>
        <w:tc>
          <w:tcPr>
            <w:tcW w:w="795" w:type="pct"/>
            <w:tcBorders>
              <w:tl2br w:val="nil"/>
              <w:tr2bl w:val="nil"/>
            </w:tcBorders>
            <w:tcMar>
              <w:top w:w="15" w:type="dxa"/>
              <w:left w:w="15" w:type="dxa"/>
              <w:right w:w="15" w:type="dxa"/>
            </w:tcMar>
            <w:vAlign w:val="center"/>
          </w:tcPr>
          <w:p w14:paraId="36E43793">
            <w:pPr>
              <w:pStyle w:val="44"/>
              <w:rPr>
                <w:color w:val="auto"/>
              </w:rPr>
            </w:pPr>
            <w:r>
              <w:rPr>
                <w:rFonts w:hint="eastAsia"/>
                <w:color w:val="auto"/>
              </w:rPr>
              <w:t>引提水工程</w:t>
            </w:r>
          </w:p>
        </w:tc>
        <w:tc>
          <w:tcPr>
            <w:tcW w:w="895" w:type="pct"/>
            <w:tcBorders>
              <w:tl2br w:val="nil"/>
              <w:tr2bl w:val="nil"/>
            </w:tcBorders>
            <w:tcMar>
              <w:top w:w="15" w:type="dxa"/>
              <w:left w:w="15" w:type="dxa"/>
              <w:right w:w="15" w:type="dxa"/>
            </w:tcMar>
            <w:vAlign w:val="center"/>
          </w:tcPr>
          <w:p w14:paraId="59972857">
            <w:pPr>
              <w:pStyle w:val="44"/>
              <w:rPr>
                <w:color w:val="auto"/>
              </w:rPr>
            </w:pPr>
            <w:r>
              <w:rPr>
                <w:rFonts w:hint="eastAsia"/>
                <w:color w:val="auto"/>
              </w:rPr>
              <w:t>地下水源工程</w:t>
            </w:r>
          </w:p>
        </w:tc>
        <w:tc>
          <w:tcPr>
            <w:tcW w:w="696" w:type="pct"/>
            <w:tcBorders>
              <w:tl2br w:val="nil"/>
              <w:tr2bl w:val="nil"/>
            </w:tcBorders>
            <w:tcMar>
              <w:top w:w="15" w:type="dxa"/>
              <w:left w:w="15" w:type="dxa"/>
              <w:right w:w="15" w:type="dxa"/>
            </w:tcMar>
            <w:vAlign w:val="center"/>
          </w:tcPr>
          <w:p w14:paraId="70AC3271">
            <w:pPr>
              <w:pStyle w:val="44"/>
              <w:rPr>
                <w:color w:val="auto"/>
              </w:rPr>
            </w:pPr>
            <w:r>
              <w:rPr>
                <w:rFonts w:hint="eastAsia"/>
                <w:color w:val="auto"/>
              </w:rPr>
              <w:t>合计</w:t>
            </w:r>
          </w:p>
        </w:tc>
      </w:tr>
      <w:tr w14:paraId="0F3E33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restart"/>
            <w:tcBorders>
              <w:tl2br w:val="nil"/>
              <w:tr2bl w:val="nil"/>
            </w:tcBorders>
            <w:tcMar>
              <w:top w:w="15" w:type="dxa"/>
              <w:left w:w="15" w:type="dxa"/>
              <w:right w:w="15" w:type="dxa"/>
            </w:tcMar>
            <w:vAlign w:val="center"/>
          </w:tcPr>
          <w:p w14:paraId="4716F7DA">
            <w:pPr>
              <w:pStyle w:val="44"/>
              <w:rPr>
                <w:color w:val="auto"/>
              </w:rPr>
            </w:pPr>
            <w:r>
              <w:rPr>
                <w:color w:val="auto"/>
              </w:rPr>
              <w:t>梁滩河流域片区</w:t>
            </w:r>
          </w:p>
        </w:tc>
        <w:tc>
          <w:tcPr>
            <w:tcW w:w="737" w:type="pct"/>
            <w:tcBorders>
              <w:tl2br w:val="nil"/>
              <w:tr2bl w:val="nil"/>
            </w:tcBorders>
            <w:tcMar>
              <w:top w:w="15" w:type="dxa"/>
              <w:left w:w="15" w:type="dxa"/>
              <w:right w:w="15" w:type="dxa"/>
            </w:tcMar>
            <w:vAlign w:val="center"/>
          </w:tcPr>
          <w:p w14:paraId="74BD4238">
            <w:pPr>
              <w:pStyle w:val="44"/>
              <w:rPr>
                <w:color w:val="auto"/>
              </w:rPr>
            </w:pPr>
            <w:r>
              <w:rPr>
                <w:color w:val="auto"/>
              </w:rPr>
              <w:t>多年平均</w:t>
            </w:r>
          </w:p>
        </w:tc>
        <w:tc>
          <w:tcPr>
            <w:tcW w:w="795" w:type="pct"/>
            <w:tcBorders>
              <w:tl2br w:val="nil"/>
              <w:tr2bl w:val="nil"/>
            </w:tcBorders>
            <w:tcMar>
              <w:top w:w="15" w:type="dxa"/>
              <w:left w:w="15" w:type="dxa"/>
              <w:right w:w="15" w:type="dxa"/>
            </w:tcMar>
            <w:vAlign w:val="center"/>
          </w:tcPr>
          <w:p w14:paraId="09DD9A78">
            <w:pPr>
              <w:pStyle w:val="44"/>
              <w:rPr>
                <w:color w:val="auto"/>
              </w:rPr>
            </w:pPr>
            <w:r>
              <w:rPr>
                <w:color w:val="auto"/>
              </w:rPr>
              <w:t>1885</w:t>
            </w:r>
          </w:p>
        </w:tc>
        <w:tc>
          <w:tcPr>
            <w:tcW w:w="795" w:type="pct"/>
            <w:tcBorders>
              <w:tl2br w:val="nil"/>
              <w:tr2bl w:val="nil"/>
            </w:tcBorders>
            <w:tcMar>
              <w:top w:w="15" w:type="dxa"/>
              <w:left w:w="15" w:type="dxa"/>
              <w:right w:w="15" w:type="dxa"/>
            </w:tcMar>
            <w:vAlign w:val="center"/>
          </w:tcPr>
          <w:p w14:paraId="5B371935">
            <w:pPr>
              <w:pStyle w:val="44"/>
              <w:rPr>
                <w:color w:val="auto"/>
              </w:rPr>
            </w:pPr>
            <w:r>
              <w:rPr>
                <w:rFonts w:hint="eastAsia"/>
                <w:color w:val="auto"/>
              </w:rPr>
              <w:t>4518</w:t>
            </w:r>
          </w:p>
        </w:tc>
        <w:tc>
          <w:tcPr>
            <w:tcW w:w="895" w:type="pct"/>
            <w:tcBorders>
              <w:tl2br w:val="nil"/>
              <w:tr2bl w:val="nil"/>
            </w:tcBorders>
            <w:tcMar>
              <w:top w:w="15" w:type="dxa"/>
              <w:left w:w="15" w:type="dxa"/>
              <w:right w:w="15" w:type="dxa"/>
            </w:tcMar>
            <w:vAlign w:val="center"/>
          </w:tcPr>
          <w:p w14:paraId="5D0AEA9F">
            <w:pPr>
              <w:pStyle w:val="44"/>
              <w:rPr>
                <w:color w:val="auto"/>
              </w:rPr>
            </w:pPr>
            <w:r>
              <w:rPr>
                <w:color w:val="auto"/>
              </w:rPr>
              <w:t>295</w:t>
            </w:r>
          </w:p>
        </w:tc>
        <w:tc>
          <w:tcPr>
            <w:tcW w:w="696" w:type="pct"/>
            <w:tcBorders>
              <w:tl2br w:val="nil"/>
              <w:tr2bl w:val="nil"/>
            </w:tcBorders>
            <w:tcMar>
              <w:top w:w="15" w:type="dxa"/>
              <w:left w:w="15" w:type="dxa"/>
              <w:right w:w="15" w:type="dxa"/>
            </w:tcMar>
            <w:vAlign w:val="center"/>
          </w:tcPr>
          <w:p w14:paraId="32FB469B">
            <w:pPr>
              <w:pStyle w:val="44"/>
              <w:rPr>
                <w:color w:val="auto"/>
              </w:rPr>
            </w:pPr>
            <w:r>
              <w:rPr>
                <w:rFonts w:hint="eastAsia"/>
                <w:color w:val="auto"/>
              </w:rPr>
              <w:t>6699</w:t>
            </w:r>
          </w:p>
        </w:tc>
      </w:tr>
      <w:tr w14:paraId="05DC45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4F2D584F">
            <w:pPr>
              <w:pStyle w:val="44"/>
              <w:rPr>
                <w:color w:val="auto"/>
              </w:rPr>
            </w:pPr>
          </w:p>
        </w:tc>
        <w:tc>
          <w:tcPr>
            <w:tcW w:w="737" w:type="pct"/>
            <w:tcBorders>
              <w:tl2br w:val="nil"/>
              <w:tr2bl w:val="nil"/>
            </w:tcBorders>
            <w:tcMar>
              <w:top w:w="15" w:type="dxa"/>
              <w:left w:w="15" w:type="dxa"/>
              <w:right w:w="15" w:type="dxa"/>
            </w:tcMar>
            <w:vAlign w:val="center"/>
          </w:tcPr>
          <w:p w14:paraId="1348E346">
            <w:pPr>
              <w:pStyle w:val="44"/>
              <w:rPr>
                <w:color w:val="auto"/>
              </w:rPr>
            </w:pPr>
            <w:r>
              <w:rPr>
                <w:color w:val="auto"/>
              </w:rPr>
              <w:t>P=75%</w:t>
            </w:r>
          </w:p>
        </w:tc>
        <w:tc>
          <w:tcPr>
            <w:tcW w:w="795" w:type="pct"/>
            <w:tcBorders>
              <w:tl2br w:val="nil"/>
              <w:tr2bl w:val="nil"/>
            </w:tcBorders>
            <w:tcMar>
              <w:top w:w="15" w:type="dxa"/>
              <w:left w:w="15" w:type="dxa"/>
              <w:right w:w="15" w:type="dxa"/>
            </w:tcMar>
            <w:vAlign w:val="center"/>
          </w:tcPr>
          <w:p w14:paraId="5D1B25E1">
            <w:pPr>
              <w:pStyle w:val="44"/>
              <w:rPr>
                <w:color w:val="auto"/>
              </w:rPr>
            </w:pPr>
            <w:r>
              <w:rPr>
                <w:color w:val="auto"/>
              </w:rPr>
              <w:t>1640</w:t>
            </w:r>
          </w:p>
        </w:tc>
        <w:tc>
          <w:tcPr>
            <w:tcW w:w="795" w:type="pct"/>
            <w:tcBorders>
              <w:tl2br w:val="nil"/>
              <w:tr2bl w:val="nil"/>
            </w:tcBorders>
            <w:tcMar>
              <w:top w:w="15" w:type="dxa"/>
              <w:left w:w="15" w:type="dxa"/>
              <w:right w:w="15" w:type="dxa"/>
            </w:tcMar>
            <w:vAlign w:val="center"/>
          </w:tcPr>
          <w:p w14:paraId="3EC39F6D">
            <w:pPr>
              <w:pStyle w:val="44"/>
              <w:rPr>
                <w:color w:val="auto"/>
              </w:rPr>
            </w:pPr>
            <w:r>
              <w:rPr>
                <w:rFonts w:hint="eastAsia"/>
                <w:color w:val="auto"/>
              </w:rPr>
              <w:t>4518</w:t>
            </w:r>
          </w:p>
        </w:tc>
        <w:tc>
          <w:tcPr>
            <w:tcW w:w="895" w:type="pct"/>
            <w:tcBorders>
              <w:tl2br w:val="nil"/>
              <w:tr2bl w:val="nil"/>
            </w:tcBorders>
            <w:tcMar>
              <w:top w:w="15" w:type="dxa"/>
              <w:left w:w="15" w:type="dxa"/>
              <w:right w:w="15" w:type="dxa"/>
            </w:tcMar>
            <w:vAlign w:val="center"/>
          </w:tcPr>
          <w:p w14:paraId="511919A1">
            <w:pPr>
              <w:pStyle w:val="44"/>
              <w:rPr>
                <w:color w:val="auto"/>
              </w:rPr>
            </w:pPr>
            <w:r>
              <w:rPr>
                <w:color w:val="auto"/>
              </w:rPr>
              <w:t>295</w:t>
            </w:r>
          </w:p>
        </w:tc>
        <w:tc>
          <w:tcPr>
            <w:tcW w:w="696" w:type="pct"/>
            <w:tcBorders>
              <w:tl2br w:val="nil"/>
              <w:tr2bl w:val="nil"/>
            </w:tcBorders>
            <w:tcMar>
              <w:top w:w="15" w:type="dxa"/>
              <w:left w:w="15" w:type="dxa"/>
              <w:right w:w="15" w:type="dxa"/>
            </w:tcMar>
            <w:vAlign w:val="center"/>
          </w:tcPr>
          <w:p w14:paraId="293D31E3">
            <w:pPr>
              <w:pStyle w:val="44"/>
              <w:rPr>
                <w:color w:val="auto"/>
              </w:rPr>
            </w:pPr>
            <w:r>
              <w:rPr>
                <w:rFonts w:hint="eastAsia"/>
                <w:color w:val="auto"/>
              </w:rPr>
              <w:t>6454</w:t>
            </w:r>
          </w:p>
        </w:tc>
      </w:tr>
      <w:tr w14:paraId="338D81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4A37295C">
            <w:pPr>
              <w:pStyle w:val="44"/>
              <w:rPr>
                <w:color w:val="auto"/>
              </w:rPr>
            </w:pPr>
          </w:p>
        </w:tc>
        <w:tc>
          <w:tcPr>
            <w:tcW w:w="737" w:type="pct"/>
            <w:tcBorders>
              <w:tl2br w:val="nil"/>
              <w:tr2bl w:val="nil"/>
            </w:tcBorders>
            <w:tcMar>
              <w:top w:w="15" w:type="dxa"/>
              <w:left w:w="15" w:type="dxa"/>
              <w:right w:w="15" w:type="dxa"/>
            </w:tcMar>
            <w:vAlign w:val="center"/>
          </w:tcPr>
          <w:p w14:paraId="162D1558">
            <w:pPr>
              <w:pStyle w:val="44"/>
              <w:rPr>
                <w:color w:val="auto"/>
              </w:rPr>
            </w:pPr>
            <w:r>
              <w:rPr>
                <w:color w:val="auto"/>
              </w:rPr>
              <w:t>P=95%</w:t>
            </w:r>
          </w:p>
        </w:tc>
        <w:tc>
          <w:tcPr>
            <w:tcW w:w="795" w:type="pct"/>
            <w:tcBorders>
              <w:tl2br w:val="nil"/>
              <w:tr2bl w:val="nil"/>
            </w:tcBorders>
            <w:tcMar>
              <w:top w:w="15" w:type="dxa"/>
              <w:left w:w="15" w:type="dxa"/>
              <w:right w:w="15" w:type="dxa"/>
            </w:tcMar>
            <w:vAlign w:val="center"/>
          </w:tcPr>
          <w:p w14:paraId="74DE2581">
            <w:pPr>
              <w:pStyle w:val="44"/>
              <w:rPr>
                <w:color w:val="auto"/>
              </w:rPr>
            </w:pPr>
            <w:r>
              <w:rPr>
                <w:color w:val="auto"/>
              </w:rPr>
              <w:t>1111</w:t>
            </w:r>
          </w:p>
        </w:tc>
        <w:tc>
          <w:tcPr>
            <w:tcW w:w="795" w:type="pct"/>
            <w:tcBorders>
              <w:tl2br w:val="nil"/>
              <w:tr2bl w:val="nil"/>
            </w:tcBorders>
            <w:tcMar>
              <w:top w:w="15" w:type="dxa"/>
              <w:left w:w="15" w:type="dxa"/>
              <w:right w:w="15" w:type="dxa"/>
            </w:tcMar>
            <w:vAlign w:val="center"/>
          </w:tcPr>
          <w:p w14:paraId="43C29F9C">
            <w:pPr>
              <w:pStyle w:val="44"/>
              <w:rPr>
                <w:color w:val="auto"/>
              </w:rPr>
            </w:pPr>
            <w:r>
              <w:rPr>
                <w:rFonts w:hint="eastAsia"/>
                <w:color w:val="auto"/>
              </w:rPr>
              <w:t>4518</w:t>
            </w:r>
          </w:p>
        </w:tc>
        <w:tc>
          <w:tcPr>
            <w:tcW w:w="895" w:type="pct"/>
            <w:tcBorders>
              <w:tl2br w:val="nil"/>
              <w:tr2bl w:val="nil"/>
            </w:tcBorders>
            <w:tcMar>
              <w:top w:w="15" w:type="dxa"/>
              <w:left w:w="15" w:type="dxa"/>
              <w:right w:w="15" w:type="dxa"/>
            </w:tcMar>
            <w:vAlign w:val="center"/>
          </w:tcPr>
          <w:p w14:paraId="5B1392AE">
            <w:pPr>
              <w:pStyle w:val="44"/>
              <w:rPr>
                <w:color w:val="auto"/>
              </w:rPr>
            </w:pPr>
            <w:r>
              <w:rPr>
                <w:color w:val="auto"/>
              </w:rPr>
              <w:t>295</w:t>
            </w:r>
          </w:p>
        </w:tc>
        <w:tc>
          <w:tcPr>
            <w:tcW w:w="696" w:type="pct"/>
            <w:tcBorders>
              <w:tl2br w:val="nil"/>
              <w:tr2bl w:val="nil"/>
            </w:tcBorders>
            <w:tcMar>
              <w:top w:w="15" w:type="dxa"/>
              <w:left w:w="15" w:type="dxa"/>
              <w:right w:w="15" w:type="dxa"/>
            </w:tcMar>
            <w:vAlign w:val="center"/>
          </w:tcPr>
          <w:p w14:paraId="0241BEBC">
            <w:pPr>
              <w:pStyle w:val="44"/>
              <w:rPr>
                <w:color w:val="auto"/>
              </w:rPr>
            </w:pPr>
            <w:r>
              <w:rPr>
                <w:rFonts w:hint="eastAsia"/>
                <w:color w:val="auto"/>
              </w:rPr>
              <w:t>5925</w:t>
            </w:r>
          </w:p>
        </w:tc>
      </w:tr>
      <w:tr w14:paraId="55A1A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restart"/>
            <w:tcBorders>
              <w:tl2br w:val="nil"/>
              <w:tr2bl w:val="nil"/>
            </w:tcBorders>
            <w:tcMar>
              <w:top w:w="15" w:type="dxa"/>
              <w:left w:w="15" w:type="dxa"/>
              <w:right w:w="15" w:type="dxa"/>
            </w:tcMar>
            <w:vAlign w:val="center"/>
          </w:tcPr>
          <w:p w14:paraId="5100C8F2">
            <w:pPr>
              <w:pStyle w:val="44"/>
              <w:rPr>
                <w:color w:val="auto"/>
              </w:rPr>
            </w:pPr>
            <w:r>
              <w:rPr>
                <w:color w:val="auto"/>
              </w:rPr>
              <w:t>大溪河流域片区</w:t>
            </w:r>
          </w:p>
        </w:tc>
        <w:tc>
          <w:tcPr>
            <w:tcW w:w="737" w:type="pct"/>
            <w:tcBorders>
              <w:tl2br w:val="nil"/>
              <w:tr2bl w:val="nil"/>
            </w:tcBorders>
            <w:tcMar>
              <w:top w:w="15" w:type="dxa"/>
              <w:left w:w="15" w:type="dxa"/>
              <w:right w:w="15" w:type="dxa"/>
            </w:tcMar>
            <w:vAlign w:val="center"/>
          </w:tcPr>
          <w:p w14:paraId="0B71D751">
            <w:pPr>
              <w:pStyle w:val="44"/>
              <w:rPr>
                <w:color w:val="auto"/>
              </w:rPr>
            </w:pPr>
            <w:r>
              <w:rPr>
                <w:color w:val="auto"/>
              </w:rPr>
              <w:t>多年平均</w:t>
            </w:r>
          </w:p>
        </w:tc>
        <w:tc>
          <w:tcPr>
            <w:tcW w:w="795" w:type="pct"/>
            <w:tcBorders>
              <w:tl2br w:val="nil"/>
              <w:tr2bl w:val="nil"/>
            </w:tcBorders>
            <w:tcMar>
              <w:top w:w="15" w:type="dxa"/>
              <w:left w:w="15" w:type="dxa"/>
              <w:right w:w="15" w:type="dxa"/>
            </w:tcMar>
            <w:vAlign w:val="center"/>
          </w:tcPr>
          <w:p w14:paraId="758743DC">
            <w:pPr>
              <w:pStyle w:val="44"/>
              <w:rPr>
                <w:color w:val="auto"/>
              </w:rPr>
            </w:pPr>
            <w:r>
              <w:rPr>
                <w:color w:val="auto"/>
              </w:rPr>
              <w:t>972</w:t>
            </w:r>
          </w:p>
        </w:tc>
        <w:tc>
          <w:tcPr>
            <w:tcW w:w="795" w:type="pct"/>
            <w:tcBorders>
              <w:tl2br w:val="nil"/>
              <w:tr2bl w:val="nil"/>
            </w:tcBorders>
            <w:tcMar>
              <w:top w:w="15" w:type="dxa"/>
              <w:left w:w="15" w:type="dxa"/>
              <w:right w:w="15" w:type="dxa"/>
            </w:tcMar>
            <w:vAlign w:val="center"/>
          </w:tcPr>
          <w:p w14:paraId="09B0296C">
            <w:pPr>
              <w:pStyle w:val="44"/>
              <w:rPr>
                <w:color w:val="auto"/>
              </w:rPr>
            </w:pPr>
            <w:r>
              <w:rPr>
                <w:rFonts w:hint="eastAsia"/>
                <w:color w:val="auto"/>
              </w:rPr>
              <w:t>5149</w:t>
            </w:r>
          </w:p>
        </w:tc>
        <w:tc>
          <w:tcPr>
            <w:tcW w:w="895" w:type="pct"/>
            <w:tcBorders>
              <w:tl2br w:val="nil"/>
              <w:tr2bl w:val="nil"/>
            </w:tcBorders>
            <w:tcMar>
              <w:top w:w="15" w:type="dxa"/>
              <w:left w:w="15" w:type="dxa"/>
              <w:right w:w="15" w:type="dxa"/>
            </w:tcMar>
            <w:vAlign w:val="center"/>
          </w:tcPr>
          <w:p w14:paraId="403FAEB8">
            <w:pPr>
              <w:pStyle w:val="44"/>
              <w:rPr>
                <w:color w:val="auto"/>
              </w:rPr>
            </w:pPr>
            <w:r>
              <w:rPr>
                <w:color w:val="auto"/>
              </w:rPr>
              <w:t>103</w:t>
            </w:r>
          </w:p>
        </w:tc>
        <w:tc>
          <w:tcPr>
            <w:tcW w:w="696" w:type="pct"/>
            <w:tcBorders>
              <w:tl2br w:val="nil"/>
              <w:tr2bl w:val="nil"/>
            </w:tcBorders>
            <w:tcMar>
              <w:top w:w="15" w:type="dxa"/>
              <w:left w:w="15" w:type="dxa"/>
              <w:right w:w="15" w:type="dxa"/>
            </w:tcMar>
            <w:vAlign w:val="center"/>
          </w:tcPr>
          <w:p w14:paraId="2839EE7A">
            <w:pPr>
              <w:pStyle w:val="44"/>
              <w:rPr>
                <w:color w:val="auto"/>
              </w:rPr>
            </w:pPr>
            <w:r>
              <w:rPr>
                <w:rFonts w:hint="eastAsia"/>
                <w:color w:val="auto"/>
              </w:rPr>
              <w:t>6224</w:t>
            </w:r>
          </w:p>
        </w:tc>
      </w:tr>
      <w:tr w14:paraId="262695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714FA052">
            <w:pPr>
              <w:pStyle w:val="44"/>
              <w:rPr>
                <w:color w:val="auto"/>
              </w:rPr>
            </w:pPr>
          </w:p>
        </w:tc>
        <w:tc>
          <w:tcPr>
            <w:tcW w:w="737" w:type="pct"/>
            <w:tcBorders>
              <w:tl2br w:val="nil"/>
              <w:tr2bl w:val="nil"/>
            </w:tcBorders>
            <w:tcMar>
              <w:top w:w="15" w:type="dxa"/>
              <w:left w:w="15" w:type="dxa"/>
              <w:right w:w="15" w:type="dxa"/>
            </w:tcMar>
            <w:vAlign w:val="center"/>
          </w:tcPr>
          <w:p w14:paraId="2152001C">
            <w:pPr>
              <w:pStyle w:val="44"/>
              <w:rPr>
                <w:color w:val="auto"/>
              </w:rPr>
            </w:pPr>
            <w:r>
              <w:rPr>
                <w:color w:val="auto"/>
              </w:rPr>
              <w:t>P=75%</w:t>
            </w:r>
          </w:p>
        </w:tc>
        <w:tc>
          <w:tcPr>
            <w:tcW w:w="795" w:type="pct"/>
            <w:tcBorders>
              <w:tl2br w:val="nil"/>
              <w:tr2bl w:val="nil"/>
            </w:tcBorders>
            <w:tcMar>
              <w:top w:w="15" w:type="dxa"/>
              <w:left w:w="15" w:type="dxa"/>
              <w:right w:w="15" w:type="dxa"/>
            </w:tcMar>
            <w:vAlign w:val="center"/>
          </w:tcPr>
          <w:p w14:paraId="43AA207C">
            <w:pPr>
              <w:pStyle w:val="44"/>
              <w:rPr>
                <w:color w:val="auto"/>
              </w:rPr>
            </w:pPr>
            <w:r>
              <w:rPr>
                <w:color w:val="auto"/>
              </w:rPr>
              <w:t>862</w:t>
            </w:r>
          </w:p>
        </w:tc>
        <w:tc>
          <w:tcPr>
            <w:tcW w:w="795" w:type="pct"/>
            <w:tcBorders>
              <w:tl2br w:val="nil"/>
              <w:tr2bl w:val="nil"/>
            </w:tcBorders>
            <w:tcMar>
              <w:top w:w="15" w:type="dxa"/>
              <w:left w:w="15" w:type="dxa"/>
              <w:right w:w="15" w:type="dxa"/>
            </w:tcMar>
            <w:vAlign w:val="center"/>
          </w:tcPr>
          <w:p w14:paraId="536566B9">
            <w:pPr>
              <w:pStyle w:val="44"/>
              <w:rPr>
                <w:color w:val="auto"/>
              </w:rPr>
            </w:pPr>
            <w:r>
              <w:rPr>
                <w:rFonts w:hint="eastAsia"/>
                <w:color w:val="auto"/>
              </w:rPr>
              <w:t>5149</w:t>
            </w:r>
          </w:p>
        </w:tc>
        <w:tc>
          <w:tcPr>
            <w:tcW w:w="895" w:type="pct"/>
            <w:tcBorders>
              <w:tl2br w:val="nil"/>
              <w:tr2bl w:val="nil"/>
            </w:tcBorders>
            <w:tcMar>
              <w:top w:w="15" w:type="dxa"/>
              <w:left w:w="15" w:type="dxa"/>
              <w:right w:w="15" w:type="dxa"/>
            </w:tcMar>
            <w:vAlign w:val="center"/>
          </w:tcPr>
          <w:p w14:paraId="6564562E">
            <w:pPr>
              <w:pStyle w:val="44"/>
              <w:rPr>
                <w:color w:val="auto"/>
              </w:rPr>
            </w:pPr>
            <w:r>
              <w:rPr>
                <w:color w:val="auto"/>
              </w:rPr>
              <w:t>103</w:t>
            </w:r>
          </w:p>
        </w:tc>
        <w:tc>
          <w:tcPr>
            <w:tcW w:w="696" w:type="pct"/>
            <w:tcBorders>
              <w:tl2br w:val="nil"/>
              <w:tr2bl w:val="nil"/>
            </w:tcBorders>
            <w:tcMar>
              <w:top w:w="15" w:type="dxa"/>
              <w:left w:w="15" w:type="dxa"/>
              <w:right w:w="15" w:type="dxa"/>
            </w:tcMar>
            <w:vAlign w:val="center"/>
          </w:tcPr>
          <w:p w14:paraId="09EB0470">
            <w:pPr>
              <w:pStyle w:val="44"/>
              <w:rPr>
                <w:color w:val="auto"/>
              </w:rPr>
            </w:pPr>
            <w:r>
              <w:rPr>
                <w:rFonts w:hint="eastAsia"/>
                <w:color w:val="auto"/>
              </w:rPr>
              <w:t>6114</w:t>
            </w:r>
          </w:p>
        </w:tc>
      </w:tr>
      <w:tr w14:paraId="6F6C1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1013C0B7">
            <w:pPr>
              <w:pStyle w:val="44"/>
              <w:rPr>
                <w:color w:val="auto"/>
              </w:rPr>
            </w:pPr>
          </w:p>
        </w:tc>
        <w:tc>
          <w:tcPr>
            <w:tcW w:w="737" w:type="pct"/>
            <w:tcBorders>
              <w:tl2br w:val="nil"/>
              <w:tr2bl w:val="nil"/>
            </w:tcBorders>
            <w:tcMar>
              <w:top w:w="15" w:type="dxa"/>
              <w:left w:w="15" w:type="dxa"/>
              <w:right w:w="15" w:type="dxa"/>
            </w:tcMar>
            <w:vAlign w:val="center"/>
          </w:tcPr>
          <w:p w14:paraId="1944B9EF">
            <w:pPr>
              <w:pStyle w:val="44"/>
              <w:rPr>
                <w:color w:val="auto"/>
              </w:rPr>
            </w:pPr>
            <w:r>
              <w:rPr>
                <w:color w:val="auto"/>
              </w:rPr>
              <w:t>P=95%</w:t>
            </w:r>
          </w:p>
        </w:tc>
        <w:tc>
          <w:tcPr>
            <w:tcW w:w="795" w:type="pct"/>
            <w:tcBorders>
              <w:tl2br w:val="nil"/>
              <w:tr2bl w:val="nil"/>
            </w:tcBorders>
            <w:tcMar>
              <w:top w:w="15" w:type="dxa"/>
              <w:left w:w="15" w:type="dxa"/>
              <w:right w:w="15" w:type="dxa"/>
            </w:tcMar>
            <w:vAlign w:val="center"/>
          </w:tcPr>
          <w:p w14:paraId="6A5EE6A6">
            <w:pPr>
              <w:pStyle w:val="44"/>
              <w:rPr>
                <w:color w:val="auto"/>
              </w:rPr>
            </w:pPr>
            <w:r>
              <w:rPr>
                <w:color w:val="auto"/>
              </w:rPr>
              <w:t>672</w:t>
            </w:r>
          </w:p>
        </w:tc>
        <w:tc>
          <w:tcPr>
            <w:tcW w:w="795" w:type="pct"/>
            <w:tcBorders>
              <w:tl2br w:val="nil"/>
              <w:tr2bl w:val="nil"/>
            </w:tcBorders>
            <w:tcMar>
              <w:top w:w="15" w:type="dxa"/>
              <w:left w:w="15" w:type="dxa"/>
              <w:right w:w="15" w:type="dxa"/>
            </w:tcMar>
            <w:vAlign w:val="center"/>
          </w:tcPr>
          <w:p w14:paraId="0D05739C">
            <w:pPr>
              <w:pStyle w:val="44"/>
              <w:rPr>
                <w:color w:val="auto"/>
              </w:rPr>
            </w:pPr>
            <w:r>
              <w:rPr>
                <w:rFonts w:hint="eastAsia"/>
                <w:color w:val="auto"/>
              </w:rPr>
              <w:t>5149</w:t>
            </w:r>
          </w:p>
        </w:tc>
        <w:tc>
          <w:tcPr>
            <w:tcW w:w="895" w:type="pct"/>
            <w:tcBorders>
              <w:tl2br w:val="nil"/>
              <w:tr2bl w:val="nil"/>
            </w:tcBorders>
            <w:tcMar>
              <w:top w:w="15" w:type="dxa"/>
              <w:left w:w="15" w:type="dxa"/>
              <w:right w:w="15" w:type="dxa"/>
            </w:tcMar>
            <w:vAlign w:val="center"/>
          </w:tcPr>
          <w:p w14:paraId="3149FE5D">
            <w:pPr>
              <w:pStyle w:val="44"/>
              <w:rPr>
                <w:color w:val="auto"/>
              </w:rPr>
            </w:pPr>
            <w:r>
              <w:rPr>
                <w:color w:val="auto"/>
              </w:rPr>
              <w:t>103</w:t>
            </w:r>
          </w:p>
        </w:tc>
        <w:tc>
          <w:tcPr>
            <w:tcW w:w="696" w:type="pct"/>
            <w:tcBorders>
              <w:tl2br w:val="nil"/>
              <w:tr2bl w:val="nil"/>
            </w:tcBorders>
            <w:tcMar>
              <w:top w:w="15" w:type="dxa"/>
              <w:left w:w="15" w:type="dxa"/>
              <w:right w:w="15" w:type="dxa"/>
            </w:tcMar>
            <w:vAlign w:val="center"/>
          </w:tcPr>
          <w:p w14:paraId="5920EA4A">
            <w:pPr>
              <w:pStyle w:val="44"/>
              <w:rPr>
                <w:color w:val="auto"/>
              </w:rPr>
            </w:pPr>
            <w:r>
              <w:rPr>
                <w:rFonts w:hint="eastAsia"/>
                <w:color w:val="auto"/>
              </w:rPr>
              <w:t>5924</w:t>
            </w:r>
          </w:p>
        </w:tc>
      </w:tr>
      <w:tr w14:paraId="40B54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restart"/>
            <w:tcBorders>
              <w:tl2br w:val="nil"/>
              <w:tr2bl w:val="nil"/>
            </w:tcBorders>
            <w:tcMar>
              <w:top w:w="15" w:type="dxa"/>
              <w:left w:w="15" w:type="dxa"/>
              <w:right w:w="15" w:type="dxa"/>
            </w:tcMar>
            <w:vAlign w:val="center"/>
          </w:tcPr>
          <w:p w14:paraId="3BEAB99B">
            <w:pPr>
              <w:pStyle w:val="44"/>
              <w:rPr>
                <w:color w:val="auto"/>
              </w:rPr>
            </w:pPr>
            <w:r>
              <w:rPr>
                <w:color w:val="auto"/>
              </w:rPr>
              <w:t>跳蹬河流域片区</w:t>
            </w:r>
          </w:p>
        </w:tc>
        <w:tc>
          <w:tcPr>
            <w:tcW w:w="737" w:type="pct"/>
            <w:tcBorders>
              <w:tl2br w:val="nil"/>
              <w:tr2bl w:val="nil"/>
            </w:tcBorders>
            <w:tcMar>
              <w:top w:w="15" w:type="dxa"/>
              <w:left w:w="15" w:type="dxa"/>
              <w:right w:w="15" w:type="dxa"/>
            </w:tcMar>
            <w:vAlign w:val="center"/>
          </w:tcPr>
          <w:p w14:paraId="21A86A9E">
            <w:pPr>
              <w:pStyle w:val="44"/>
              <w:rPr>
                <w:color w:val="auto"/>
              </w:rPr>
            </w:pPr>
            <w:r>
              <w:rPr>
                <w:color w:val="auto"/>
              </w:rPr>
              <w:t>多年平均</w:t>
            </w:r>
          </w:p>
        </w:tc>
        <w:tc>
          <w:tcPr>
            <w:tcW w:w="795" w:type="pct"/>
            <w:tcBorders>
              <w:tl2br w:val="nil"/>
              <w:tr2bl w:val="nil"/>
            </w:tcBorders>
            <w:tcMar>
              <w:top w:w="15" w:type="dxa"/>
              <w:left w:w="15" w:type="dxa"/>
              <w:right w:w="15" w:type="dxa"/>
            </w:tcMar>
            <w:vAlign w:val="center"/>
          </w:tcPr>
          <w:p w14:paraId="73EFAE4F">
            <w:pPr>
              <w:pStyle w:val="44"/>
              <w:rPr>
                <w:color w:val="auto"/>
              </w:rPr>
            </w:pPr>
            <w:r>
              <w:rPr>
                <w:color w:val="auto"/>
              </w:rPr>
              <w:t>9</w:t>
            </w:r>
          </w:p>
        </w:tc>
        <w:tc>
          <w:tcPr>
            <w:tcW w:w="795" w:type="pct"/>
            <w:tcBorders>
              <w:tl2br w:val="nil"/>
              <w:tr2bl w:val="nil"/>
            </w:tcBorders>
            <w:tcMar>
              <w:top w:w="15" w:type="dxa"/>
              <w:left w:w="15" w:type="dxa"/>
              <w:right w:w="15" w:type="dxa"/>
            </w:tcMar>
            <w:vAlign w:val="center"/>
          </w:tcPr>
          <w:p w14:paraId="6D8A48BE">
            <w:pPr>
              <w:pStyle w:val="44"/>
              <w:rPr>
                <w:color w:val="auto"/>
              </w:rPr>
            </w:pPr>
            <w:r>
              <w:rPr>
                <w:rFonts w:hint="eastAsia"/>
                <w:color w:val="auto"/>
              </w:rPr>
              <w:t>14720</w:t>
            </w:r>
          </w:p>
        </w:tc>
        <w:tc>
          <w:tcPr>
            <w:tcW w:w="895" w:type="pct"/>
            <w:tcBorders>
              <w:tl2br w:val="nil"/>
              <w:tr2bl w:val="nil"/>
            </w:tcBorders>
            <w:tcMar>
              <w:top w:w="15" w:type="dxa"/>
              <w:left w:w="15" w:type="dxa"/>
              <w:right w:w="15" w:type="dxa"/>
            </w:tcMar>
            <w:vAlign w:val="center"/>
          </w:tcPr>
          <w:p w14:paraId="66614CAA">
            <w:pPr>
              <w:pStyle w:val="44"/>
              <w:rPr>
                <w:color w:val="auto"/>
              </w:rPr>
            </w:pPr>
            <w:r>
              <w:rPr>
                <w:color w:val="auto"/>
              </w:rPr>
              <w:t>51</w:t>
            </w:r>
          </w:p>
        </w:tc>
        <w:tc>
          <w:tcPr>
            <w:tcW w:w="696" w:type="pct"/>
            <w:tcBorders>
              <w:tl2br w:val="nil"/>
              <w:tr2bl w:val="nil"/>
            </w:tcBorders>
            <w:tcMar>
              <w:top w:w="15" w:type="dxa"/>
              <w:left w:w="15" w:type="dxa"/>
              <w:right w:w="15" w:type="dxa"/>
            </w:tcMar>
            <w:vAlign w:val="center"/>
          </w:tcPr>
          <w:p w14:paraId="7C3FA65C">
            <w:pPr>
              <w:pStyle w:val="44"/>
              <w:rPr>
                <w:color w:val="auto"/>
              </w:rPr>
            </w:pPr>
            <w:r>
              <w:rPr>
                <w:rFonts w:hint="eastAsia"/>
                <w:color w:val="auto"/>
              </w:rPr>
              <w:t>14780</w:t>
            </w:r>
          </w:p>
        </w:tc>
      </w:tr>
      <w:tr w14:paraId="232859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3CD1A70C">
            <w:pPr>
              <w:pStyle w:val="44"/>
              <w:rPr>
                <w:color w:val="auto"/>
              </w:rPr>
            </w:pPr>
          </w:p>
        </w:tc>
        <w:tc>
          <w:tcPr>
            <w:tcW w:w="737" w:type="pct"/>
            <w:tcBorders>
              <w:tl2br w:val="nil"/>
              <w:tr2bl w:val="nil"/>
            </w:tcBorders>
            <w:tcMar>
              <w:top w:w="15" w:type="dxa"/>
              <w:left w:w="15" w:type="dxa"/>
              <w:right w:w="15" w:type="dxa"/>
            </w:tcMar>
            <w:vAlign w:val="center"/>
          </w:tcPr>
          <w:p w14:paraId="1F3390F0">
            <w:pPr>
              <w:pStyle w:val="44"/>
              <w:rPr>
                <w:color w:val="auto"/>
              </w:rPr>
            </w:pPr>
            <w:r>
              <w:rPr>
                <w:color w:val="auto"/>
              </w:rPr>
              <w:t>P=75%</w:t>
            </w:r>
          </w:p>
        </w:tc>
        <w:tc>
          <w:tcPr>
            <w:tcW w:w="795" w:type="pct"/>
            <w:tcBorders>
              <w:tl2br w:val="nil"/>
              <w:tr2bl w:val="nil"/>
            </w:tcBorders>
            <w:tcMar>
              <w:top w:w="15" w:type="dxa"/>
              <w:left w:w="15" w:type="dxa"/>
              <w:right w:w="15" w:type="dxa"/>
            </w:tcMar>
            <w:vAlign w:val="center"/>
          </w:tcPr>
          <w:p w14:paraId="5AA17D4C">
            <w:pPr>
              <w:pStyle w:val="44"/>
              <w:rPr>
                <w:color w:val="auto"/>
              </w:rPr>
            </w:pPr>
            <w:r>
              <w:rPr>
                <w:color w:val="auto"/>
              </w:rPr>
              <w:t>8</w:t>
            </w:r>
          </w:p>
        </w:tc>
        <w:tc>
          <w:tcPr>
            <w:tcW w:w="795" w:type="pct"/>
            <w:tcBorders>
              <w:tl2br w:val="nil"/>
              <w:tr2bl w:val="nil"/>
            </w:tcBorders>
            <w:tcMar>
              <w:top w:w="15" w:type="dxa"/>
              <w:left w:w="15" w:type="dxa"/>
              <w:right w:w="15" w:type="dxa"/>
            </w:tcMar>
            <w:vAlign w:val="center"/>
          </w:tcPr>
          <w:p w14:paraId="1330C44A">
            <w:pPr>
              <w:pStyle w:val="44"/>
              <w:rPr>
                <w:color w:val="auto"/>
              </w:rPr>
            </w:pPr>
            <w:r>
              <w:rPr>
                <w:rFonts w:hint="eastAsia"/>
                <w:color w:val="auto"/>
              </w:rPr>
              <w:t>14720</w:t>
            </w:r>
          </w:p>
        </w:tc>
        <w:tc>
          <w:tcPr>
            <w:tcW w:w="895" w:type="pct"/>
            <w:tcBorders>
              <w:tl2br w:val="nil"/>
              <w:tr2bl w:val="nil"/>
            </w:tcBorders>
            <w:tcMar>
              <w:top w:w="15" w:type="dxa"/>
              <w:left w:w="15" w:type="dxa"/>
              <w:right w:w="15" w:type="dxa"/>
            </w:tcMar>
            <w:vAlign w:val="center"/>
          </w:tcPr>
          <w:p w14:paraId="45D5D0DB">
            <w:pPr>
              <w:pStyle w:val="44"/>
              <w:rPr>
                <w:color w:val="auto"/>
              </w:rPr>
            </w:pPr>
            <w:r>
              <w:rPr>
                <w:color w:val="auto"/>
              </w:rPr>
              <w:t>51</w:t>
            </w:r>
          </w:p>
        </w:tc>
        <w:tc>
          <w:tcPr>
            <w:tcW w:w="696" w:type="pct"/>
            <w:tcBorders>
              <w:tl2br w:val="nil"/>
              <w:tr2bl w:val="nil"/>
            </w:tcBorders>
            <w:tcMar>
              <w:top w:w="15" w:type="dxa"/>
              <w:left w:w="15" w:type="dxa"/>
              <w:right w:w="15" w:type="dxa"/>
            </w:tcMar>
            <w:vAlign w:val="center"/>
          </w:tcPr>
          <w:p w14:paraId="78957ABA">
            <w:pPr>
              <w:pStyle w:val="44"/>
              <w:rPr>
                <w:color w:val="auto"/>
              </w:rPr>
            </w:pPr>
            <w:r>
              <w:rPr>
                <w:rFonts w:hint="eastAsia"/>
                <w:color w:val="auto"/>
              </w:rPr>
              <w:t>14779</w:t>
            </w:r>
          </w:p>
        </w:tc>
      </w:tr>
      <w:tr w14:paraId="0BF51C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3DA2CE9F">
            <w:pPr>
              <w:pStyle w:val="44"/>
              <w:rPr>
                <w:color w:val="auto"/>
              </w:rPr>
            </w:pPr>
          </w:p>
        </w:tc>
        <w:tc>
          <w:tcPr>
            <w:tcW w:w="737" w:type="pct"/>
            <w:tcBorders>
              <w:tl2br w:val="nil"/>
              <w:tr2bl w:val="nil"/>
            </w:tcBorders>
            <w:tcMar>
              <w:top w:w="15" w:type="dxa"/>
              <w:left w:w="15" w:type="dxa"/>
              <w:right w:w="15" w:type="dxa"/>
            </w:tcMar>
            <w:vAlign w:val="center"/>
          </w:tcPr>
          <w:p w14:paraId="06940DEA">
            <w:pPr>
              <w:pStyle w:val="44"/>
              <w:rPr>
                <w:color w:val="auto"/>
              </w:rPr>
            </w:pPr>
            <w:r>
              <w:rPr>
                <w:color w:val="auto"/>
              </w:rPr>
              <w:t>P=95%</w:t>
            </w:r>
          </w:p>
        </w:tc>
        <w:tc>
          <w:tcPr>
            <w:tcW w:w="795" w:type="pct"/>
            <w:tcBorders>
              <w:tl2br w:val="nil"/>
              <w:tr2bl w:val="nil"/>
            </w:tcBorders>
            <w:tcMar>
              <w:top w:w="15" w:type="dxa"/>
              <w:left w:w="15" w:type="dxa"/>
              <w:right w:w="15" w:type="dxa"/>
            </w:tcMar>
            <w:vAlign w:val="center"/>
          </w:tcPr>
          <w:p w14:paraId="39990284">
            <w:pPr>
              <w:pStyle w:val="44"/>
              <w:rPr>
                <w:color w:val="auto"/>
              </w:rPr>
            </w:pPr>
            <w:r>
              <w:rPr>
                <w:color w:val="auto"/>
              </w:rPr>
              <w:t>7</w:t>
            </w:r>
          </w:p>
        </w:tc>
        <w:tc>
          <w:tcPr>
            <w:tcW w:w="795" w:type="pct"/>
            <w:tcBorders>
              <w:tl2br w:val="nil"/>
              <w:tr2bl w:val="nil"/>
            </w:tcBorders>
            <w:tcMar>
              <w:top w:w="15" w:type="dxa"/>
              <w:left w:w="15" w:type="dxa"/>
              <w:right w:w="15" w:type="dxa"/>
            </w:tcMar>
            <w:vAlign w:val="center"/>
          </w:tcPr>
          <w:p w14:paraId="11A44C49">
            <w:pPr>
              <w:pStyle w:val="44"/>
              <w:rPr>
                <w:color w:val="auto"/>
              </w:rPr>
            </w:pPr>
            <w:r>
              <w:rPr>
                <w:rFonts w:hint="eastAsia"/>
                <w:color w:val="auto"/>
              </w:rPr>
              <w:t>14720</w:t>
            </w:r>
          </w:p>
        </w:tc>
        <w:tc>
          <w:tcPr>
            <w:tcW w:w="895" w:type="pct"/>
            <w:tcBorders>
              <w:tl2br w:val="nil"/>
              <w:tr2bl w:val="nil"/>
            </w:tcBorders>
            <w:tcMar>
              <w:top w:w="15" w:type="dxa"/>
              <w:left w:w="15" w:type="dxa"/>
              <w:right w:w="15" w:type="dxa"/>
            </w:tcMar>
            <w:vAlign w:val="center"/>
          </w:tcPr>
          <w:p w14:paraId="343720E4">
            <w:pPr>
              <w:pStyle w:val="44"/>
              <w:rPr>
                <w:color w:val="auto"/>
              </w:rPr>
            </w:pPr>
            <w:r>
              <w:rPr>
                <w:color w:val="auto"/>
              </w:rPr>
              <w:t>51</w:t>
            </w:r>
          </w:p>
        </w:tc>
        <w:tc>
          <w:tcPr>
            <w:tcW w:w="696" w:type="pct"/>
            <w:tcBorders>
              <w:tl2br w:val="nil"/>
              <w:tr2bl w:val="nil"/>
            </w:tcBorders>
            <w:tcMar>
              <w:top w:w="15" w:type="dxa"/>
              <w:left w:w="15" w:type="dxa"/>
              <w:right w:w="15" w:type="dxa"/>
            </w:tcMar>
            <w:vAlign w:val="center"/>
          </w:tcPr>
          <w:p w14:paraId="62A2CFA2">
            <w:pPr>
              <w:pStyle w:val="44"/>
              <w:rPr>
                <w:color w:val="auto"/>
              </w:rPr>
            </w:pPr>
            <w:r>
              <w:rPr>
                <w:rFonts w:hint="eastAsia"/>
                <w:color w:val="auto"/>
              </w:rPr>
              <w:t>14778</w:t>
            </w:r>
          </w:p>
        </w:tc>
      </w:tr>
      <w:tr w14:paraId="07C33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restart"/>
            <w:tcBorders>
              <w:tl2br w:val="nil"/>
              <w:tr2bl w:val="nil"/>
            </w:tcBorders>
            <w:tcMar>
              <w:top w:w="15" w:type="dxa"/>
              <w:left w:w="15" w:type="dxa"/>
              <w:right w:w="15" w:type="dxa"/>
            </w:tcMar>
            <w:vAlign w:val="center"/>
          </w:tcPr>
          <w:p w14:paraId="3E2D4A95">
            <w:pPr>
              <w:pStyle w:val="44"/>
              <w:rPr>
                <w:color w:val="auto"/>
              </w:rPr>
            </w:pPr>
            <w:r>
              <w:rPr>
                <w:color w:val="auto"/>
              </w:rPr>
              <w:t>合计</w:t>
            </w:r>
          </w:p>
        </w:tc>
        <w:tc>
          <w:tcPr>
            <w:tcW w:w="737" w:type="pct"/>
            <w:tcBorders>
              <w:tl2br w:val="nil"/>
              <w:tr2bl w:val="nil"/>
            </w:tcBorders>
            <w:tcMar>
              <w:top w:w="15" w:type="dxa"/>
              <w:left w:w="15" w:type="dxa"/>
              <w:right w:w="15" w:type="dxa"/>
            </w:tcMar>
            <w:vAlign w:val="center"/>
          </w:tcPr>
          <w:p w14:paraId="199B6639">
            <w:pPr>
              <w:pStyle w:val="44"/>
              <w:rPr>
                <w:color w:val="auto"/>
              </w:rPr>
            </w:pPr>
            <w:r>
              <w:rPr>
                <w:color w:val="auto"/>
              </w:rPr>
              <w:t>多年平均</w:t>
            </w:r>
          </w:p>
        </w:tc>
        <w:tc>
          <w:tcPr>
            <w:tcW w:w="795" w:type="pct"/>
            <w:tcBorders>
              <w:tl2br w:val="nil"/>
              <w:tr2bl w:val="nil"/>
            </w:tcBorders>
            <w:tcMar>
              <w:top w:w="15" w:type="dxa"/>
              <w:left w:w="15" w:type="dxa"/>
              <w:right w:w="15" w:type="dxa"/>
            </w:tcMar>
            <w:vAlign w:val="center"/>
          </w:tcPr>
          <w:p w14:paraId="4E2206EE">
            <w:pPr>
              <w:pStyle w:val="44"/>
              <w:rPr>
                <w:color w:val="auto"/>
              </w:rPr>
            </w:pPr>
            <w:r>
              <w:rPr>
                <w:color w:val="auto"/>
              </w:rPr>
              <w:t>2867</w:t>
            </w:r>
          </w:p>
        </w:tc>
        <w:tc>
          <w:tcPr>
            <w:tcW w:w="795" w:type="pct"/>
            <w:tcBorders>
              <w:tl2br w:val="nil"/>
              <w:tr2bl w:val="nil"/>
            </w:tcBorders>
            <w:tcMar>
              <w:top w:w="15" w:type="dxa"/>
              <w:left w:w="15" w:type="dxa"/>
              <w:right w:w="15" w:type="dxa"/>
            </w:tcMar>
            <w:vAlign w:val="center"/>
          </w:tcPr>
          <w:p w14:paraId="7AB59548">
            <w:pPr>
              <w:pStyle w:val="44"/>
              <w:rPr>
                <w:color w:val="auto"/>
              </w:rPr>
            </w:pPr>
            <w:r>
              <w:rPr>
                <w:rFonts w:hint="eastAsia"/>
                <w:color w:val="auto"/>
              </w:rPr>
              <w:t>24388</w:t>
            </w:r>
          </w:p>
        </w:tc>
        <w:tc>
          <w:tcPr>
            <w:tcW w:w="895" w:type="pct"/>
            <w:tcBorders>
              <w:tl2br w:val="nil"/>
              <w:tr2bl w:val="nil"/>
            </w:tcBorders>
            <w:tcMar>
              <w:top w:w="15" w:type="dxa"/>
              <w:left w:w="15" w:type="dxa"/>
              <w:right w:w="15" w:type="dxa"/>
            </w:tcMar>
            <w:vAlign w:val="center"/>
          </w:tcPr>
          <w:p w14:paraId="47CB4147">
            <w:pPr>
              <w:pStyle w:val="44"/>
              <w:rPr>
                <w:color w:val="auto"/>
              </w:rPr>
            </w:pPr>
            <w:r>
              <w:rPr>
                <w:color w:val="auto"/>
              </w:rPr>
              <w:t>449</w:t>
            </w:r>
          </w:p>
        </w:tc>
        <w:tc>
          <w:tcPr>
            <w:tcW w:w="696" w:type="pct"/>
            <w:tcBorders>
              <w:tl2br w:val="nil"/>
              <w:tr2bl w:val="nil"/>
            </w:tcBorders>
            <w:tcMar>
              <w:top w:w="15" w:type="dxa"/>
              <w:left w:w="15" w:type="dxa"/>
              <w:right w:w="15" w:type="dxa"/>
            </w:tcMar>
            <w:vAlign w:val="center"/>
          </w:tcPr>
          <w:p w14:paraId="6011A1AE">
            <w:pPr>
              <w:pStyle w:val="44"/>
              <w:rPr>
                <w:color w:val="auto"/>
              </w:rPr>
            </w:pPr>
            <w:r>
              <w:rPr>
                <w:rFonts w:hint="eastAsia"/>
                <w:color w:val="auto"/>
              </w:rPr>
              <w:t>27703</w:t>
            </w:r>
          </w:p>
        </w:tc>
      </w:tr>
      <w:tr w14:paraId="114476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0573EC79">
            <w:pPr>
              <w:pStyle w:val="44"/>
              <w:rPr>
                <w:color w:val="auto"/>
              </w:rPr>
            </w:pPr>
          </w:p>
        </w:tc>
        <w:tc>
          <w:tcPr>
            <w:tcW w:w="737" w:type="pct"/>
            <w:tcBorders>
              <w:tl2br w:val="nil"/>
              <w:tr2bl w:val="nil"/>
            </w:tcBorders>
            <w:tcMar>
              <w:top w:w="15" w:type="dxa"/>
              <w:left w:w="15" w:type="dxa"/>
              <w:right w:w="15" w:type="dxa"/>
            </w:tcMar>
            <w:vAlign w:val="center"/>
          </w:tcPr>
          <w:p w14:paraId="12B85869">
            <w:pPr>
              <w:pStyle w:val="44"/>
              <w:rPr>
                <w:color w:val="auto"/>
              </w:rPr>
            </w:pPr>
            <w:r>
              <w:rPr>
                <w:color w:val="auto"/>
              </w:rPr>
              <w:t>P=75%</w:t>
            </w:r>
          </w:p>
        </w:tc>
        <w:tc>
          <w:tcPr>
            <w:tcW w:w="795" w:type="pct"/>
            <w:tcBorders>
              <w:tl2br w:val="nil"/>
              <w:tr2bl w:val="nil"/>
            </w:tcBorders>
            <w:tcMar>
              <w:top w:w="15" w:type="dxa"/>
              <w:left w:w="15" w:type="dxa"/>
              <w:right w:w="15" w:type="dxa"/>
            </w:tcMar>
            <w:vAlign w:val="center"/>
          </w:tcPr>
          <w:p w14:paraId="3757BD8A">
            <w:pPr>
              <w:pStyle w:val="44"/>
              <w:rPr>
                <w:color w:val="auto"/>
              </w:rPr>
            </w:pPr>
            <w:r>
              <w:rPr>
                <w:color w:val="auto"/>
              </w:rPr>
              <w:t>2510</w:t>
            </w:r>
          </w:p>
        </w:tc>
        <w:tc>
          <w:tcPr>
            <w:tcW w:w="795" w:type="pct"/>
            <w:tcBorders>
              <w:tl2br w:val="nil"/>
              <w:tr2bl w:val="nil"/>
            </w:tcBorders>
            <w:tcMar>
              <w:top w:w="15" w:type="dxa"/>
              <w:left w:w="15" w:type="dxa"/>
              <w:right w:w="15" w:type="dxa"/>
            </w:tcMar>
            <w:vAlign w:val="center"/>
          </w:tcPr>
          <w:p w14:paraId="1F2AA528">
            <w:pPr>
              <w:pStyle w:val="44"/>
              <w:rPr>
                <w:color w:val="auto"/>
              </w:rPr>
            </w:pPr>
            <w:r>
              <w:rPr>
                <w:rFonts w:hint="eastAsia"/>
                <w:color w:val="auto"/>
              </w:rPr>
              <w:t>24388</w:t>
            </w:r>
          </w:p>
        </w:tc>
        <w:tc>
          <w:tcPr>
            <w:tcW w:w="895" w:type="pct"/>
            <w:tcBorders>
              <w:tl2br w:val="nil"/>
              <w:tr2bl w:val="nil"/>
            </w:tcBorders>
            <w:tcMar>
              <w:top w:w="15" w:type="dxa"/>
              <w:left w:w="15" w:type="dxa"/>
              <w:right w:w="15" w:type="dxa"/>
            </w:tcMar>
            <w:vAlign w:val="center"/>
          </w:tcPr>
          <w:p w14:paraId="67B87C3C">
            <w:pPr>
              <w:pStyle w:val="44"/>
              <w:rPr>
                <w:color w:val="auto"/>
              </w:rPr>
            </w:pPr>
            <w:r>
              <w:rPr>
                <w:color w:val="auto"/>
              </w:rPr>
              <w:t>449</w:t>
            </w:r>
          </w:p>
        </w:tc>
        <w:tc>
          <w:tcPr>
            <w:tcW w:w="696" w:type="pct"/>
            <w:tcBorders>
              <w:tl2br w:val="nil"/>
              <w:tr2bl w:val="nil"/>
            </w:tcBorders>
            <w:tcMar>
              <w:top w:w="15" w:type="dxa"/>
              <w:left w:w="15" w:type="dxa"/>
              <w:right w:w="15" w:type="dxa"/>
            </w:tcMar>
            <w:vAlign w:val="center"/>
          </w:tcPr>
          <w:p w14:paraId="600F13C4">
            <w:pPr>
              <w:pStyle w:val="44"/>
              <w:rPr>
                <w:color w:val="auto"/>
              </w:rPr>
            </w:pPr>
            <w:r>
              <w:rPr>
                <w:rFonts w:hint="eastAsia"/>
                <w:color w:val="auto"/>
              </w:rPr>
              <w:t>27347</w:t>
            </w:r>
          </w:p>
        </w:tc>
      </w:tr>
      <w:tr w14:paraId="0B200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0" w:type="pct"/>
            <w:vMerge w:val="continue"/>
            <w:tcBorders>
              <w:tl2br w:val="nil"/>
              <w:tr2bl w:val="nil"/>
            </w:tcBorders>
            <w:tcMar>
              <w:top w:w="15" w:type="dxa"/>
              <w:left w:w="15" w:type="dxa"/>
              <w:right w:w="15" w:type="dxa"/>
            </w:tcMar>
            <w:vAlign w:val="center"/>
          </w:tcPr>
          <w:p w14:paraId="66A9CF46">
            <w:pPr>
              <w:pStyle w:val="44"/>
              <w:rPr>
                <w:color w:val="auto"/>
              </w:rPr>
            </w:pPr>
          </w:p>
        </w:tc>
        <w:tc>
          <w:tcPr>
            <w:tcW w:w="737" w:type="pct"/>
            <w:tcBorders>
              <w:tl2br w:val="nil"/>
              <w:tr2bl w:val="nil"/>
            </w:tcBorders>
            <w:tcMar>
              <w:top w:w="15" w:type="dxa"/>
              <w:left w:w="15" w:type="dxa"/>
              <w:right w:w="15" w:type="dxa"/>
            </w:tcMar>
            <w:vAlign w:val="center"/>
          </w:tcPr>
          <w:p w14:paraId="6078635C">
            <w:pPr>
              <w:pStyle w:val="44"/>
              <w:rPr>
                <w:color w:val="auto"/>
              </w:rPr>
            </w:pPr>
            <w:r>
              <w:rPr>
                <w:color w:val="auto"/>
              </w:rPr>
              <w:t>P=95%</w:t>
            </w:r>
          </w:p>
        </w:tc>
        <w:tc>
          <w:tcPr>
            <w:tcW w:w="795" w:type="pct"/>
            <w:tcBorders>
              <w:tl2br w:val="nil"/>
              <w:tr2bl w:val="nil"/>
            </w:tcBorders>
            <w:tcMar>
              <w:top w:w="15" w:type="dxa"/>
              <w:left w:w="15" w:type="dxa"/>
              <w:right w:w="15" w:type="dxa"/>
            </w:tcMar>
            <w:vAlign w:val="center"/>
          </w:tcPr>
          <w:p w14:paraId="4F281691">
            <w:pPr>
              <w:pStyle w:val="44"/>
              <w:rPr>
                <w:color w:val="auto"/>
              </w:rPr>
            </w:pPr>
            <w:r>
              <w:rPr>
                <w:color w:val="auto"/>
              </w:rPr>
              <w:t>1790</w:t>
            </w:r>
          </w:p>
        </w:tc>
        <w:tc>
          <w:tcPr>
            <w:tcW w:w="795" w:type="pct"/>
            <w:tcBorders>
              <w:tl2br w:val="nil"/>
              <w:tr2bl w:val="nil"/>
            </w:tcBorders>
            <w:tcMar>
              <w:top w:w="15" w:type="dxa"/>
              <w:left w:w="15" w:type="dxa"/>
              <w:right w:w="15" w:type="dxa"/>
            </w:tcMar>
            <w:vAlign w:val="center"/>
          </w:tcPr>
          <w:p w14:paraId="43FA7763">
            <w:pPr>
              <w:pStyle w:val="44"/>
              <w:rPr>
                <w:color w:val="auto"/>
              </w:rPr>
            </w:pPr>
            <w:r>
              <w:rPr>
                <w:rFonts w:hint="eastAsia"/>
                <w:color w:val="auto"/>
              </w:rPr>
              <w:t>24388</w:t>
            </w:r>
          </w:p>
        </w:tc>
        <w:tc>
          <w:tcPr>
            <w:tcW w:w="895" w:type="pct"/>
            <w:tcBorders>
              <w:tl2br w:val="nil"/>
              <w:tr2bl w:val="nil"/>
            </w:tcBorders>
            <w:tcMar>
              <w:top w:w="15" w:type="dxa"/>
              <w:left w:w="15" w:type="dxa"/>
              <w:right w:w="15" w:type="dxa"/>
            </w:tcMar>
            <w:vAlign w:val="center"/>
          </w:tcPr>
          <w:p w14:paraId="72386B40">
            <w:pPr>
              <w:pStyle w:val="44"/>
              <w:rPr>
                <w:color w:val="auto"/>
              </w:rPr>
            </w:pPr>
            <w:r>
              <w:rPr>
                <w:color w:val="auto"/>
              </w:rPr>
              <w:t>449</w:t>
            </w:r>
          </w:p>
        </w:tc>
        <w:tc>
          <w:tcPr>
            <w:tcW w:w="696" w:type="pct"/>
            <w:tcBorders>
              <w:tl2br w:val="nil"/>
              <w:tr2bl w:val="nil"/>
            </w:tcBorders>
            <w:tcMar>
              <w:top w:w="15" w:type="dxa"/>
              <w:left w:w="15" w:type="dxa"/>
              <w:right w:w="15" w:type="dxa"/>
            </w:tcMar>
            <w:vAlign w:val="center"/>
          </w:tcPr>
          <w:p w14:paraId="1690E3CC">
            <w:pPr>
              <w:pStyle w:val="44"/>
              <w:rPr>
                <w:color w:val="auto"/>
              </w:rPr>
            </w:pPr>
            <w:r>
              <w:rPr>
                <w:rFonts w:hint="eastAsia"/>
                <w:color w:val="auto"/>
              </w:rPr>
              <w:t>26627</w:t>
            </w:r>
          </w:p>
        </w:tc>
      </w:tr>
    </w:tbl>
    <w:p w14:paraId="4C11B610">
      <w:pPr>
        <w:pStyle w:val="5"/>
        <w:numPr>
          <w:ilvl w:val="0"/>
          <w:numId w:val="0"/>
        </w:numPr>
        <w:spacing w:before="166" w:after="166"/>
        <w:rPr>
          <w:color w:val="auto"/>
        </w:rPr>
      </w:pPr>
      <w:r>
        <w:rPr>
          <w:color w:val="auto"/>
        </w:rPr>
        <w:t>3.2.3水资源开发利用现状</w:t>
      </w:r>
    </w:p>
    <w:p w14:paraId="63C31657">
      <w:pPr>
        <w:ind w:firstLine="480"/>
        <w:rPr>
          <w:color w:val="auto"/>
        </w:rPr>
      </w:pPr>
      <w:r>
        <w:rPr>
          <w:color w:val="auto"/>
        </w:rPr>
        <w:t>（1）供水量</w:t>
      </w:r>
    </w:p>
    <w:p w14:paraId="53BD07F3">
      <w:pPr>
        <w:ind w:firstLine="480"/>
        <w:rPr>
          <w:color w:val="auto"/>
        </w:rPr>
      </w:pPr>
      <w:r>
        <w:rPr>
          <w:color w:val="auto"/>
        </w:rPr>
        <w:t>供水量是指各种供水工程为用户提供的（包括输水损失在内）毛水量，也称取水量。</w:t>
      </w:r>
    </w:p>
    <w:p w14:paraId="764CD66D">
      <w:pPr>
        <w:ind w:firstLine="480"/>
        <w:rPr>
          <w:color w:val="auto"/>
        </w:rPr>
      </w:pPr>
      <w:r>
        <w:rPr>
          <w:color w:val="auto"/>
        </w:rPr>
        <w:t>根据《201</w:t>
      </w:r>
      <w:r>
        <w:rPr>
          <w:rFonts w:hint="eastAsia"/>
          <w:color w:val="auto"/>
        </w:rPr>
        <w:t>9</w:t>
      </w:r>
      <w:r>
        <w:rPr>
          <w:color w:val="auto"/>
        </w:rPr>
        <w:t>年</w:t>
      </w:r>
      <w:r>
        <w:rPr>
          <w:rFonts w:hint="eastAsia"/>
          <w:color w:val="auto"/>
        </w:rPr>
        <w:t>度</w:t>
      </w:r>
      <w:r>
        <w:rPr>
          <w:color w:val="auto"/>
        </w:rPr>
        <w:t>九龙坡区水资源公报</w:t>
      </w:r>
      <w:r>
        <w:rPr>
          <w:rFonts w:hint="eastAsia"/>
          <w:color w:val="auto"/>
        </w:rPr>
        <w:t>统计报表</w:t>
      </w:r>
      <w:r>
        <w:rPr>
          <w:color w:val="auto"/>
        </w:rPr>
        <w:t>》，201</w:t>
      </w:r>
      <w:r>
        <w:rPr>
          <w:rFonts w:hint="eastAsia"/>
          <w:color w:val="auto"/>
        </w:rPr>
        <w:t>9</w:t>
      </w:r>
      <w:r>
        <w:rPr>
          <w:color w:val="auto"/>
        </w:rPr>
        <w:t>年九龙坡区总供水量为</w:t>
      </w:r>
      <w:r>
        <w:rPr>
          <w:rFonts w:hint="eastAsia"/>
          <w:color w:val="auto"/>
        </w:rPr>
        <w:t>2.3365</w:t>
      </w:r>
      <w:r>
        <w:rPr>
          <w:color w:val="auto"/>
        </w:rPr>
        <w:t>亿m³，其中地表水</w:t>
      </w:r>
      <w:r>
        <w:rPr>
          <w:rFonts w:hint="eastAsia"/>
          <w:color w:val="auto"/>
        </w:rPr>
        <w:t>源</w:t>
      </w:r>
      <w:r>
        <w:rPr>
          <w:color w:val="auto"/>
        </w:rPr>
        <w:t>供水量</w:t>
      </w:r>
      <w:r>
        <w:rPr>
          <w:rFonts w:hint="eastAsia"/>
          <w:color w:val="auto"/>
        </w:rPr>
        <w:t>2.3149</w:t>
      </w:r>
      <w:r>
        <w:rPr>
          <w:color w:val="auto"/>
        </w:rPr>
        <w:t>亿m³，占总供水量的99.</w:t>
      </w:r>
      <w:r>
        <w:rPr>
          <w:rFonts w:hint="eastAsia"/>
          <w:color w:val="auto"/>
        </w:rPr>
        <w:t>08</w:t>
      </w:r>
      <w:r>
        <w:rPr>
          <w:color w:val="auto"/>
        </w:rPr>
        <w:t>%，地下水</w:t>
      </w:r>
      <w:r>
        <w:rPr>
          <w:rFonts w:hint="eastAsia"/>
          <w:color w:val="auto"/>
        </w:rPr>
        <w:t>源</w:t>
      </w:r>
      <w:r>
        <w:rPr>
          <w:color w:val="auto"/>
        </w:rPr>
        <w:t>供水量0.00</w:t>
      </w:r>
      <w:r>
        <w:rPr>
          <w:rFonts w:hint="eastAsia"/>
          <w:color w:val="auto"/>
        </w:rPr>
        <w:t>70</w:t>
      </w:r>
      <w:r>
        <w:rPr>
          <w:color w:val="auto"/>
        </w:rPr>
        <w:t>亿m³，占总供水量的0.3</w:t>
      </w:r>
      <w:r>
        <w:rPr>
          <w:rFonts w:hint="eastAsia"/>
          <w:color w:val="auto"/>
        </w:rPr>
        <w:t>0</w:t>
      </w:r>
      <w:r>
        <w:rPr>
          <w:color w:val="auto"/>
        </w:rPr>
        <w:t xml:space="preserve"> %</w:t>
      </w:r>
      <w:r>
        <w:rPr>
          <w:rFonts w:hint="eastAsia"/>
          <w:color w:val="auto"/>
        </w:rPr>
        <w:t>，其他水源供水量0.0146</w:t>
      </w:r>
      <w:r>
        <w:rPr>
          <w:color w:val="auto"/>
        </w:rPr>
        <w:t>亿m³，占总供水量的0.</w:t>
      </w:r>
      <w:r>
        <w:rPr>
          <w:rFonts w:hint="eastAsia"/>
          <w:color w:val="auto"/>
        </w:rPr>
        <w:t>62</w:t>
      </w:r>
      <w:r>
        <w:rPr>
          <w:color w:val="auto"/>
        </w:rPr>
        <w:t>%。在地表水</w:t>
      </w:r>
      <w:r>
        <w:rPr>
          <w:rFonts w:hint="eastAsia"/>
          <w:color w:val="auto"/>
        </w:rPr>
        <w:t>源</w:t>
      </w:r>
      <w:r>
        <w:rPr>
          <w:color w:val="auto"/>
        </w:rPr>
        <w:t>供水量中，</w:t>
      </w:r>
      <w:r>
        <w:rPr>
          <w:rFonts w:hint="eastAsia"/>
          <w:color w:val="auto"/>
        </w:rPr>
        <w:t>蓄水工程供水量</w:t>
      </w:r>
      <w:r>
        <w:rPr>
          <w:color w:val="auto"/>
        </w:rPr>
        <w:t>0.</w:t>
      </w:r>
      <w:r>
        <w:rPr>
          <w:rFonts w:hint="eastAsia"/>
          <w:color w:val="auto"/>
        </w:rPr>
        <w:t>2149</w:t>
      </w:r>
      <w:r>
        <w:rPr>
          <w:color w:val="auto"/>
        </w:rPr>
        <w:t>亿m³</w:t>
      </w:r>
      <w:r>
        <w:rPr>
          <w:rFonts w:hint="eastAsia"/>
          <w:color w:val="auto"/>
        </w:rPr>
        <w:t>，占</w:t>
      </w:r>
      <w:r>
        <w:rPr>
          <w:color w:val="auto"/>
        </w:rPr>
        <w:t>地表水</w:t>
      </w:r>
      <w:r>
        <w:rPr>
          <w:rFonts w:hint="eastAsia"/>
          <w:color w:val="auto"/>
        </w:rPr>
        <w:t>源</w:t>
      </w:r>
      <w:r>
        <w:rPr>
          <w:color w:val="auto"/>
        </w:rPr>
        <w:t>供水量</w:t>
      </w:r>
      <w:r>
        <w:rPr>
          <w:rFonts w:hint="eastAsia"/>
          <w:color w:val="auto"/>
        </w:rPr>
        <w:t>的9.28；</w:t>
      </w:r>
      <w:r>
        <w:rPr>
          <w:color w:val="auto"/>
        </w:rPr>
        <w:t>提水工程供水量2.10</w:t>
      </w:r>
      <w:r>
        <w:rPr>
          <w:rFonts w:hint="eastAsia"/>
          <w:color w:val="auto"/>
        </w:rPr>
        <w:t>00</w:t>
      </w:r>
      <w:r>
        <w:rPr>
          <w:color w:val="auto"/>
        </w:rPr>
        <w:t>亿m³</w:t>
      </w:r>
      <w:r>
        <w:rPr>
          <w:rFonts w:hint="eastAsia"/>
          <w:color w:val="auto"/>
        </w:rPr>
        <w:t>，占</w:t>
      </w:r>
      <w:r>
        <w:rPr>
          <w:color w:val="auto"/>
        </w:rPr>
        <w:t>地表水</w:t>
      </w:r>
      <w:r>
        <w:rPr>
          <w:rFonts w:hint="eastAsia"/>
          <w:color w:val="auto"/>
        </w:rPr>
        <w:t>源</w:t>
      </w:r>
      <w:r>
        <w:rPr>
          <w:color w:val="auto"/>
        </w:rPr>
        <w:t>供水量</w:t>
      </w:r>
      <w:r>
        <w:rPr>
          <w:rFonts w:hint="eastAsia"/>
          <w:color w:val="auto"/>
        </w:rPr>
        <w:t>的90.72%</w:t>
      </w:r>
      <w:r>
        <w:rPr>
          <w:color w:val="auto"/>
        </w:rPr>
        <w:t>。</w:t>
      </w:r>
    </w:p>
    <w:p w14:paraId="25F66249">
      <w:pPr>
        <w:ind w:firstLine="480"/>
        <w:rPr>
          <w:color w:val="auto"/>
        </w:rPr>
      </w:pPr>
      <w:r>
        <w:rPr>
          <w:color w:val="auto"/>
        </w:rPr>
        <w:t>（2）用水量</w:t>
      </w:r>
    </w:p>
    <w:p w14:paraId="523AF35C">
      <w:pPr>
        <w:ind w:firstLine="480"/>
        <w:rPr>
          <w:color w:val="auto"/>
        </w:rPr>
      </w:pPr>
      <w:r>
        <w:rPr>
          <w:color w:val="auto"/>
        </w:rPr>
        <w:t>用水主要有生产用水、生活用水和生态环境用水三大类，其中生产用水又分为第一产业用水（农田灌溉用水、林牧渔业灌溉用水和牲畜用水）、第二产业用水（工业用水和建筑用水）和第三产业用水（各种服务行业用水）。</w:t>
      </w:r>
    </w:p>
    <w:p w14:paraId="009066EC">
      <w:pPr>
        <w:ind w:firstLine="480"/>
        <w:rPr>
          <w:color w:val="auto"/>
        </w:rPr>
      </w:pPr>
      <w:r>
        <w:rPr>
          <w:color w:val="auto"/>
        </w:rPr>
        <w:t>根据《201</w:t>
      </w:r>
      <w:r>
        <w:rPr>
          <w:rFonts w:hint="eastAsia"/>
          <w:color w:val="auto"/>
        </w:rPr>
        <w:t>9</w:t>
      </w:r>
      <w:r>
        <w:rPr>
          <w:color w:val="auto"/>
        </w:rPr>
        <w:t>年</w:t>
      </w:r>
      <w:r>
        <w:rPr>
          <w:rFonts w:hint="eastAsia"/>
          <w:color w:val="auto"/>
        </w:rPr>
        <w:t>度</w:t>
      </w:r>
      <w:r>
        <w:rPr>
          <w:color w:val="auto"/>
        </w:rPr>
        <w:t>九龙坡区水资源公报</w:t>
      </w:r>
      <w:r>
        <w:rPr>
          <w:rFonts w:hint="eastAsia"/>
          <w:color w:val="auto"/>
        </w:rPr>
        <w:t>统计报表</w:t>
      </w:r>
      <w:r>
        <w:rPr>
          <w:color w:val="auto"/>
        </w:rPr>
        <w:t>》，201</w:t>
      </w:r>
      <w:r>
        <w:rPr>
          <w:rFonts w:hint="eastAsia"/>
          <w:color w:val="auto"/>
        </w:rPr>
        <w:t>9</w:t>
      </w:r>
      <w:r>
        <w:rPr>
          <w:color w:val="auto"/>
        </w:rPr>
        <w:t>年九龙坡区总用水量为</w:t>
      </w:r>
      <w:r>
        <w:rPr>
          <w:rFonts w:hint="eastAsia"/>
          <w:color w:val="auto"/>
        </w:rPr>
        <w:t>2.3365</w:t>
      </w:r>
      <w:r>
        <w:rPr>
          <w:color w:val="auto"/>
        </w:rPr>
        <w:t>亿m³，其中农田灌溉用水量为0.15</w:t>
      </w:r>
      <w:r>
        <w:rPr>
          <w:rFonts w:hint="eastAsia"/>
          <w:color w:val="auto"/>
        </w:rPr>
        <w:t>2</w:t>
      </w:r>
      <w:r>
        <w:rPr>
          <w:color w:val="auto"/>
        </w:rPr>
        <w:t>0亿m³，林牧渔畜用水量为0.06</w:t>
      </w:r>
      <w:r>
        <w:rPr>
          <w:rFonts w:hint="eastAsia"/>
          <w:color w:val="auto"/>
        </w:rPr>
        <w:t>18</w:t>
      </w:r>
      <w:r>
        <w:rPr>
          <w:color w:val="auto"/>
        </w:rPr>
        <w:t>亿m³，工业用水量为0.7</w:t>
      </w:r>
      <w:r>
        <w:rPr>
          <w:rFonts w:hint="eastAsia"/>
          <w:color w:val="auto"/>
        </w:rPr>
        <w:t>809</w:t>
      </w:r>
      <w:r>
        <w:rPr>
          <w:color w:val="auto"/>
        </w:rPr>
        <w:t>亿m³，城镇公共用水量为0.3</w:t>
      </w:r>
      <w:r>
        <w:rPr>
          <w:rFonts w:hint="eastAsia"/>
          <w:color w:val="auto"/>
        </w:rPr>
        <w:t>693</w:t>
      </w:r>
      <w:r>
        <w:rPr>
          <w:color w:val="auto"/>
        </w:rPr>
        <w:t>亿m³，居民生活用水量为0.9</w:t>
      </w:r>
      <w:r>
        <w:rPr>
          <w:rFonts w:hint="eastAsia"/>
          <w:color w:val="auto"/>
        </w:rPr>
        <w:t>209</w:t>
      </w:r>
      <w:r>
        <w:rPr>
          <w:color w:val="auto"/>
        </w:rPr>
        <w:t>亿m³，生态环境用水量为0.0</w:t>
      </w:r>
      <w:r>
        <w:rPr>
          <w:rFonts w:hint="eastAsia"/>
          <w:color w:val="auto"/>
        </w:rPr>
        <w:t>516</w:t>
      </w:r>
      <w:r>
        <w:rPr>
          <w:color w:val="auto"/>
        </w:rPr>
        <w:t>亿m³。</w:t>
      </w:r>
      <w:r>
        <w:rPr>
          <w:rFonts w:hint="eastAsia"/>
          <w:color w:val="auto"/>
        </w:rPr>
        <w:t>其中</w:t>
      </w:r>
      <w:r>
        <w:rPr>
          <w:color w:val="auto"/>
        </w:rPr>
        <w:t>工业用水量</w:t>
      </w:r>
      <w:r>
        <w:rPr>
          <w:rFonts w:hint="eastAsia"/>
          <w:color w:val="auto"/>
        </w:rPr>
        <w:t>占比最大，为33.42%。</w:t>
      </w:r>
    </w:p>
    <w:p w14:paraId="4F168131">
      <w:pPr>
        <w:ind w:firstLine="480"/>
        <w:rPr>
          <w:color w:val="auto"/>
        </w:rPr>
      </w:pPr>
      <w:r>
        <w:rPr>
          <w:color w:val="auto"/>
        </w:rPr>
        <w:t>（3）耗水量</w:t>
      </w:r>
    </w:p>
    <w:p w14:paraId="2F8B9336">
      <w:pPr>
        <w:ind w:firstLine="480"/>
        <w:rPr>
          <w:color w:val="auto"/>
        </w:rPr>
      </w:pPr>
      <w:r>
        <w:rPr>
          <w:color w:val="auto"/>
        </w:rPr>
        <w:t>耗水量即用水消耗量，指在输水、用水过程中，通过蒸腾蒸发、土壤吸收、产品吸附、居民和牲畜饮用等多种途径消耗掉，而不能回归至地表水体和地下饱和含水层的水量。</w:t>
      </w:r>
    </w:p>
    <w:p w14:paraId="164B3159">
      <w:pPr>
        <w:ind w:firstLine="480"/>
        <w:rPr>
          <w:color w:val="auto"/>
        </w:rPr>
      </w:pPr>
      <w:r>
        <w:rPr>
          <w:color w:val="auto"/>
        </w:rPr>
        <w:t>根据《201</w:t>
      </w:r>
      <w:r>
        <w:rPr>
          <w:rFonts w:hint="eastAsia"/>
          <w:color w:val="auto"/>
        </w:rPr>
        <w:t>9</w:t>
      </w:r>
      <w:r>
        <w:rPr>
          <w:color w:val="auto"/>
        </w:rPr>
        <w:t>年</w:t>
      </w:r>
      <w:r>
        <w:rPr>
          <w:rFonts w:hint="eastAsia"/>
          <w:color w:val="auto"/>
        </w:rPr>
        <w:t>度</w:t>
      </w:r>
      <w:r>
        <w:rPr>
          <w:color w:val="auto"/>
        </w:rPr>
        <w:t>九龙坡区水资源公报</w:t>
      </w:r>
      <w:r>
        <w:rPr>
          <w:rFonts w:hint="eastAsia"/>
          <w:color w:val="auto"/>
        </w:rPr>
        <w:t>统计报表</w:t>
      </w:r>
      <w:r>
        <w:rPr>
          <w:color w:val="auto"/>
        </w:rPr>
        <w:t>》，201</w:t>
      </w:r>
      <w:r>
        <w:rPr>
          <w:rFonts w:hint="eastAsia"/>
          <w:color w:val="auto"/>
        </w:rPr>
        <w:t>9</w:t>
      </w:r>
      <w:r>
        <w:rPr>
          <w:color w:val="auto"/>
        </w:rPr>
        <w:t>年九龙坡区总</w:t>
      </w:r>
      <w:r>
        <w:rPr>
          <w:rFonts w:hint="eastAsia"/>
          <w:color w:val="auto"/>
        </w:rPr>
        <w:t>耗水量为1.1049</w:t>
      </w:r>
      <w:r>
        <w:rPr>
          <w:color w:val="auto"/>
        </w:rPr>
        <w:t>亿m³，</w:t>
      </w:r>
      <w:r>
        <w:rPr>
          <w:rFonts w:hint="eastAsia"/>
          <w:color w:val="auto"/>
        </w:rPr>
        <w:t>总耗水率47.29%</w:t>
      </w:r>
      <w:r>
        <w:rPr>
          <w:color w:val="auto"/>
        </w:rPr>
        <w:t>，其中农田灌溉</w:t>
      </w:r>
      <w:r>
        <w:rPr>
          <w:rFonts w:hint="eastAsia"/>
          <w:color w:val="auto"/>
        </w:rPr>
        <w:t>耗水量0.1202</w:t>
      </w:r>
      <w:r>
        <w:rPr>
          <w:color w:val="auto"/>
        </w:rPr>
        <w:t>亿m³</w:t>
      </w:r>
      <w:r>
        <w:rPr>
          <w:rFonts w:hint="eastAsia"/>
          <w:color w:val="auto"/>
        </w:rPr>
        <w:t>，耗水率79.08%；</w:t>
      </w:r>
      <w:r>
        <w:rPr>
          <w:color w:val="auto"/>
        </w:rPr>
        <w:t>林牧渔畜</w:t>
      </w:r>
      <w:r>
        <w:rPr>
          <w:rFonts w:hint="eastAsia"/>
          <w:color w:val="auto"/>
        </w:rPr>
        <w:t>耗水量0.0514</w:t>
      </w:r>
      <w:r>
        <w:rPr>
          <w:color w:val="auto"/>
        </w:rPr>
        <w:t>亿m³</w:t>
      </w:r>
      <w:r>
        <w:rPr>
          <w:rFonts w:hint="eastAsia"/>
          <w:color w:val="auto"/>
        </w:rPr>
        <w:t>，耗水率83.17%；</w:t>
      </w:r>
      <w:r>
        <w:rPr>
          <w:color w:val="auto"/>
        </w:rPr>
        <w:t>工业</w:t>
      </w:r>
      <w:r>
        <w:rPr>
          <w:rFonts w:hint="eastAsia"/>
          <w:color w:val="auto"/>
        </w:rPr>
        <w:t>耗水量0.3219</w:t>
      </w:r>
      <w:r>
        <w:rPr>
          <w:color w:val="auto"/>
        </w:rPr>
        <w:t>亿m³</w:t>
      </w:r>
      <w:r>
        <w:rPr>
          <w:rFonts w:hint="eastAsia"/>
          <w:color w:val="auto"/>
        </w:rPr>
        <w:t>，耗水率41.22%；</w:t>
      </w:r>
      <w:r>
        <w:rPr>
          <w:color w:val="auto"/>
        </w:rPr>
        <w:t>城镇公共</w:t>
      </w:r>
      <w:r>
        <w:rPr>
          <w:rFonts w:hint="eastAsia"/>
          <w:color w:val="auto"/>
        </w:rPr>
        <w:t>耗水量0.1700</w:t>
      </w:r>
      <w:r>
        <w:rPr>
          <w:color w:val="auto"/>
        </w:rPr>
        <w:t>亿m³</w:t>
      </w:r>
      <w:r>
        <w:rPr>
          <w:rFonts w:hint="eastAsia"/>
          <w:color w:val="auto"/>
        </w:rPr>
        <w:t>，耗水率46.03%；</w:t>
      </w:r>
      <w:r>
        <w:rPr>
          <w:color w:val="auto"/>
        </w:rPr>
        <w:t>居民生活</w:t>
      </w:r>
      <w:r>
        <w:rPr>
          <w:rFonts w:hint="eastAsia"/>
          <w:color w:val="auto"/>
        </w:rPr>
        <w:t>耗水量0.3974</w:t>
      </w:r>
      <w:r>
        <w:rPr>
          <w:color w:val="auto"/>
        </w:rPr>
        <w:t>亿m³</w:t>
      </w:r>
      <w:r>
        <w:rPr>
          <w:rFonts w:hint="eastAsia"/>
          <w:color w:val="auto"/>
        </w:rPr>
        <w:t>，耗水率43.15%；</w:t>
      </w:r>
      <w:r>
        <w:rPr>
          <w:color w:val="auto"/>
        </w:rPr>
        <w:t>生态环境</w:t>
      </w:r>
      <w:r>
        <w:rPr>
          <w:rFonts w:hint="eastAsia"/>
          <w:color w:val="auto"/>
        </w:rPr>
        <w:t>耗水量</w:t>
      </w:r>
      <w:r>
        <w:rPr>
          <w:color w:val="auto"/>
        </w:rPr>
        <w:t>为</w:t>
      </w:r>
      <w:r>
        <w:rPr>
          <w:rFonts w:hint="eastAsia"/>
          <w:color w:val="auto"/>
        </w:rPr>
        <w:t>0.0439</w:t>
      </w:r>
      <w:r>
        <w:rPr>
          <w:color w:val="auto"/>
        </w:rPr>
        <w:t>亿m³</w:t>
      </w:r>
      <w:r>
        <w:rPr>
          <w:rFonts w:hint="eastAsia"/>
          <w:color w:val="auto"/>
        </w:rPr>
        <w:t>，耗水率85.08%</w:t>
      </w:r>
      <w:r>
        <w:rPr>
          <w:color w:val="auto"/>
        </w:rPr>
        <w:t>。</w:t>
      </w:r>
    </w:p>
    <w:p w14:paraId="5E101AA7">
      <w:pPr>
        <w:ind w:firstLine="480"/>
        <w:rPr>
          <w:color w:val="auto"/>
        </w:rPr>
      </w:pPr>
      <w:r>
        <w:rPr>
          <w:color w:val="auto"/>
        </w:rPr>
        <w:t>（4）排水量</w:t>
      </w:r>
    </w:p>
    <w:p w14:paraId="13F9C972">
      <w:pPr>
        <w:ind w:firstLine="480"/>
        <w:rPr>
          <w:color w:val="auto"/>
        </w:rPr>
      </w:pPr>
      <w:r>
        <w:rPr>
          <w:color w:val="auto"/>
        </w:rPr>
        <w:t>排水量包括城镇居民生活、第二产业和第三产业、矿坑排水量等用水户排放的废污水量。</w:t>
      </w:r>
    </w:p>
    <w:p w14:paraId="0EF73D22">
      <w:pPr>
        <w:ind w:firstLine="480"/>
        <w:rPr>
          <w:color w:val="auto"/>
        </w:rPr>
      </w:pPr>
      <w:r>
        <w:rPr>
          <w:color w:val="auto"/>
        </w:rPr>
        <w:t>根据《201</w:t>
      </w:r>
      <w:r>
        <w:rPr>
          <w:rFonts w:hint="eastAsia"/>
          <w:color w:val="auto"/>
        </w:rPr>
        <w:t>9</w:t>
      </w:r>
      <w:r>
        <w:rPr>
          <w:color w:val="auto"/>
        </w:rPr>
        <w:t>年</w:t>
      </w:r>
      <w:r>
        <w:rPr>
          <w:rFonts w:hint="eastAsia"/>
          <w:color w:val="auto"/>
        </w:rPr>
        <w:t>度</w:t>
      </w:r>
      <w:r>
        <w:rPr>
          <w:color w:val="auto"/>
        </w:rPr>
        <w:t>九龙坡区水资源公报</w:t>
      </w:r>
      <w:r>
        <w:rPr>
          <w:rFonts w:hint="eastAsia"/>
          <w:color w:val="auto"/>
        </w:rPr>
        <w:t>统计报表</w:t>
      </w:r>
      <w:r>
        <w:rPr>
          <w:color w:val="auto"/>
        </w:rPr>
        <w:t>》，2019年九龙坡区总用户废污水排放量</w:t>
      </w:r>
      <w:r>
        <w:rPr>
          <w:rFonts w:hint="eastAsia"/>
          <w:color w:val="auto"/>
        </w:rPr>
        <w:t>为11703</w:t>
      </w:r>
      <w:r>
        <w:rPr>
          <w:color w:val="auto"/>
        </w:rPr>
        <w:t>万t，其中城镇居民生活排污量</w:t>
      </w:r>
      <w:r>
        <w:rPr>
          <w:rFonts w:hint="eastAsia"/>
          <w:color w:val="auto"/>
        </w:rPr>
        <w:t>5121</w:t>
      </w:r>
      <w:r>
        <w:rPr>
          <w:color w:val="auto"/>
        </w:rPr>
        <w:t>万t，占总排放量</w:t>
      </w:r>
      <w:r>
        <w:rPr>
          <w:rFonts w:hint="eastAsia"/>
          <w:color w:val="auto"/>
        </w:rPr>
        <w:t>的43.76</w:t>
      </w:r>
      <w:r>
        <w:rPr>
          <w:color w:val="auto"/>
        </w:rPr>
        <w:t>%；第二产业排污量</w:t>
      </w:r>
      <w:r>
        <w:rPr>
          <w:rFonts w:hint="eastAsia"/>
          <w:color w:val="auto"/>
        </w:rPr>
        <w:t>4833</w:t>
      </w:r>
      <w:r>
        <w:rPr>
          <w:color w:val="auto"/>
        </w:rPr>
        <w:t>万t（其中工业</w:t>
      </w:r>
      <w:r>
        <w:rPr>
          <w:rFonts w:hint="eastAsia"/>
          <w:color w:val="auto"/>
        </w:rPr>
        <w:t>4589</w:t>
      </w:r>
      <w:r>
        <w:rPr>
          <w:color w:val="auto"/>
        </w:rPr>
        <w:t>万t，建筑业</w:t>
      </w:r>
      <w:r>
        <w:rPr>
          <w:rFonts w:hint="eastAsia"/>
          <w:color w:val="auto"/>
        </w:rPr>
        <w:t>244</w:t>
      </w:r>
      <w:r>
        <w:rPr>
          <w:color w:val="auto"/>
        </w:rPr>
        <w:t>万t），占总排放量</w:t>
      </w:r>
      <w:r>
        <w:rPr>
          <w:rFonts w:hint="eastAsia"/>
          <w:color w:val="auto"/>
        </w:rPr>
        <w:t>的41.30</w:t>
      </w:r>
      <w:r>
        <w:rPr>
          <w:color w:val="auto"/>
        </w:rPr>
        <w:t>%；第三产业排污量</w:t>
      </w:r>
      <w:r>
        <w:rPr>
          <w:rFonts w:hint="eastAsia"/>
          <w:color w:val="auto"/>
        </w:rPr>
        <w:t>1749</w:t>
      </w:r>
      <w:r>
        <w:rPr>
          <w:color w:val="auto"/>
        </w:rPr>
        <w:t>万t，占总排放量</w:t>
      </w:r>
      <w:r>
        <w:rPr>
          <w:rFonts w:hint="eastAsia"/>
          <w:color w:val="auto"/>
        </w:rPr>
        <w:t>的14.94</w:t>
      </w:r>
      <w:r>
        <w:rPr>
          <w:color w:val="auto"/>
        </w:rPr>
        <w:t>%。</w:t>
      </w:r>
    </w:p>
    <w:p w14:paraId="1828BCD6">
      <w:pPr>
        <w:ind w:firstLine="480"/>
        <w:rPr>
          <w:color w:val="auto"/>
        </w:rPr>
      </w:pPr>
      <w:r>
        <w:rPr>
          <w:color w:val="auto"/>
        </w:rPr>
        <w:t>（5）用水水平与用水结构</w:t>
      </w:r>
    </w:p>
    <w:p w14:paraId="7FA0DFB2">
      <w:pPr>
        <w:ind w:firstLine="480"/>
        <w:rPr>
          <w:color w:val="auto"/>
        </w:rPr>
      </w:pPr>
      <w:r>
        <w:rPr>
          <w:color w:val="auto"/>
        </w:rPr>
        <w:t>参考《重庆市水资源公报〈2019）》等相关资料，2019年九龙坡区人均综合用水量189m</w:t>
      </w:r>
      <w:r>
        <w:rPr>
          <w:color w:val="auto"/>
          <w:vertAlign w:val="superscript"/>
        </w:rPr>
        <w:t>3</w:t>
      </w:r>
      <w:r>
        <w:rPr>
          <w:color w:val="auto"/>
        </w:rPr>
        <w:t>，低于重庆市水平245m</w:t>
      </w:r>
      <w:r>
        <w:rPr>
          <w:color w:val="auto"/>
          <w:vertAlign w:val="superscript"/>
        </w:rPr>
        <w:t>3</w:t>
      </w:r>
      <w:r>
        <w:rPr>
          <w:color w:val="auto"/>
        </w:rPr>
        <w:t>；万元工业增加值用水量21m</w:t>
      </w:r>
      <w:r>
        <w:rPr>
          <w:color w:val="auto"/>
          <w:vertAlign w:val="superscript"/>
        </w:rPr>
        <w:t>3</w:t>
      </w:r>
      <w:r>
        <w:rPr>
          <w:color w:val="auto"/>
        </w:rPr>
        <w:t>，低于重庆市水平42 m</w:t>
      </w:r>
      <w:r>
        <w:rPr>
          <w:color w:val="auto"/>
          <w:vertAlign w:val="superscript"/>
        </w:rPr>
        <w:t>3</w:t>
      </w:r>
      <w:r>
        <w:rPr>
          <w:color w:val="auto"/>
        </w:rPr>
        <w:t>；万元GDP用水量16 m</w:t>
      </w:r>
      <w:r>
        <w:rPr>
          <w:color w:val="auto"/>
          <w:vertAlign w:val="superscript"/>
        </w:rPr>
        <w:t>3</w:t>
      </w:r>
      <w:r>
        <w:rPr>
          <w:color w:val="auto"/>
        </w:rPr>
        <w:t>，低于重庆市水平32 m</w:t>
      </w:r>
      <w:r>
        <w:rPr>
          <w:color w:val="auto"/>
          <w:vertAlign w:val="superscript"/>
        </w:rPr>
        <w:t>3</w:t>
      </w:r>
      <w:r>
        <w:rPr>
          <w:color w:val="auto"/>
        </w:rPr>
        <w:t>；农田亩均用水量284m</w:t>
      </w:r>
      <w:r>
        <w:rPr>
          <w:color w:val="auto"/>
          <w:vertAlign w:val="superscript"/>
        </w:rPr>
        <w:t>3</w:t>
      </w:r>
      <w:r>
        <w:rPr>
          <w:color w:val="auto"/>
        </w:rPr>
        <w:t>，低于重庆市水平325 m</w:t>
      </w:r>
      <w:r>
        <w:rPr>
          <w:color w:val="auto"/>
          <w:vertAlign w:val="superscript"/>
        </w:rPr>
        <w:t>3</w:t>
      </w:r>
      <w:r>
        <w:rPr>
          <w:color w:val="auto"/>
        </w:rPr>
        <w:t>；居民生活人均日用水量205L，高于重庆市水平140 L。</w:t>
      </w:r>
    </w:p>
    <w:p w14:paraId="29CBDB62">
      <w:pPr>
        <w:pStyle w:val="5"/>
        <w:numPr>
          <w:ilvl w:val="0"/>
          <w:numId w:val="0"/>
        </w:numPr>
        <w:spacing w:before="166" w:after="166"/>
        <w:rPr>
          <w:color w:val="auto"/>
        </w:rPr>
      </w:pPr>
      <w:r>
        <w:rPr>
          <w:color w:val="auto"/>
        </w:rPr>
        <w:t>3.2.4水资源保护现状</w:t>
      </w:r>
    </w:p>
    <w:p w14:paraId="1E783DD0">
      <w:pPr>
        <w:pStyle w:val="6"/>
        <w:numPr>
          <w:ilvl w:val="3"/>
          <w:numId w:val="0"/>
        </w:numPr>
        <w:rPr>
          <w:color w:val="auto"/>
        </w:rPr>
      </w:pPr>
      <w:r>
        <w:rPr>
          <w:color w:val="auto"/>
        </w:rPr>
        <w:t>3.2.4.1水资源保护措施</w:t>
      </w:r>
    </w:p>
    <w:p w14:paraId="4FD65DD0">
      <w:pPr>
        <w:ind w:firstLine="480"/>
        <w:rPr>
          <w:color w:val="auto"/>
        </w:rPr>
      </w:pPr>
      <w:r>
        <w:rPr>
          <w:color w:val="auto"/>
        </w:rPr>
        <w:t>在水资源保护方面，九龙坡区以恢复和改善水体功能为目标，以水源地保护和主城区重要次级河流水环境保护为重点，着力抓好重点中小河流治理、河流生态修复、饮用水源地保护、城镇污水处理等工程建设。九龙坡区依法编制了《重庆市九龙坡区水资源管控及设施布局规划》（2015年），同时依据《重庆市人民政府办公厅关于印发主城集中式饮用水水源地保护区划定的通知》（渝办〔2011〕92号）文件，</w:t>
      </w:r>
    </w:p>
    <w:p w14:paraId="422E4A56">
      <w:pPr>
        <w:ind w:firstLine="480"/>
        <w:rPr>
          <w:color w:val="auto"/>
        </w:rPr>
      </w:pPr>
      <w:r>
        <w:rPr>
          <w:color w:val="auto"/>
        </w:rPr>
        <w:t>（1）工程措施</w:t>
      </w:r>
    </w:p>
    <w:p w14:paraId="3CBBB881">
      <w:pPr>
        <w:ind w:firstLine="480"/>
        <w:rPr>
          <w:color w:val="auto"/>
        </w:rPr>
      </w:pPr>
      <w:r>
        <w:rPr>
          <w:color w:val="auto"/>
        </w:rPr>
        <w:t>根据九龙坡区发展趋势，并结合实际，采用建设水源涵养林工程。九龙坡区涉及供水人口≥1000人的集中式供水工程水源涵养林共1595公顷，其中冷家河水库建设水源涵养林为235公顷；大河沟水库建设水源涵养林为235公顷；廖家沟水库建设水源涵养林235公顷；拦河水库建设水源涵养林150公顷；白鹭山坪塘建设水源涵养林120公顷；绿荫山坪塘建设水源涵养林120公顷；马家沟水库建设水源涵养林290公顷；金银沟水库建设水源涵养林210公顷。</w:t>
      </w:r>
    </w:p>
    <w:p w14:paraId="15D93468">
      <w:pPr>
        <w:ind w:firstLine="480"/>
        <w:rPr>
          <w:color w:val="auto"/>
        </w:rPr>
      </w:pPr>
      <w:r>
        <w:rPr>
          <w:color w:val="auto"/>
        </w:rPr>
        <w:t>（2）非工程措施</w:t>
      </w:r>
    </w:p>
    <w:p w14:paraId="52C58311">
      <w:pPr>
        <w:ind w:firstLine="480"/>
        <w:rPr>
          <w:color w:val="auto"/>
        </w:rPr>
      </w:pPr>
      <w:r>
        <w:rPr>
          <w:color w:val="auto"/>
        </w:rPr>
        <w:t>1）设置水源地保护警示牌。在每处饮用水水源地都设置了水源地保护界碑警示牌。在界碑警示牌上明确规定了饮用水源保护区的面积和水质保护目标。</w:t>
      </w:r>
    </w:p>
    <w:p w14:paraId="2DC6065D">
      <w:pPr>
        <w:ind w:firstLine="480"/>
        <w:rPr>
          <w:color w:val="auto"/>
        </w:rPr>
      </w:pPr>
      <w:r>
        <w:rPr>
          <w:color w:val="auto"/>
        </w:rPr>
        <w:t>2）委托区水文水质监测中心对水源地水质实施定时监测，监测频次为一月一次，并按要求将检测报告上报区政府、市水利局水资源处、市水文局等。</w:t>
      </w:r>
    </w:p>
    <w:p w14:paraId="0B5BBEF9">
      <w:pPr>
        <w:ind w:firstLine="480"/>
        <w:rPr>
          <w:color w:val="auto"/>
        </w:rPr>
      </w:pPr>
      <w:r>
        <w:rPr>
          <w:color w:val="auto"/>
        </w:rPr>
        <w:t>3）近几年来，九龙坡区加强了湖库整治并取缔了辖区内饮用水源地的水库网箱养鱼及肥水养鱼，为巩固已经取缔网箱养鱼、肥水养鱼的水源地整治成果，确保饮水安全，维护生命健康，水库管理单位及所辖镇认真加强组织领导，不定期多频次做好库区巡查保护工作，制止和杜绝在饮用水源地毒鱼、网鱼、钓鱼以及在保护区范围内种菜、搭棚等行为，预防对水源地不受面源污染的浸入。</w:t>
      </w:r>
    </w:p>
    <w:p w14:paraId="31EB32E2">
      <w:pPr>
        <w:ind w:firstLine="480"/>
        <w:rPr>
          <w:color w:val="auto"/>
        </w:rPr>
      </w:pPr>
      <w:r>
        <w:rPr>
          <w:color w:val="auto"/>
        </w:rPr>
        <w:t>4）马家沟水库安装了整个水库全覆盖式的视频监控系统，以有效防范和及时制止污染水源人为事件的发生和危害水库安全行为，为保护饮用水源安全起到保障作用。</w:t>
      </w:r>
    </w:p>
    <w:p w14:paraId="35D3506E">
      <w:pPr>
        <w:ind w:firstLine="480"/>
        <w:rPr>
          <w:color w:val="auto"/>
        </w:rPr>
      </w:pPr>
      <w:r>
        <w:rPr>
          <w:color w:val="auto"/>
        </w:rPr>
        <w:t>5）配合区环保、市政等部门和所辖镇街对所有饮用水水源保护区范围进行广泛宣传，加强与水源地保护区所辖镇街的高度配合，积极开展水库巡查保护工作，有效地防止污染反弹。区水库管理站每月对全区所有水库工程开展了库周污染源巡查，对发现的水库周边垃圾及库内漂浮物及时进行了清理，对发现水库周边企业污染水源问题及时联合环保市政公安等部门进行查处，联合对水库污染水源行为开展专项整治，做好水库水质保护工作。</w:t>
      </w:r>
    </w:p>
    <w:p w14:paraId="3124B00E">
      <w:pPr>
        <w:pStyle w:val="6"/>
        <w:numPr>
          <w:ilvl w:val="3"/>
          <w:numId w:val="0"/>
        </w:numPr>
        <w:rPr>
          <w:color w:val="auto"/>
        </w:rPr>
      </w:pPr>
      <w:r>
        <w:rPr>
          <w:color w:val="auto"/>
        </w:rPr>
        <w:t>3.2.4.2水资源保护成效</w:t>
      </w:r>
    </w:p>
    <w:p w14:paraId="078B8CFE">
      <w:pPr>
        <w:tabs>
          <w:tab w:val="left" w:pos="7820"/>
        </w:tabs>
        <w:spacing w:line="560" w:lineRule="exact"/>
        <w:ind w:firstLine="480"/>
        <w:rPr>
          <w:color w:val="auto"/>
          <w:szCs w:val="24"/>
        </w:rPr>
      </w:pPr>
      <w:r>
        <w:rPr>
          <w:color w:val="auto"/>
          <w:szCs w:val="24"/>
        </w:rPr>
        <w:t>（1）水功能区水质达标情况</w:t>
      </w:r>
    </w:p>
    <w:p w14:paraId="294029F4">
      <w:pPr>
        <w:tabs>
          <w:tab w:val="left" w:pos="7820"/>
        </w:tabs>
        <w:spacing w:line="560" w:lineRule="exact"/>
        <w:ind w:firstLine="480"/>
        <w:rPr>
          <w:color w:val="auto"/>
        </w:rPr>
      </w:pPr>
      <w:r>
        <w:rPr>
          <w:color w:val="auto"/>
          <w:szCs w:val="24"/>
        </w:rPr>
        <w:t>根据九龙坡区重要水功能区月度监测评价数据表现状水质评价成果，进行水功能区达标分析，</w:t>
      </w:r>
      <w:r>
        <w:rPr>
          <w:color w:val="auto"/>
        </w:rPr>
        <w:t>九龙坡区划分的10个水功能区（1个一级水功能区，9个二级水功能区）中有9个水工能区去达标，达标率为90%，1个水功能区不达标，不达标率为10%。其水功能区现状达标成果见表3.2-3。</w:t>
      </w:r>
    </w:p>
    <w:p w14:paraId="75C25E7B">
      <w:pPr>
        <w:spacing w:line="560" w:lineRule="exact"/>
        <w:ind w:firstLine="0" w:firstLineChars="0"/>
        <w:rPr>
          <w:color w:val="auto"/>
        </w:rPr>
      </w:pPr>
      <w:r>
        <w:rPr>
          <w:b/>
          <w:bCs/>
          <w:color w:val="auto"/>
        </w:rPr>
        <w:t xml:space="preserve">表3.2-3 </w:t>
      </w:r>
      <w:r>
        <w:rPr>
          <w:color w:val="auto"/>
        </w:rPr>
        <w:t xml:space="preserve">       </w:t>
      </w:r>
      <w:r>
        <w:rPr>
          <w:b/>
          <w:color w:val="auto"/>
        </w:rPr>
        <w:t>九龙坡区河流水功能区达标评价及达标目标成果表</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08" w:type="dxa"/>
          <w:bottom w:w="15" w:type="dxa"/>
          <w:right w:w="108" w:type="dxa"/>
        </w:tblCellMar>
      </w:tblPr>
      <w:tblGrid>
        <w:gridCol w:w="2691"/>
        <w:gridCol w:w="2881"/>
        <w:gridCol w:w="1213"/>
        <w:gridCol w:w="1211"/>
        <w:gridCol w:w="1121"/>
      </w:tblGrid>
      <w:tr w14:paraId="7A4E3B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tblHeader/>
          <w:jc w:val="center"/>
        </w:trPr>
        <w:tc>
          <w:tcPr>
            <w:tcW w:w="1476" w:type="pct"/>
            <w:vAlign w:val="center"/>
          </w:tcPr>
          <w:p w14:paraId="691D3A77">
            <w:pPr>
              <w:spacing w:line="240" w:lineRule="auto"/>
              <w:ind w:firstLine="0" w:firstLineChars="0"/>
              <w:jc w:val="center"/>
              <w:rPr>
                <w:b/>
                <w:color w:val="auto"/>
                <w:sz w:val="21"/>
                <w:szCs w:val="21"/>
              </w:rPr>
            </w:pPr>
            <w:r>
              <w:rPr>
                <w:b/>
                <w:color w:val="auto"/>
                <w:sz w:val="21"/>
                <w:szCs w:val="21"/>
              </w:rPr>
              <w:t>一级水功能区名称</w:t>
            </w:r>
          </w:p>
        </w:tc>
        <w:tc>
          <w:tcPr>
            <w:tcW w:w="1580" w:type="pct"/>
            <w:vAlign w:val="center"/>
          </w:tcPr>
          <w:p w14:paraId="5F75868D">
            <w:pPr>
              <w:spacing w:line="240" w:lineRule="auto"/>
              <w:ind w:firstLine="0" w:firstLineChars="0"/>
              <w:jc w:val="center"/>
              <w:rPr>
                <w:b/>
                <w:color w:val="auto"/>
                <w:sz w:val="21"/>
                <w:szCs w:val="21"/>
              </w:rPr>
            </w:pPr>
            <w:r>
              <w:rPr>
                <w:b/>
                <w:color w:val="auto"/>
                <w:sz w:val="21"/>
                <w:szCs w:val="21"/>
              </w:rPr>
              <w:t>二级水功能区名称</w:t>
            </w:r>
          </w:p>
        </w:tc>
        <w:tc>
          <w:tcPr>
            <w:tcW w:w="665" w:type="pct"/>
            <w:vAlign w:val="center"/>
          </w:tcPr>
          <w:p w14:paraId="3E5FDFF5">
            <w:pPr>
              <w:spacing w:line="240" w:lineRule="auto"/>
              <w:ind w:firstLine="0" w:firstLineChars="0"/>
              <w:jc w:val="center"/>
              <w:rPr>
                <w:b/>
                <w:color w:val="auto"/>
                <w:sz w:val="21"/>
                <w:szCs w:val="21"/>
              </w:rPr>
            </w:pPr>
            <w:r>
              <w:rPr>
                <w:b/>
                <w:color w:val="auto"/>
                <w:sz w:val="21"/>
                <w:szCs w:val="21"/>
              </w:rPr>
              <w:t>现状水质</w:t>
            </w:r>
          </w:p>
        </w:tc>
        <w:tc>
          <w:tcPr>
            <w:tcW w:w="664" w:type="pct"/>
            <w:vAlign w:val="center"/>
          </w:tcPr>
          <w:p w14:paraId="7D73B8CC">
            <w:pPr>
              <w:spacing w:line="240" w:lineRule="auto"/>
              <w:ind w:firstLine="0" w:firstLineChars="0"/>
              <w:jc w:val="center"/>
              <w:rPr>
                <w:b/>
                <w:color w:val="auto"/>
                <w:sz w:val="21"/>
                <w:szCs w:val="21"/>
              </w:rPr>
            </w:pPr>
            <w:r>
              <w:rPr>
                <w:b/>
                <w:color w:val="auto"/>
                <w:sz w:val="21"/>
                <w:szCs w:val="21"/>
              </w:rPr>
              <w:t>水质目标</w:t>
            </w:r>
          </w:p>
        </w:tc>
        <w:tc>
          <w:tcPr>
            <w:tcW w:w="615" w:type="pct"/>
            <w:vAlign w:val="center"/>
          </w:tcPr>
          <w:p w14:paraId="1009EA09">
            <w:pPr>
              <w:spacing w:line="240" w:lineRule="auto"/>
              <w:ind w:firstLine="0" w:firstLineChars="0"/>
              <w:jc w:val="center"/>
              <w:rPr>
                <w:b/>
                <w:color w:val="auto"/>
                <w:sz w:val="21"/>
                <w:szCs w:val="21"/>
              </w:rPr>
            </w:pPr>
            <w:r>
              <w:rPr>
                <w:b/>
                <w:color w:val="auto"/>
                <w:sz w:val="21"/>
                <w:szCs w:val="21"/>
              </w:rPr>
              <w:t>是否达标</w:t>
            </w:r>
          </w:p>
        </w:tc>
      </w:tr>
      <w:tr w14:paraId="1E8D27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Align w:val="center"/>
          </w:tcPr>
          <w:p w14:paraId="5922673D">
            <w:pPr>
              <w:spacing w:line="240" w:lineRule="auto"/>
              <w:ind w:firstLine="0" w:firstLineChars="0"/>
              <w:jc w:val="center"/>
              <w:rPr>
                <w:color w:val="auto"/>
                <w:sz w:val="21"/>
                <w:szCs w:val="21"/>
              </w:rPr>
            </w:pPr>
            <w:r>
              <w:rPr>
                <w:color w:val="auto"/>
                <w:sz w:val="21"/>
                <w:szCs w:val="21"/>
              </w:rPr>
              <w:t>长江上游珍稀、特有鱼类国家级自然保护区</w:t>
            </w:r>
          </w:p>
        </w:tc>
        <w:tc>
          <w:tcPr>
            <w:tcW w:w="1580" w:type="pct"/>
            <w:vAlign w:val="center"/>
          </w:tcPr>
          <w:p w14:paraId="47E8DD5D">
            <w:pPr>
              <w:spacing w:line="240" w:lineRule="auto"/>
              <w:ind w:firstLine="0" w:firstLineChars="0"/>
              <w:jc w:val="center"/>
              <w:rPr>
                <w:color w:val="auto"/>
                <w:sz w:val="21"/>
                <w:szCs w:val="21"/>
              </w:rPr>
            </w:pPr>
          </w:p>
        </w:tc>
        <w:tc>
          <w:tcPr>
            <w:tcW w:w="665" w:type="pct"/>
            <w:vAlign w:val="center"/>
          </w:tcPr>
          <w:p w14:paraId="30836BBE">
            <w:pPr>
              <w:spacing w:line="240" w:lineRule="auto"/>
              <w:ind w:firstLine="0" w:firstLineChars="0"/>
              <w:jc w:val="center"/>
              <w:rPr>
                <w:color w:val="auto"/>
                <w:sz w:val="21"/>
                <w:szCs w:val="21"/>
              </w:rPr>
            </w:pPr>
            <w:r>
              <w:rPr>
                <w:color w:val="auto"/>
                <w:sz w:val="21"/>
                <w:szCs w:val="21"/>
              </w:rPr>
              <w:t>Ⅱ</w:t>
            </w:r>
          </w:p>
        </w:tc>
        <w:tc>
          <w:tcPr>
            <w:tcW w:w="664" w:type="pct"/>
            <w:vAlign w:val="center"/>
          </w:tcPr>
          <w:p w14:paraId="5223B3FC">
            <w:pPr>
              <w:spacing w:line="240" w:lineRule="auto"/>
              <w:ind w:firstLine="0" w:firstLineChars="0"/>
              <w:jc w:val="center"/>
              <w:rPr>
                <w:color w:val="auto"/>
                <w:sz w:val="21"/>
                <w:szCs w:val="21"/>
              </w:rPr>
            </w:pPr>
            <w:r>
              <w:rPr>
                <w:color w:val="auto"/>
                <w:sz w:val="21"/>
                <w:szCs w:val="21"/>
              </w:rPr>
              <w:t>Ⅱ类</w:t>
            </w:r>
          </w:p>
        </w:tc>
        <w:tc>
          <w:tcPr>
            <w:tcW w:w="615" w:type="pct"/>
            <w:vAlign w:val="center"/>
          </w:tcPr>
          <w:p w14:paraId="37A45DAD">
            <w:pPr>
              <w:spacing w:line="240" w:lineRule="auto"/>
              <w:ind w:firstLine="0" w:firstLineChars="0"/>
              <w:jc w:val="center"/>
              <w:rPr>
                <w:color w:val="auto"/>
                <w:sz w:val="21"/>
                <w:szCs w:val="21"/>
              </w:rPr>
            </w:pPr>
            <w:r>
              <w:rPr>
                <w:color w:val="auto"/>
                <w:sz w:val="21"/>
                <w:szCs w:val="21"/>
              </w:rPr>
              <w:t>达标</w:t>
            </w:r>
          </w:p>
        </w:tc>
      </w:tr>
      <w:tr w14:paraId="34E84E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Merge w:val="restart"/>
            <w:vAlign w:val="center"/>
          </w:tcPr>
          <w:p w14:paraId="285C6C0C">
            <w:pPr>
              <w:spacing w:line="240" w:lineRule="auto"/>
              <w:ind w:firstLine="0" w:firstLineChars="0"/>
              <w:jc w:val="center"/>
              <w:rPr>
                <w:color w:val="auto"/>
                <w:sz w:val="21"/>
                <w:szCs w:val="21"/>
              </w:rPr>
            </w:pPr>
            <w:r>
              <w:rPr>
                <w:color w:val="auto"/>
                <w:sz w:val="21"/>
                <w:szCs w:val="21"/>
              </w:rPr>
              <w:t>长江三峡库区重庆城区开发利用区（九龙坡段）</w:t>
            </w:r>
          </w:p>
        </w:tc>
        <w:tc>
          <w:tcPr>
            <w:tcW w:w="1580" w:type="pct"/>
            <w:vAlign w:val="center"/>
          </w:tcPr>
          <w:p w14:paraId="6647A073">
            <w:pPr>
              <w:spacing w:line="240" w:lineRule="auto"/>
              <w:ind w:firstLine="0" w:firstLineChars="0"/>
              <w:jc w:val="center"/>
              <w:rPr>
                <w:color w:val="auto"/>
                <w:sz w:val="21"/>
                <w:szCs w:val="21"/>
              </w:rPr>
            </w:pPr>
            <w:r>
              <w:rPr>
                <w:color w:val="auto"/>
                <w:sz w:val="21"/>
                <w:szCs w:val="21"/>
              </w:rPr>
              <w:t>长江三峡库区九龙坡饮用水源区</w:t>
            </w:r>
          </w:p>
        </w:tc>
        <w:tc>
          <w:tcPr>
            <w:tcW w:w="665" w:type="pct"/>
            <w:vAlign w:val="center"/>
          </w:tcPr>
          <w:p w14:paraId="307D0F9C">
            <w:pPr>
              <w:spacing w:line="240" w:lineRule="auto"/>
              <w:ind w:firstLine="0" w:firstLineChars="0"/>
              <w:jc w:val="center"/>
              <w:rPr>
                <w:color w:val="auto"/>
                <w:sz w:val="21"/>
                <w:szCs w:val="21"/>
              </w:rPr>
            </w:pPr>
            <w:r>
              <w:rPr>
                <w:color w:val="auto"/>
                <w:sz w:val="21"/>
                <w:szCs w:val="21"/>
              </w:rPr>
              <w:t>Ⅲ</w:t>
            </w:r>
          </w:p>
        </w:tc>
        <w:tc>
          <w:tcPr>
            <w:tcW w:w="664" w:type="pct"/>
            <w:vAlign w:val="center"/>
          </w:tcPr>
          <w:p w14:paraId="4D4FBC37">
            <w:pPr>
              <w:spacing w:line="240" w:lineRule="auto"/>
              <w:ind w:firstLine="0" w:firstLineChars="0"/>
              <w:jc w:val="center"/>
              <w:rPr>
                <w:color w:val="auto"/>
                <w:sz w:val="21"/>
                <w:szCs w:val="21"/>
              </w:rPr>
            </w:pPr>
            <w:r>
              <w:rPr>
                <w:color w:val="auto"/>
                <w:sz w:val="21"/>
                <w:szCs w:val="21"/>
              </w:rPr>
              <w:t>Ⅲ</w:t>
            </w:r>
          </w:p>
        </w:tc>
        <w:tc>
          <w:tcPr>
            <w:tcW w:w="615" w:type="pct"/>
            <w:vAlign w:val="center"/>
          </w:tcPr>
          <w:p w14:paraId="6D1B6A1F">
            <w:pPr>
              <w:spacing w:line="240" w:lineRule="auto"/>
              <w:ind w:firstLine="0" w:firstLineChars="0"/>
              <w:jc w:val="center"/>
              <w:rPr>
                <w:color w:val="auto"/>
                <w:sz w:val="21"/>
                <w:szCs w:val="21"/>
              </w:rPr>
            </w:pPr>
            <w:r>
              <w:rPr>
                <w:color w:val="auto"/>
                <w:sz w:val="21"/>
                <w:szCs w:val="21"/>
              </w:rPr>
              <w:t>达标</w:t>
            </w:r>
          </w:p>
        </w:tc>
      </w:tr>
      <w:tr w14:paraId="06E185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Merge w:val="continue"/>
            <w:vAlign w:val="center"/>
          </w:tcPr>
          <w:p w14:paraId="2CFEE0D0">
            <w:pPr>
              <w:spacing w:line="240" w:lineRule="auto"/>
              <w:ind w:firstLine="0" w:firstLineChars="0"/>
              <w:jc w:val="center"/>
              <w:rPr>
                <w:color w:val="auto"/>
                <w:sz w:val="21"/>
                <w:szCs w:val="21"/>
              </w:rPr>
            </w:pPr>
          </w:p>
        </w:tc>
        <w:tc>
          <w:tcPr>
            <w:tcW w:w="1580" w:type="pct"/>
            <w:vAlign w:val="center"/>
          </w:tcPr>
          <w:p w14:paraId="01DDBB46">
            <w:pPr>
              <w:spacing w:line="240" w:lineRule="auto"/>
              <w:ind w:firstLine="0" w:firstLineChars="0"/>
              <w:jc w:val="center"/>
              <w:rPr>
                <w:color w:val="auto"/>
                <w:sz w:val="21"/>
                <w:szCs w:val="21"/>
              </w:rPr>
            </w:pPr>
            <w:r>
              <w:rPr>
                <w:color w:val="auto"/>
                <w:sz w:val="21"/>
                <w:szCs w:val="21"/>
              </w:rPr>
              <w:t>长江三峡库区九龙坡景观娱乐、工业用水区</w:t>
            </w:r>
          </w:p>
        </w:tc>
        <w:tc>
          <w:tcPr>
            <w:tcW w:w="665" w:type="pct"/>
            <w:vAlign w:val="center"/>
          </w:tcPr>
          <w:p w14:paraId="262B2251">
            <w:pPr>
              <w:spacing w:line="240" w:lineRule="auto"/>
              <w:ind w:firstLine="0" w:firstLineChars="0"/>
              <w:jc w:val="center"/>
              <w:rPr>
                <w:color w:val="auto"/>
                <w:sz w:val="21"/>
                <w:szCs w:val="21"/>
              </w:rPr>
            </w:pPr>
            <w:r>
              <w:rPr>
                <w:color w:val="auto"/>
                <w:sz w:val="21"/>
                <w:szCs w:val="21"/>
              </w:rPr>
              <w:t>Ⅲ</w:t>
            </w:r>
          </w:p>
        </w:tc>
        <w:tc>
          <w:tcPr>
            <w:tcW w:w="664" w:type="pct"/>
            <w:vAlign w:val="center"/>
          </w:tcPr>
          <w:p w14:paraId="46977778">
            <w:pPr>
              <w:spacing w:line="240" w:lineRule="auto"/>
              <w:ind w:firstLine="0" w:firstLineChars="0"/>
              <w:jc w:val="center"/>
              <w:rPr>
                <w:color w:val="auto"/>
                <w:sz w:val="21"/>
                <w:szCs w:val="21"/>
              </w:rPr>
            </w:pPr>
            <w:r>
              <w:rPr>
                <w:color w:val="auto"/>
                <w:sz w:val="21"/>
                <w:szCs w:val="21"/>
              </w:rPr>
              <w:t>Ⅲ</w:t>
            </w:r>
          </w:p>
        </w:tc>
        <w:tc>
          <w:tcPr>
            <w:tcW w:w="615" w:type="pct"/>
            <w:vAlign w:val="center"/>
          </w:tcPr>
          <w:p w14:paraId="5AAA9B92">
            <w:pPr>
              <w:spacing w:line="240" w:lineRule="auto"/>
              <w:ind w:firstLine="0" w:firstLineChars="0"/>
              <w:jc w:val="center"/>
              <w:rPr>
                <w:color w:val="auto"/>
                <w:sz w:val="21"/>
                <w:szCs w:val="21"/>
              </w:rPr>
            </w:pPr>
            <w:r>
              <w:rPr>
                <w:color w:val="auto"/>
                <w:sz w:val="21"/>
                <w:szCs w:val="21"/>
              </w:rPr>
              <w:t>达标</w:t>
            </w:r>
          </w:p>
        </w:tc>
      </w:tr>
      <w:tr w14:paraId="36317B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Align w:val="center"/>
          </w:tcPr>
          <w:p w14:paraId="43B0D3AA">
            <w:pPr>
              <w:spacing w:line="240" w:lineRule="auto"/>
              <w:ind w:firstLine="0" w:firstLineChars="0"/>
              <w:jc w:val="center"/>
              <w:rPr>
                <w:color w:val="auto"/>
                <w:sz w:val="21"/>
                <w:szCs w:val="21"/>
              </w:rPr>
            </w:pPr>
            <w:r>
              <w:rPr>
                <w:color w:val="auto"/>
                <w:sz w:val="21"/>
                <w:szCs w:val="21"/>
              </w:rPr>
              <w:t>桃花溪九龙坡开发利用区</w:t>
            </w:r>
          </w:p>
        </w:tc>
        <w:tc>
          <w:tcPr>
            <w:tcW w:w="1580" w:type="pct"/>
            <w:vAlign w:val="center"/>
          </w:tcPr>
          <w:p w14:paraId="4898D1F7">
            <w:pPr>
              <w:spacing w:line="240" w:lineRule="auto"/>
              <w:ind w:firstLine="0" w:firstLineChars="0"/>
              <w:jc w:val="center"/>
              <w:rPr>
                <w:color w:val="auto"/>
                <w:sz w:val="21"/>
                <w:szCs w:val="21"/>
              </w:rPr>
            </w:pPr>
            <w:r>
              <w:rPr>
                <w:color w:val="auto"/>
                <w:sz w:val="21"/>
                <w:szCs w:val="21"/>
              </w:rPr>
              <w:t>桃花溪景观娱乐用水区</w:t>
            </w:r>
          </w:p>
        </w:tc>
        <w:tc>
          <w:tcPr>
            <w:tcW w:w="665" w:type="pct"/>
            <w:vAlign w:val="center"/>
          </w:tcPr>
          <w:p w14:paraId="700AA3BE">
            <w:pPr>
              <w:spacing w:line="240" w:lineRule="auto"/>
              <w:ind w:firstLine="0" w:firstLineChars="0"/>
              <w:jc w:val="center"/>
              <w:rPr>
                <w:color w:val="auto"/>
                <w:sz w:val="21"/>
                <w:szCs w:val="21"/>
              </w:rPr>
            </w:pPr>
            <w:r>
              <w:rPr>
                <w:color w:val="auto"/>
                <w:sz w:val="21"/>
                <w:szCs w:val="21"/>
              </w:rPr>
              <w:t>Ⅴ</w:t>
            </w:r>
          </w:p>
        </w:tc>
        <w:tc>
          <w:tcPr>
            <w:tcW w:w="664" w:type="pct"/>
            <w:vAlign w:val="center"/>
          </w:tcPr>
          <w:p w14:paraId="448AADD6">
            <w:pPr>
              <w:spacing w:line="240" w:lineRule="auto"/>
              <w:ind w:firstLine="0" w:firstLineChars="0"/>
              <w:jc w:val="center"/>
              <w:rPr>
                <w:color w:val="auto"/>
                <w:sz w:val="21"/>
                <w:szCs w:val="21"/>
              </w:rPr>
            </w:pPr>
            <w:r>
              <w:rPr>
                <w:color w:val="auto"/>
                <w:sz w:val="21"/>
                <w:szCs w:val="21"/>
              </w:rPr>
              <w:t>IV</w:t>
            </w:r>
          </w:p>
        </w:tc>
        <w:tc>
          <w:tcPr>
            <w:tcW w:w="615" w:type="pct"/>
            <w:vAlign w:val="center"/>
          </w:tcPr>
          <w:p w14:paraId="6CFEE78B">
            <w:pPr>
              <w:spacing w:line="240" w:lineRule="auto"/>
              <w:ind w:firstLine="0" w:firstLineChars="0"/>
              <w:jc w:val="center"/>
              <w:rPr>
                <w:color w:val="auto"/>
                <w:sz w:val="21"/>
                <w:szCs w:val="21"/>
              </w:rPr>
            </w:pPr>
            <w:r>
              <w:rPr>
                <w:color w:val="auto"/>
                <w:sz w:val="21"/>
                <w:szCs w:val="21"/>
              </w:rPr>
              <w:t>未达标</w:t>
            </w:r>
          </w:p>
        </w:tc>
      </w:tr>
      <w:tr w14:paraId="07495F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Align w:val="center"/>
          </w:tcPr>
          <w:p w14:paraId="72784F20">
            <w:pPr>
              <w:spacing w:line="240" w:lineRule="auto"/>
              <w:ind w:firstLine="0" w:firstLineChars="0"/>
              <w:jc w:val="center"/>
              <w:rPr>
                <w:color w:val="auto"/>
                <w:sz w:val="21"/>
                <w:szCs w:val="21"/>
              </w:rPr>
            </w:pPr>
            <w:r>
              <w:rPr>
                <w:color w:val="auto"/>
                <w:sz w:val="21"/>
                <w:szCs w:val="21"/>
              </w:rPr>
              <w:t>跳蹬河九龙坡开发利用区</w:t>
            </w:r>
          </w:p>
        </w:tc>
        <w:tc>
          <w:tcPr>
            <w:tcW w:w="1580" w:type="pct"/>
            <w:vAlign w:val="center"/>
          </w:tcPr>
          <w:p w14:paraId="14A755D1">
            <w:pPr>
              <w:spacing w:line="240" w:lineRule="auto"/>
              <w:ind w:firstLine="0" w:firstLineChars="0"/>
              <w:jc w:val="center"/>
              <w:rPr>
                <w:color w:val="auto"/>
                <w:sz w:val="21"/>
                <w:szCs w:val="21"/>
              </w:rPr>
            </w:pPr>
            <w:r>
              <w:rPr>
                <w:color w:val="auto"/>
                <w:sz w:val="21"/>
                <w:szCs w:val="21"/>
              </w:rPr>
              <w:t>跳蹬河农业用水区</w:t>
            </w:r>
          </w:p>
        </w:tc>
        <w:tc>
          <w:tcPr>
            <w:tcW w:w="665" w:type="pct"/>
            <w:vAlign w:val="center"/>
          </w:tcPr>
          <w:p w14:paraId="2FAA1D5A">
            <w:pPr>
              <w:spacing w:line="240" w:lineRule="auto"/>
              <w:ind w:firstLine="0" w:firstLineChars="0"/>
              <w:jc w:val="center"/>
              <w:rPr>
                <w:color w:val="auto"/>
                <w:sz w:val="21"/>
                <w:szCs w:val="21"/>
              </w:rPr>
            </w:pPr>
            <w:r>
              <w:rPr>
                <w:color w:val="auto"/>
                <w:sz w:val="21"/>
                <w:szCs w:val="21"/>
              </w:rPr>
              <w:t>Ⅴ</w:t>
            </w:r>
          </w:p>
        </w:tc>
        <w:tc>
          <w:tcPr>
            <w:tcW w:w="664" w:type="pct"/>
            <w:vAlign w:val="center"/>
          </w:tcPr>
          <w:p w14:paraId="6811EE6A">
            <w:pPr>
              <w:spacing w:line="240" w:lineRule="auto"/>
              <w:ind w:firstLine="0" w:firstLineChars="0"/>
              <w:jc w:val="center"/>
              <w:rPr>
                <w:color w:val="auto"/>
                <w:sz w:val="21"/>
                <w:szCs w:val="21"/>
              </w:rPr>
            </w:pPr>
            <w:r>
              <w:rPr>
                <w:color w:val="auto"/>
                <w:sz w:val="21"/>
                <w:szCs w:val="21"/>
              </w:rPr>
              <w:t>Ⅴ</w:t>
            </w:r>
          </w:p>
        </w:tc>
        <w:tc>
          <w:tcPr>
            <w:tcW w:w="615" w:type="pct"/>
            <w:vAlign w:val="center"/>
          </w:tcPr>
          <w:p w14:paraId="1631559B">
            <w:pPr>
              <w:spacing w:line="240" w:lineRule="auto"/>
              <w:ind w:firstLine="0" w:firstLineChars="0"/>
              <w:jc w:val="center"/>
              <w:rPr>
                <w:color w:val="auto"/>
                <w:sz w:val="21"/>
                <w:szCs w:val="21"/>
              </w:rPr>
            </w:pPr>
            <w:r>
              <w:rPr>
                <w:color w:val="auto"/>
                <w:sz w:val="21"/>
                <w:szCs w:val="21"/>
              </w:rPr>
              <w:t>达标</w:t>
            </w:r>
          </w:p>
        </w:tc>
      </w:tr>
      <w:tr w14:paraId="263581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Merge w:val="restart"/>
            <w:vAlign w:val="center"/>
          </w:tcPr>
          <w:p w14:paraId="6B3639F8">
            <w:pPr>
              <w:spacing w:line="240" w:lineRule="auto"/>
              <w:ind w:firstLine="0" w:firstLineChars="0"/>
              <w:jc w:val="center"/>
              <w:rPr>
                <w:color w:val="auto"/>
                <w:sz w:val="21"/>
                <w:szCs w:val="21"/>
              </w:rPr>
            </w:pPr>
            <w:r>
              <w:rPr>
                <w:color w:val="auto"/>
                <w:sz w:val="21"/>
                <w:szCs w:val="21"/>
              </w:rPr>
              <w:t>大溪河九龙坡开发利用区</w:t>
            </w:r>
          </w:p>
        </w:tc>
        <w:tc>
          <w:tcPr>
            <w:tcW w:w="1580" w:type="pct"/>
            <w:vAlign w:val="center"/>
          </w:tcPr>
          <w:p w14:paraId="69033BC2">
            <w:pPr>
              <w:spacing w:line="240" w:lineRule="auto"/>
              <w:ind w:firstLine="0" w:firstLineChars="0"/>
              <w:jc w:val="center"/>
              <w:rPr>
                <w:color w:val="auto"/>
                <w:sz w:val="21"/>
                <w:szCs w:val="21"/>
              </w:rPr>
            </w:pPr>
            <w:r>
              <w:rPr>
                <w:color w:val="auto"/>
                <w:sz w:val="21"/>
                <w:szCs w:val="21"/>
              </w:rPr>
              <w:t>大溪河九龙坡农业用水区</w:t>
            </w:r>
          </w:p>
        </w:tc>
        <w:tc>
          <w:tcPr>
            <w:tcW w:w="665" w:type="pct"/>
            <w:vAlign w:val="center"/>
          </w:tcPr>
          <w:p w14:paraId="544603AA">
            <w:pPr>
              <w:spacing w:line="240" w:lineRule="auto"/>
              <w:ind w:firstLine="0" w:firstLineChars="0"/>
              <w:jc w:val="center"/>
              <w:rPr>
                <w:color w:val="auto"/>
                <w:sz w:val="21"/>
                <w:szCs w:val="21"/>
              </w:rPr>
            </w:pPr>
            <w:r>
              <w:rPr>
                <w:color w:val="auto"/>
                <w:sz w:val="21"/>
                <w:szCs w:val="21"/>
              </w:rPr>
              <w:t>Ⅴ</w:t>
            </w:r>
          </w:p>
        </w:tc>
        <w:tc>
          <w:tcPr>
            <w:tcW w:w="664" w:type="pct"/>
            <w:vAlign w:val="center"/>
          </w:tcPr>
          <w:p w14:paraId="6BF06113">
            <w:pPr>
              <w:spacing w:line="240" w:lineRule="auto"/>
              <w:ind w:firstLine="0" w:firstLineChars="0"/>
              <w:jc w:val="center"/>
              <w:rPr>
                <w:color w:val="auto"/>
                <w:sz w:val="21"/>
                <w:szCs w:val="21"/>
              </w:rPr>
            </w:pPr>
            <w:r>
              <w:rPr>
                <w:color w:val="auto"/>
                <w:sz w:val="21"/>
                <w:szCs w:val="21"/>
              </w:rPr>
              <w:t>Ⅴ</w:t>
            </w:r>
          </w:p>
        </w:tc>
        <w:tc>
          <w:tcPr>
            <w:tcW w:w="615" w:type="pct"/>
            <w:vAlign w:val="center"/>
          </w:tcPr>
          <w:p w14:paraId="4FFE35C4">
            <w:pPr>
              <w:spacing w:line="240" w:lineRule="auto"/>
              <w:ind w:firstLine="0" w:firstLineChars="0"/>
              <w:jc w:val="center"/>
              <w:rPr>
                <w:color w:val="auto"/>
                <w:sz w:val="21"/>
                <w:szCs w:val="21"/>
              </w:rPr>
            </w:pPr>
            <w:r>
              <w:rPr>
                <w:color w:val="auto"/>
                <w:sz w:val="21"/>
                <w:szCs w:val="21"/>
              </w:rPr>
              <w:t>达标</w:t>
            </w:r>
          </w:p>
        </w:tc>
      </w:tr>
      <w:tr w14:paraId="2AADE8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Merge w:val="continue"/>
            <w:vAlign w:val="center"/>
          </w:tcPr>
          <w:p w14:paraId="012FECD9">
            <w:pPr>
              <w:spacing w:line="240" w:lineRule="auto"/>
              <w:ind w:firstLine="0" w:firstLineChars="0"/>
              <w:jc w:val="center"/>
              <w:rPr>
                <w:color w:val="auto"/>
                <w:sz w:val="21"/>
                <w:szCs w:val="21"/>
              </w:rPr>
            </w:pPr>
          </w:p>
        </w:tc>
        <w:tc>
          <w:tcPr>
            <w:tcW w:w="1580" w:type="pct"/>
            <w:vAlign w:val="center"/>
          </w:tcPr>
          <w:p w14:paraId="7B3DE051">
            <w:pPr>
              <w:spacing w:line="240" w:lineRule="auto"/>
              <w:ind w:firstLine="0" w:firstLineChars="0"/>
              <w:jc w:val="center"/>
              <w:rPr>
                <w:color w:val="auto"/>
                <w:sz w:val="21"/>
                <w:szCs w:val="21"/>
              </w:rPr>
            </w:pPr>
            <w:r>
              <w:rPr>
                <w:color w:val="auto"/>
                <w:sz w:val="21"/>
                <w:szCs w:val="21"/>
              </w:rPr>
              <w:t>大溪河九龙坡景观娱乐用水区</w:t>
            </w:r>
          </w:p>
        </w:tc>
        <w:tc>
          <w:tcPr>
            <w:tcW w:w="665" w:type="pct"/>
            <w:vAlign w:val="center"/>
          </w:tcPr>
          <w:p w14:paraId="2B302892">
            <w:pPr>
              <w:spacing w:line="240" w:lineRule="auto"/>
              <w:ind w:firstLine="0" w:firstLineChars="0"/>
              <w:jc w:val="center"/>
              <w:rPr>
                <w:color w:val="auto"/>
                <w:sz w:val="21"/>
                <w:szCs w:val="21"/>
              </w:rPr>
            </w:pPr>
            <w:r>
              <w:rPr>
                <w:color w:val="auto"/>
                <w:sz w:val="21"/>
                <w:szCs w:val="21"/>
              </w:rPr>
              <w:t>Ⅴ</w:t>
            </w:r>
          </w:p>
        </w:tc>
        <w:tc>
          <w:tcPr>
            <w:tcW w:w="664" w:type="pct"/>
            <w:vAlign w:val="center"/>
          </w:tcPr>
          <w:p w14:paraId="2EDADB72">
            <w:pPr>
              <w:spacing w:line="240" w:lineRule="auto"/>
              <w:ind w:firstLine="0" w:firstLineChars="0"/>
              <w:jc w:val="center"/>
              <w:rPr>
                <w:color w:val="auto"/>
                <w:sz w:val="21"/>
                <w:szCs w:val="21"/>
              </w:rPr>
            </w:pPr>
            <w:r>
              <w:rPr>
                <w:color w:val="auto"/>
                <w:sz w:val="21"/>
                <w:szCs w:val="21"/>
              </w:rPr>
              <w:t>IV</w:t>
            </w:r>
          </w:p>
        </w:tc>
        <w:tc>
          <w:tcPr>
            <w:tcW w:w="615" w:type="pct"/>
            <w:vAlign w:val="center"/>
          </w:tcPr>
          <w:p w14:paraId="73B57881">
            <w:pPr>
              <w:spacing w:line="240" w:lineRule="auto"/>
              <w:ind w:firstLine="0" w:firstLineChars="0"/>
              <w:jc w:val="center"/>
              <w:rPr>
                <w:color w:val="auto"/>
                <w:sz w:val="21"/>
                <w:szCs w:val="21"/>
              </w:rPr>
            </w:pPr>
            <w:r>
              <w:rPr>
                <w:color w:val="auto"/>
                <w:sz w:val="21"/>
                <w:szCs w:val="21"/>
              </w:rPr>
              <w:t>达标</w:t>
            </w:r>
          </w:p>
        </w:tc>
      </w:tr>
      <w:tr w14:paraId="2CC4D1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Merge w:val="restart"/>
            <w:vAlign w:val="center"/>
          </w:tcPr>
          <w:p w14:paraId="709885F0">
            <w:pPr>
              <w:spacing w:line="240" w:lineRule="auto"/>
              <w:ind w:firstLine="0" w:firstLineChars="0"/>
              <w:jc w:val="center"/>
              <w:rPr>
                <w:color w:val="auto"/>
                <w:sz w:val="21"/>
                <w:szCs w:val="21"/>
              </w:rPr>
            </w:pPr>
            <w:r>
              <w:rPr>
                <w:color w:val="auto"/>
                <w:sz w:val="21"/>
                <w:szCs w:val="21"/>
              </w:rPr>
              <w:t>梁滩河干流开发利用区</w:t>
            </w:r>
          </w:p>
        </w:tc>
        <w:tc>
          <w:tcPr>
            <w:tcW w:w="1580" w:type="pct"/>
            <w:vAlign w:val="center"/>
          </w:tcPr>
          <w:p w14:paraId="561D8538">
            <w:pPr>
              <w:spacing w:line="240" w:lineRule="auto"/>
              <w:ind w:firstLine="0" w:firstLineChars="0"/>
              <w:jc w:val="center"/>
              <w:rPr>
                <w:color w:val="auto"/>
                <w:sz w:val="21"/>
                <w:szCs w:val="21"/>
              </w:rPr>
            </w:pPr>
            <w:r>
              <w:rPr>
                <w:color w:val="auto"/>
                <w:sz w:val="21"/>
                <w:szCs w:val="21"/>
              </w:rPr>
              <w:t>梁滩河廖家沟水库饮用水源区</w:t>
            </w:r>
          </w:p>
        </w:tc>
        <w:tc>
          <w:tcPr>
            <w:tcW w:w="665" w:type="pct"/>
            <w:vAlign w:val="center"/>
          </w:tcPr>
          <w:p w14:paraId="38CAA835">
            <w:pPr>
              <w:spacing w:line="240" w:lineRule="auto"/>
              <w:ind w:firstLine="0" w:firstLineChars="0"/>
              <w:jc w:val="center"/>
              <w:rPr>
                <w:color w:val="auto"/>
                <w:sz w:val="21"/>
                <w:szCs w:val="21"/>
              </w:rPr>
            </w:pPr>
            <w:r>
              <w:rPr>
                <w:color w:val="auto"/>
                <w:sz w:val="21"/>
                <w:szCs w:val="21"/>
              </w:rPr>
              <w:t>Ⅲ</w:t>
            </w:r>
          </w:p>
        </w:tc>
        <w:tc>
          <w:tcPr>
            <w:tcW w:w="664" w:type="pct"/>
            <w:vAlign w:val="center"/>
          </w:tcPr>
          <w:p w14:paraId="2D6FBB82">
            <w:pPr>
              <w:spacing w:line="240" w:lineRule="auto"/>
              <w:ind w:firstLine="0" w:firstLineChars="0"/>
              <w:jc w:val="center"/>
              <w:rPr>
                <w:color w:val="auto"/>
                <w:sz w:val="21"/>
                <w:szCs w:val="21"/>
              </w:rPr>
            </w:pPr>
            <w:r>
              <w:rPr>
                <w:color w:val="auto"/>
                <w:sz w:val="21"/>
                <w:szCs w:val="21"/>
              </w:rPr>
              <w:t>Ⅲ</w:t>
            </w:r>
          </w:p>
        </w:tc>
        <w:tc>
          <w:tcPr>
            <w:tcW w:w="615" w:type="pct"/>
            <w:vAlign w:val="center"/>
          </w:tcPr>
          <w:p w14:paraId="6C501077">
            <w:pPr>
              <w:spacing w:line="240" w:lineRule="auto"/>
              <w:ind w:firstLine="0" w:firstLineChars="0"/>
              <w:jc w:val="center"/>
              <w:rPr>
                <w:color w:val="auto"/>
                <w:sz w:val="21"/>
                <w:szCs w:val="21"/>
              </w:rPr>
            </w:pPr>
            <w:r>
              <w:rPr>
                <w:color w:val="auto"/>
                <w:sz w:val="21"/>
                <w:szCs w:val="21"/>
              </w:rPr>
              <w:t>达标</w:t>
            </w:r>
          </w:p>
        </w:tc>
      </w:tr>
      <w:tr w14:paraId="02363D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Merge w:val="continue"/>
            <w:vAlign w:val="center"/>
          </w:tcPr>
          <w:p w14:paraId="7310B457">
            <w:pPr>
              <w:spacing w:line="240" w:lineRule="auto"/>
              <w:ind w:firstLine="0" w:firstLineChars="0"/>
              <w:jc w:val="center"/>
              <w:rPr>
                <w:color w:val="auto"/>
                <w:sz w:val="21"/>
                <w:szCs w:val="21"/>
              </w:rPr>
            </w:pPr>
          </w:p>
        </w:tc>
        <w:tc>
          <w:tcPr>
            <w:tcW w:w="1580" w:type="pct"/>
            <w:vAlign w:val="center"/>
          </w:tcPr>
          <w:p w14:paraId="33586E92">
            <w:pPr>
              <w:spacing w:line="240" w:lineRule="auto"/>
              <w:ind w:firstLine="0" w:firstLineChars="0"/>
              <w:jc w:val="center"/>
              <w:rPr>
                <w:color w:val="auto"/>
                <w:sz w:val="21"/>
                <w:szCs w:val="21"/>
              </w:rPr>
            </w:pPr>
            <w:r>
              <w:rPr>
                <w:color w:val="auto"/>
                <w:sz w:val="21"/>
                <w:szCs w:val="21"/>
              </w:rPr>
              <w:t>梁滩河走马含谷农业用水区</w:t>
            </w:r>
          </w:p>
        </w:tc>
        <w:tc>
          <w:tcPr>
            <w:tcW w:w="665" w:type="pct"/>
            <w:vAlign w:val="center"/>
          </w:tcPr>
          <w:p w14:paraId="54AE8D39">
            <w:pPr>
              <w:spacing w:line="240" w:lineRule="auto"/>
              <w:ind w:firstLine="0" w:firstLineChars="0"/>
              <w:jc w:val="center"/>
              <w:rPr>
                <w:color w:val="auto"/>
                <w:sz w:val="21"/>
                <w:szCs w:val="21"/>
              </w:rPr>
            </w:pPr>
            <w:r>
              <w:rPr>
                <w:color w:val="auto"/>
                <w:sz w:val="21"/>
                <w:szCs w:val="21"/>
              </w:rPr>
              <w:t>Ⅴ</w:t>
            </w:r>
          </w:p>
        </w:tc>
        <w:tc>
          <w:tcPr>
            <w:tcW w:w="664" w:type="pct"/>
            <w:vAlign w:val="center"/>
          </w:tcPr>
          <w:p w14:paraId="18D9CF70">
            <w:pPr>
              <w:spacing w:line="240" w:lineRule="auto"/>
              <w:ind w:firstLine="0" w:firstLineChars="0"/>
              <w:jc w:val="center"/>
              <w:rPr>
                <w:color w:val="auto"/>
                <w:sz w:val="21"/>
                <w:szCs w:val="21"/>
              </w:rPr>
            </w:pPr>
            <w:r>
              <w:rPr>
                <w:color w:val="auto"/>
                <w:sz w:val="21"/>
                <w:szCs w:val="21"/>
              </w:rPr>
              <w:t>Ⅴ</w:t>
            </w:r>
          </w:p>
        </w:tc>
        <w:tc>
          <w:tcPr>
            <w:tcW w:w="615" w:type="pct"/>
            <w:vAlign w:val="center"/>
          </w:tcPr>
          <w:p w14:paraId="48862BBA">
            <w:pPr>
              <w:spacing w:line="240" w:lineRule="auto"/>
              <w:ind w:firstLine="0" w:firstLineChars="0"/>
              <w:jc w:val="center"/>
              <w:rPr>
                <w:color w:val="auto"/>
                <w:sz w:val="21"/>
                <w:szCs w:val="21"/>
              </w:rPr>
            </w:pPr>
            <w:r>
              <w:rPr>
                <w:color w:val="auto"/>
                <w:sz w:val="21"/>
                <w:szCs w:val="21"/>
              </w:rPr>
              <w:t>达标</w:t>
            </w:r>
          </w:p>
        </w:tc>
      </w:tr>
      <w:tr w14:paraId="35F35C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08" w:type="dxa"/>
            <w:bottom w:w="15" w:type="dxa"/>
            <w:right w:w="108" w:type="dxa"/>
          </w:tblCellMar>
        </w:tblPrEx>
        <w:trPr>
          <w:trHeight w:val="397" w:hRule="atLeast"/>
          <w:jc w:val="center"/>
        </w:trPr>
        <w:tc>
          <w:tcPr>
            <w:tcW w:w="1476" w:type="pct"/>
            <w:vAlign w:val="center"/>
          </w:tcPr>
          <w:p w14:paraId="679619A0">
            <w:pPr>
              <w:spacing w:line="240" w:lineRule="auto"/>
              <w:ind w:firstLine="0" w:firstLineChars="0"/>
              <w:jc w:val="center"/>
              <w:rPr>
                <w:color w:val="auto"/>
                <w:sz w:val="21"/>
                <w:szCs w:val="21"/>
              </w:rPr>
            </w:pPr>
            <w:r>
              <w:rPr>
                <w:color w:val="auto"/>
                <w:sz w:val="21"/>
                <w:szCs w:val="21"/>
              </w:rPr>
              <w:t>梁滩河（左支流莲花滩河）开发利用区</w:t>
            </w:r>
          </w:p>
        </w:tc>
        <w:tc>
          <w:tcPr>
            <w:tcW w:w="1580" w:type="pct"/>
            <w:vAlign w:val="center"/>
          </w:tcPr>
          <w:p w14:paraId="35BF2CAA">
            <w:pPr>
              <w:spacing w:line="240" w:lineRule="auto"/>
              <w:ind w:firstLine="0" w:firstLineChars="0"/>
              <w:jc w:val="center"/>
              <w:rPr>
                <w:color w:val="auto"/>
                <w:sz w:val="21"/>
                <w:szCs w:val="21"/>
              </w:rPr>
            </w:pPr>
            <w:r>
              <w:rPr>
                <w:color w:val="auto"/>
                <w:sz w:val="21"/>
                <w:szCs w:val="21"/>
              </w:rPr>
              <w:t>梁滩河（左支流莲花滩河）走马金凤农业用水区</w:t>
            </w:r>
          </w:p>
        </w:tc>
        <w:tc>
          <w:tcPr>
            <w:tcW w:w="665" w:type="pct"/>
            <w:vAlign w:val="center"/>
          </w:tcPr>
          <w:p w14:paraId="7F178FE0">
            <w:pPr>
              <w:spacing w:line="240" w:lineRule="auto"/>
              <w:ind w:firstLine="0" w:firstLineChars="0"/>
              <w:jc w:val="center"/>
              <w:rPr>
                <w:color w:val="auto"/>
                <w:sz w:val="21"/>
                <w:szCs w:val="21"/>
              </w:rPr>
            </w:pPr>
            <w:r>
              <w:rPr>
                <w:color w:val="auto"/>
                <w:sz w:val="21"/>
                <w:szCs w:val="21"/>
              </w:rPr>
              <w:t>Ⅴ</w:t>
            </w:r>
          </w:p>
        </w:tc>
        <w:tc>
          <w:tcPr>
            <w:tcW w:w="664" w:type="pct"/>
            <w:vAlign w:val="center"/>
          </w:tcPr>
          <w:p w14:paraId="583AEFD9">
            <w:pPr>
              <w:spacing w:line="240" w:lineRule="auto"/>
              <w:ind w:firstLine="0" w:firstLineChars="0"/>
              <w:jc w:val="center"/>
              <w:rPr>
                <w:color w:val="auto"/>
                <w:sz w:val="21"/>
                <w:szCs w:val="21"/>
              </w:rPr>
            </w:pPr>
            <w:r>
              <w:rPr>
                <w:color w:val="auto"/>
                <w:sz w:val="21"/>
                <w:szCs w:val="21"/>
              </w:rPr>
              <w:t>Ⅴ</w:t>
            </w:r>
          </w:p>
        </w:tc>
        <w:tc>
          <w:tcPr>
            <w:tcW w:w="615" w:type="pct"/>
            <w:vAlign w:val="center"/>
          </w:tcPr>
          <w:p w14:paraId="20A905E5">
            <w:pPr>
              <w:spacing w:line="240" w:lineRule="auto"/>
              <w:ind w:firstLine="0" w:firstLineChars="0"/>
              <w:jc w:val="center"/>
              <w:rPr>
                <w:color w:val="auto"/>
                <w:sz w:val="21"/>
                <w:szCs w:val="21"/>
              </w:rPr>
            </w:pPr>
            <w:r>
              <w:rPr>
                <w:color w:val="auto"/>
                <w:sz w:val="21"/>
                <w:szCs w:val="21"/>
              </w:rPr>
              <w:t>达标</w:t>
            </w:r>
          </w:p>
        </w:tc>
      </w:tr>
    </w:tbl>
    <w:p w14:paraId="11BA8DD9">
      <w:pPr>
        <w:ind w:firstLine="482"/>
        <w:rPr>
          <w:b/>
          <w:bCs/>
          <w:color w:val="auto"/>
        </w:rPr>
      </w:pPr>
      <w:r>
        <w:rPr>
          <w:b/>
          <w:bCs/>
          <w:color w:val="auto"/>
        </w:rPr>
        <w:t>（2）饮用水源地水质情况</w:t>
      </w:r>
    </w:p>
    <w:p w14:paraId="2569E6E2">
      <w:pPr>
        <w:ind w:firstLine="480"/>
        <w:rPr>
          <w:color w:val="auto"/>
        </w:rPr>
      </w:pPr>
      <w:r>
        <w:rPr>
          <w:color w:val="auto"/>
        </w:rPr>
        <w:t>九龙坡区目前场镇集中供水水库有大河沟水库、金银沟水库、拦河水库、马家沟水库、冷家河水库、廖家沟水库、李家沟水库7座水库。场镇集中供水库均在次级河流的源头，水库流域区范围内为低山丘陵地形，植被较为良好，区内经济以农业为主，无工矿企业，无集中场镇，人口相对密度较小，根据2019年监测数据对水质进行评价，水库现状水质为Ⅱ～Ⅲ类。</w:t>
      </w:r>
    </w:p>
    <w:p w14:paraId="7451C762">
      <w:pPr>
        <w:spacing w:line="560" w:lineRule="exact"/>
        <w:ind w:firstLine="0" w:firstLineChars="0"/>
        <w:rPr>
          <w:b/>
          <w:bCs/>
          <w:color w:val="auto"/>
        </w:rPr>
      </w:pPr>
      <w:r>
        <w:rPr>
          <w:b/>
          <w:bCs/>
          <w:color w:val="auto"/>
        </w:rPr>
        <w:t>表3.2-4           九龙坡区水库饮用水源地保护区水质评价结果表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234"/>
        <w:gridCol w:w="1134"/>
        <w:gridCol w:w="1416"/>
        <w:gridCol w:w="1143"/>
      </w:tblGrid>
      <w:tr w14:paraId="7F7E3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930" w:type="pct"/>
            <w:vAlign w:val="center"/>
          </w:tcPr>
          <w:p w14:paraId="66136FEF">
            <w:pPr>
              <w:spacing w:line="240" w:lineRule="auto"/>
              <w:ind w:firstLine="0" w:firstLineChars="0"/>
              <w:jc w:val="center"/>
              <w:rPr>
                <w:color w:val="auto"/>
                <w:sz w:val="21"/>
                <w:szCs w:val="21"/>
              </w:rPr>
            </w:pPr>
            <w:r>
              <w:rPr>
                <w:color w:val="auto"/>
                <w:sz w:val="21"/>
                <w:szCs w:val="21"/>
              </w:rPr>
              <w:t>水库水功能区名称</w:t>
            </w:r>
          </w:p>
        </w:tc>
        <w:tc>
          <w:tcPr>
            <w:tcW w:w="635" w:type="pct"/>
            <w:vAlign w:val="center"/>
          </w:tcPr>
          <w:p w14:paraId="12D889E9">
            <w:pPr>
              <w:spacing w:line="240" w:lineRule="auto"/>
              <w:ind w:firstLine="0" w:firstLineChars="0"/>
              <w:jc w:val="center"/>
              <w:rPr>
                <w:color w:val="auto"/>
                <w:sz w:val="21"/>
                <w:szCs w:val="21"/>
              </w:rPr>
            </w:pPr>
            <w:r>
              <w:rPr>
                <w:color w:val="auto"/>
                <w:sz w:val="21"/>
                <w:szCs w:val="21"/>
              </w:rPr>
              <w:t>汛期</w:t>
            </w:r>
          </w:p>
        </w:tc>
        <w:tc>
          <w:tcPr>
            <w:tcW w:w="793" w:type="pct"/>
            <w:vAlign w:val="center"/>
          </w:tcPr>
          <w:p w14:paraId="3FB5A98C">
            <w:pPr>
              <w:spacing w:line="240" w:lineRule="auto"/>
              <w:ind w:firstLine="0" w:firstLineChars="0"/>
              <w:jc w:val="center"/>
              <w:rPr>
                <w:color w:val="auto"/>
                <w:sz w:val="21"/>
                <w:szCs w:val="21"/>
              </w:rPr>
            </w:pPr>
            <w:r>
              <w:rPr>
                <w:color w:val="auto"/>
                <w:sz w:val="21"/>
                <w:szCs w:val="21"/>
              </w:rPr>
              <w:t>非汛期</w:t>
            </w:r>
          </w:p>
        </w:tc>
        <w:tc>
          <w:tcPr>
            <w:tcW w:w="640" w:type="pct"/>
            <w:vAlign w:val="center"/>
          </w:tcPr>
          <w:p w14:paraId="43429391">
            <w:pPr>
              <w:spacing w:line="240" w:lineRule="auto"/>
              <w:ind w:firstLine="0" w:firstLineChars="0"/>
              <w:jc w:val="center"/>
              <w:rPr>
                <w:color w:val="auto"/>
                <w:sz w:val="21"/>
                <w:szCs w:val="21"/>
              </w:rPr>
            </w:pPr>
            <w:r>
              <w:rPr>
                <w:color w:val="auto"/>
                <w:sz w:val="21"/>
                <w:szCs w:val="21"/>
              </w:rPr>
              <w:t>总体</w:t>
            </w:r>
          </w:p>
        </w:tc>
      </w:tr>
      <w:tr w14:paraId="7A2B4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389D85D9">
            <w:pPr>
              <w:spacing w:line="240" w:lineRule="auto"/>
              <w:ind w:firstLine="0" w:firstLineChars="0"/>
              <w:jc w:val="center"/>
              <w:rPr>
                <w:color w:val="auto"/>
                <w:sz w:val="21"/>
                <w:szCs w:val="21"/>
              </w:rPr>
            </w:pPr>
            <w:r>
              <w:rPr>
                <w:color w:val="auto"/>
                <w:sz w:val="21"/>
                <w:szCs w:val="21"/>
              </w:rPr>
              <w:t>大河沟水库饮用水源地保护区</w:t>
            </w:r>
          </w:p>
        </w:tc>
        <w:tc>
          <w:tcPr>
            <w:tcW w:w="635" w:type="pct"/>
            <w:vAlign w:val="center"/>
          </w:tcPr>
          <w:p w14:paraId="29AE19B2">
            <w:pPr>
              <w:spacing w:line="240" w:lineRule="auto"/>
              <w:ind w:firstLine="0" w:firstLineChars="0"/>
              <w:jc w:val="center"/>
              <w:rPr>
                <w:color w:val="auto"/>
                <w:sz w:val="21"/>
                <w:szCs w:val="21"/>
              </w:rPr>
            </w:pPr>
            <w:r>
              <w:rPr>
                <w:color w:val="auto"/>
                <w:sz w:val="21"/>
                <w:szCs w:val="21"/>
              </w:rPr>
              <w:t>Ⅱ～Ⅲ</w:t>
            </w:r>
          </w:p>
        </w:tc>
        <w:tc>
          <w:tcPr>
            <w:tcW w:w="793" w:type="pct"/>
            <w:vAlign w:val="center"/>
          </w:tcPr>
          <w:p w14:paraId="5D6D215F">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07D4A8A3">
            <w:pPr>
              <w:spacing w:line="240" w:lineRule="auto"/>
              <w:ind w:firstLine="0" w:firstLineChars="0"/>
              <w:jc w:val="center"/>
              <w:rPr>
                <w:color w:val="auto"/>
                <w:sz w:val="21"/>
                <w:szCs w:val="21"/>
              </w:rPr>
            </w:pPr>
            <w:r>
              <w:rPr>
                <w:color w:val="auto"/>
                <w:sz w:val="21"/>
                <w:szCs w:val="21"/>
              </w:rPr>
              <w:t>Ⅲ</w:t>
            </w:r>
          </w:p>
        </w:tc>
      </w:tr>
      <w:tr w14:paraId="3AEB4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745DB001">
            <w:pPr>
              <w:spacing w:line="240" w:lineRule="auto"/>
              <w:ind w:firstLine="0" w:firstLineChars="0"/>
              <w:jc w:val="center"/>
              <w:rPr>
                <w:color w:val="auto"/>
                <w:sz w:val="21"/>
                <w:szCs w:val="21"/>
              </w:rPr>
            </w:pPr>
            <w:r>
              <w:rPr>
                <w:color w:val="auto"/>
                <w:sz w:val="21"/>
                <w:szCs w:val="21"/>
              </w:rPr>
              <w:t>金银沟水库饮用水源地保护区</w:t>
            </w:r>
          </w:p>
        </w:tc>
        <w:tc>
          <w:tcPr>
            <w:tcW w:w="635" w:type="pct"/>
            <w:vAlign w:val="center"/>
          </w:tcPr>
          <w:p w14:paraId="3CB5BD1F">
            <w:pPr>
              <w:spacing w:line="240" w:lineRule="auto"/>
              <w:ind w:firstLine="0" w:firstLineChars="0"/>
              <w:jc w:val="center"/>
              <w:rPr>
                <w:color w:val="auto"/>
                <w:sz w:val="21"/>
                <w:szCs w:val="21"/>
              </w:rPr>
            </w:pPr>
            <w:r>
              <w:rPr>
                <w:color w:val="auto"/>
                <w:sz w:val="21"/>
                <w:szCs w:val="21"/>
              </w:rPr>
              <w:t>Ⅱ～Ⅳ</w:t>
            </w:r>
          </w:p>
        </w:tc>
        <w:tc>
          <w:tcPr>
            <w:tcW w:w="793" w:type="pct"/>
            <w:vAlign w:val="center"/>
          </w:tcPr>
          <w:p w14:paraId="5F4294FA">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76A952D2">
            <w:pPr>
              <w:spacing w:line="240" w:lineRule="auto"/>
              <w:ind w:firstLine="0" w:firstLineChars="0"/>
              <w:jc w:val="center"/>
              <w:rPr>
                <w:color w:val="auto"/>
                <w:sz w:val="21"/>
                <w:szCs w:val="21"/>
              </w:rPr>
            </w:pPr>
            <w:r>
              <w:rPr>
                <w:color w:val="auto"/>
                <w:sz w:val="21"/>
                <w:szCs w:val="21"/>
              </w:rPr>
              <w:t>Ⅲ</w:t>
            </w:r>
          </w:p>
        </w:tc>
      </w:tr>
      <w:tr w14:paraId="3A1EE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4FBC25B1">
            <w:pPr>
              <w:spacing w:line="240" w:lineRule="auto"/>
              <w:ind w:firstLine="0" w:firstLineChars="0"/>
              <w:jc w:val="center"/>
              <w:rPr>
                <w:color w:val="auto"/>
                <w:sz w:val="21"/>
                <w:szCs w:val="21"/>
              </w:rPr>
            </w:pPr>
            <w:r>
              <w:rPr>
                <w:color w:val="auto"/>
                <w:sz w:val="21"/>
                <w:szCs w:val="21"/>
              </w:rPr>
              <w:t>拦河水库饮用水源地保护区</w:t>
            </w:r>
          </w:p>
        </w:tc>
        <w:tc>
          <w:tcPr>
            <w:tcW w:w="635" w:type="pct"/>
            <w:vAlign w:val="center"/>
          </w:tcPr>
          <w:p w14:paraId="3A0E1A5E">
            <w:pPr>
              <w:spacing w:line="240" w:lineRule="auto"/>
              <w:ind w:firstLine="0" w:firstLineChars="0"/>
              <w:jc w:val="center"/>
              <w:rPr>
                <w:color w:val="auto"/>
                <w:sz w:val="21"/>
                <w:szCs w:val="21"/>
              </w:rPr>
            </w:pPr>
            <w:r>
              <w:rPr>
                <w:color w:val="auto"/>
                <w:sz w:val="21"/>
                <w:szCs w:val="21"/>
              </w:rPr>
              <w:t>Ⅱ～Ⅲ</w:t>
            </w:r>
          </w:p>
        </w:tc>
        <w:tc>
          <w:tcPr>
            <w:tcW w:w="793" w:type="pct"/>
            <w:vAlign w:val="center"/>
          </w:tcPr>
          <w:p w14:paraId="3370436C">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3CCC6933">
            <w:pPr>
              <w:spacing w:line="240" w:lineRule="auto"/>
              <w:ind w:firstLine="0" w:firstLineChars="0"/>
              <w:jc w:val="center"/>
              <w:rPr>
                <w:color w:val="auto"/>
                <w:sz w:val="21"/>
                <w:szCs w:val="21"/>
              </w:rPr>
            </w:pPr>
            <w:r>
              <w:rPr>
                <w:color w:val="auto"/>
                <w:sz w:val="21"/>
                <w:szCs w:val="21"/>
              </w:rPr>
              <w:t>Ⅲ</w:t>
            </w:r>
          </w:p>
        </w:tc>
      </w:tr>
      <w:tr w14:paraId="469E7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173703A0">
            <w:pPr>
              <w:spacing w:line="240" w:lineRule="auto"/>
              <w:ind w:firstLine="0" w:firstLineChars="0"/>
              <w:jc w:val="center"/>
              <w:rPr>
                <w:color w:val="auto"/>
                <w:sz w:val="21"/>
                <w:szCs w:val="21"/>
              </w:rPr>
            </w:pPr>
            <w:r>
              <w:rPr>
                <w:color w:val="auto"/>
                <w:sz w:val="21"/>
                <w:szCs w:val="21"/>
              </w:rPr>
              <w:t>马家沟水库饮用水源地保护区</w:t>
            </w:r>
          </w:p>
        </w:tc>
        <w:tc>
          <w:tcPr>
            <w:tcW w:w="635" w:type="pct"/>
            <w:vAlign w:val="center"/>
          </w:tcPr>
          <w:p w14:paraId="4B542D83">
            <w:pPr>
              <w:spacing w:line="240" w:lineRule="auto"/>
              <w:ind w:firstLine="0" w:firstLineChars="0"/>
              <w:jc w:val="center"/>
              <w:rPr>
                <w:color w:val="auto"/>
                <w:sz w:val="21"/>
                <w:szCs w:val="21"/>
              </w:rPr>
            </w:pPr>
            <w:r>
              <w:rPr>
                <w:color w:val="auto"/>
                <w:sz w:val="21"/>
                <w:szCs w:val="21"/>
              </w:rPr>
              <w:t>Ⅱ～Ⅲ</w:t>
            </w:r>
          </w:p>
        </w:tc>
        <w:tc>
          <w:tcPr>
            <w:tcW w:w="793" w:type="pct"/>
            <w:vAlign w:val="center"/>
          </w:tcPr>
          <w:p w14:paraId="5237B0EE">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292EDD29">
            <w:pPr>
              <w:spacing w:line="240" w:lineRule="auto"/>
              <w:ind w:firstLine="0" w:firstLineChars="0"/>
              <w:jc w:val="center"/>
              <w:rPr>
                <w:color w:val="auto"/>
                <w:sz w:val="21"/>
                <w:szCs w:val="21"/>
              </w:rPr>
            </w:pPr>
            <w:r>
              <w:rPr>
                <w:color w:val="auto"/>
                <w:sz w:val="21"/>
                <w:szCs w:val="21"/>
              </w:rPr>
              <w:t>Ⅲ</w:t>
            </w:r>
          </w:p>
        </w:tc>
      </w:tr>
      <w:tr w14:paraId="7CDD6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5047B501">
            <w:pPr>
              <w:spacing w:line="240" w:lineRule="auto"/>
              <w:ind w:firstLine="0" w:firstLineChars="0"/>
              <w:jc w:val="center"/>
              <w:rPr>
                <w:color w:val="auto"/>
                <w:sz w:val="21"/>
                <w:szCs w:val="21"/>
              </w:rPr>
            </w:pPr>
            <w:r>
              <w:rPr>
                <w:color w:val="auto"/>
                <w:sz w:val="21"/>
                <w:szCs w:val="21"/>
              </w:rPr>
              <w:t>冷家河水库饮用水源地保护区</w:t>
            </w:r>
          </w:p>
        </w:tc>
        <w:tc>
          <w:tcPr>
            <w:tcW w:w="635" w:type="pct"/>
            <w:vAlign w:val="center"/>
          </w:tcPr>
          <w:p w14:paraId="379F88F9">
            <w:pPr>
              <w:spacing w:line="240" w:lineRule="auto"/>
              <w:ind w:firstLine="0" w:firstLineChars="0"/>
              <w:jc w:val="center"/>
              <w:rPr>
                <w:color w:val="auto"/>
                <w:sz w:val="21"/>
                <w:szCs w:val="21"/>
              </w:rPr>
            </w:pPr>
            <w:r>
              <w:rPr>
                <w:color w:val="auto"/>
                <w:sz w:val="21"/>
                <w:szCs w:val="21"/>
              </w:rPr>
              <w:t>Ⅱ～Ⅲ</w:t>
            </w:r>
          </w:p>
        </w:tc>
        <w:tc>
          <w:tcPr>
            <w:tcW w:w="793" w:type="pct"/>
            <w:vAlign w:val="center"/>
          </w:tcPr>
          <w:p w14:paraId="43B43CB0">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7504423C">
            <w:pPr>
              <w:spacing w:line="240" w:lineRule="auto"/>
              <w:ind w:firstLine="0" w:firstLineChars="0"/>
              <w:jc w:val="center"/>
              <w:rPr>
                <w:color w:val="auto"/>
                <w:sz w:val="21"/>
                <w:szCs w:val="21"/>
              </w:rPr>
            </w:pPr>
            <w:r>
              <w:rPr>
                <w:color w:val="auto"/>
                <w:sz w:val="21"/>
                <w:szCs w:val="21"/>
              </w:rPr>
              <w:t>Ⅲ</w:t>
            </w:r>
          </w:p>
        </w:tc>
      </w:tr>
      <w:tr w14:paraId="25CC3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54D8EFB9">
            <w:pPr>
              <w:spacing w:line="240" w:lineRule="auto"/>
              <w:ind w:firstLine="0" w:firstLineChars="0"/>
              <w:jc w:val="center"/>
              <w:rPr>
                <w:color w:val="auto"/>
                <w:sz w:val="21"/>
                <w:szCs w:val="21"/>
              </w:rPr>
            </w:pPr>
            <w:r>
              <w:rPr>
                <w:color w:val="auto"/>
                <w:sz w:val="21"/>
                <w:szCs w:val="21"/>
              </w:rPr>
              <w:t>廖家沟水库饮用水源地保护区</w:t>
            </w:r>
          </w:p>
        </w:tc>
        <w:tc>
          <w:tcPr>
            <w:tcW w:w="635" w:type="pct"/>
            <w:vAlign w:val="center"/>
          </w:tcPr>
          <w:p w14:paraId="3EA69C07">
            <w:pPr>
              <w:spacing w:line="240" w:lineRule="auto"/>
              <w:ind w:firstLine="0" w:firstLineChars="0"/>
              <w:jc w:val="center"/>
              <w:rPr>
                <w:color w:val="auto"/>
                <w:sz w:val="21"/>
                <w:szCs w:val="21"/>
              </w:rPr>
            </w:pPr>
            <w:r>
              <w:rPr>
                <w:color w:val="auto"/>
                <w:sz w:val="21"/>
                <w:szCs w:val="21"/>
              </w:rPr>
              <w:t>Ⅱ～Ⅳ</w:t>
            </w:r>
          </w:p>
        </w:tc>
        <w:tc>
          <w:tcPr>
            <w:tcW w:w="793" w:type="pct"/>
            <w:vAlign w:val="center"/>
          </w:tcPr>
          <w:p w14:paraId="0E04355F">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6382C11E">
            <w:pPr>
              <w:spacing w:line="240" w:lineRule="auto"/>
              <w:ind w:firstLine="0" w:firstLineChars="0"/>
              <w:jc w:val="center"/>
              <w:rPr>
                <w:color w:val="auto"/>
                <w:sz w:val="21"/>
                <w:szCs w:val="21"/>
              </w:rPr>
            </w:pPr>
            <w:r>
              <w:rPr>
                <w:color w:val="auto"/>
                <w:sz w:val="21"/>
                <w:szCs w:val="21"/>
              </w:rPr>
              <w:t>Ⅲ</w:t>
            </w:r>
          </w:p>
        </w:tc>
      </w:tr>
      <w:tr w14:paraId="72943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0" w:type="pct"/>
            <w:vAlign w:val="center"/>
          </w:tcPr>
          <w:p w14:paraId="3A4A41F7">
            <w:pPr>
              <w:spacing w:line="240" w:lineRule="auto"/>
              <w:ind w:firstLine="0" w:firstLineChars="0"/>
              <w:jc w:val="center"/>
              <w:rPr>
                <w:color w:val="auto"/>
                <w:sz w:val="21"/>
                <w:szCs w:val="21"/>
              </w:rPr>
            </w:pPr>
            <w:r>
              <w:rPr>
                <w:color w:val="auto"/>
                <w:sz w:val="21"/>
                <w:szCs w:val="21"/>
              </w:rPr>
              <w:t>李家沟水库饮用水源地保护区</w:t>
            </w:r>
          </w:p>
        </w:tc>
        <w:tc>
          <w:tcPr>
            <w:tcW w:w="635" w:type="pct"/>
            <w:vAlign w:val="center"/>
          </w:tcPr>
          <w:p w14:paraId="5D70BD8F">
            <w:pPr>
              <w:spacing w:line="240" w:lineRule="auto"/>
              <w:ind w:firstLine="0" w:firstLineChars="0"/>
              <w:jc w:val="center"/>
              <w:rPr>
                <w:color w:val="auto"/>
                <w:sz w:val="21"/>
                <w:szCs w:val="21"/>
              </w:rPr>
            </w:pPr>
            <w:r>
              <w:rPr>
                <w:color w:val="auto"/>
                <w:sz w:val="21"/>
                <w:szCs w:val="21"/>
              </w:rPr>
              <w:t>Ⅱ～Ⅲ</w:t>
            </w:r>
          </w:p>
        </w:tc>
        <w:tc>
          <w:tcPr>
            <w:tcW w:w="793" w:type="pct"/>
            <w:vAlign w:val="center"/>
          </w:tcPr>
          <w:p w14:paraId="5B5A6325">
            <w:pPr>
              <w:spacing w:line="240" w:lineRule="auto"/>
              <w:ind w:firstLine="0" w:firstLineChars="0"/>
              <w:jc w:val="center"/>
              <w:rPr>
                <w:color w:val="auto"/>
                <w:sz w:val="21"/>
                <w:szCs w:val="21"/>
              </w:rPr>
            </w:pPr>
            <w:r>
              <w:rPr>
                <w:color w:val="auto"/>
                <w:sz w:val="21"/>
                <w:szCs w:val="21"/>
              </w:rPr>
              <w:t>Ⅱ～Ⅲ</w:t>
            </w:r>
          </w:p>
        </w:tc>
        <w:tc>
          <w:tcPr>
            <w:tcW w:w="640" w:type="pct"/>
            <w:vAlign w:val="center"/>
          </w:tcPr>
          <w:p w14:paraId="5E3DB927">
            <w:pPr>
              <w:spacing w:line="240" w:lineRule="auto"/>
              <w:ind w:firstLine="0" w:firstLineChars="0"/>
              <w:jc w:val="center"/>
              <w:rPr>
                <w:color w:val="auto"/>
                <w:sz w:val="21"/>
                <w:szCs w:val="21"/>
              </w:rPr>
            </w:pPr>
            <w:r>
              <w:rPr>
                <w:color w:val="auto"/>
                <w:sz w:val="21"/>
                <w:szCs w:val="21"/>
              </w:rPr>
              <w:t>Ⅲ</w:t>
            </w:r>
          </w:p>
        </w:tc>
      </w:tr>
    </w:tbl>
    <w:p w14:paraId="3AD04C5E">
      <w:pPr>
        <w:pStyle w:val="4"/>
        <w:numPr>
          <w:ilvl w:val="1"/>
          <w:numId w:val="0"/>
        </w:numPr>
        <w:spacing w:before="166" w:after="166"/>
        <w:rPr>
          <w:color w:val="auto"/>
        </w:rPr>
      </w:pPr>
      <w:bookmarkStart w:id="28" w:name="_Toc10580"/>
      <w:bookmarkStart w:id="29" w:name="_Toc6428"/>
      <w:r>
        <w:rPr>
          <w:color w:val="auto"/>
        </w:rPr>
        <w:t>3.3所在行政区水资源管理红线控制指标情况</w:t>
      </w:r>
      <w:bookmarkEnd w:id="28"/>
      <w:bookmarkEnd w:id="29"/>
    </w:p>
    <w:p w14:paraId="7D9A16EE">
      <w:pPr>
        <w:spacing w:line="560" w:lineRule="exact"/>
        <w:ind w:firstLine="480"/>
        <w:rPr>
          <w:color w:val="auto"/>
        </w:rPr>
      </w:pPr>
      <w:r>
        <w:rPr>
          <w:color w:val="auto"/>
        </w:rPr>
        <w:t>根据《重庆市实行最严格水资源管理制度考核办法》（渝府办发〔2013〕95号）及《2016-2020年度水资源管理“三条红线”控制指标》（渝府办发〔2016〕152号），九龙坡区水资源管理“三条红线”控制指标如下：</w:t>
      </w:r>
    </w:p>
    <w:p w14:paraId="4C064C4B">
      <w:pPr>
        <w:ind w:firstLine="480"/>
        <w:rPr>
          <w:color w:val="auto"/>
        </w:rPr>
      </w:pPr>
      <w:bookmarkStart w:id="30" w:name="_Toc1765"/>
      <w:r>
        <w:rPr>
          <w:color w:val="auto"/>
        </w:rPr>
        <w:t>（1）用水总量控制指标</w:t>
      </w:r>
      <w:bookmarkEnd w:id="30"/>
    </w:p>
    <w:p w14:paraId="5775E532">
      <w:pPr>
        <w:spacing w:line="560" w:lineRule="exact"/>
        <w:ind w:firstLine="480"/>
        <w:rPr>
          <w:color w:val="auto"/>
        </w:rPr>
      </w:pPr>
      <w:r>
        <w:rPr>
          <w:color w:val="auto"/>
        </w:rPr>
        <w:t>根据《2019年重庆市水资源公报》，九龙坡区2019年用水总量为2.3365亿m</w:t>
      </w:r>
      <w:r>
        <w:rPr>
          <w:color w:val="auto"/>
          <w:vertAlign w:val="superscript"/>
        </w:rPr>
        <w:t>3</w:t>
      </w:r>
      <w:r>
        <w:rPr>
          <w:color w:val="auto"/>
        </w:rPr>
        <w:t>，未超过2019年用水总量指标2.47亿m</w:t>
      </w:r>
      <w:r>
        <w:rPr>
          <w:color w:val="auto"/>
          <w:vertAlign w:val="superscript"/>
        </w:rPr>
        <w:t>3</w:t>
      </w:r>
      <w:r>
        <w:rPr>
          <w:color w:val="auto"/>
        </w:rPr>
        <w:t>，满足用水总量控制红线。</w:t>
      </w:r>
    </w:p>
    <w:p w14:paraId="133ADD09">
      <w:pPr>
        <w:ind w:firstLine="480"/>
        <w:rPr>
          <w:color w:val="auto"/>
        </w:rPr>
      </w:pPr>
      <w:r>
        <w:rPr>
          <w:color w:val="auto"/>
        </w:rPr>
        <w:t>根据重庆市人民政府办公厅关于印发《重庆市实行最严格水资源管理制度考核办法》的通知（渝府发〔2013〕95号）以及《重庆市人民政府办公厅关于印发2016-2020年度水资源管理“三条红线”控制指标的通知》（渝府办发〔2016〕152号），通过内插计算，九龙坡区2025年用水总量控制目标为2.745亿m</w:t>
      </w:r>
      <w:r>
        <w:rPr>
          <w:color w:val="auto"/>
          <w:vertAlign w:val="superscript"/>
        </w:rPr>
        <w:t>3</w:t>
      </w:r>
      <w:r>
        <w:rPr>
          <w:color w:val="auto"/>
        </w:rPr>
        <w:t>。</w:t>
      </w:r>
    </w:p>
    <w:p w14:paraId="2AD4D257">
      <w:pPr>
        <w:ind w:firstLine="480"/>
        <w:rPr>
          <w:color w:val="auto"/>
        </w:rPr>
      </w:pPr>
      <w:r>
        <w:rPr>
          <w:color w:val="auto"/>
        </w:rPr>
        <w:t>根据《重庆市九龙坡区主要江河流域水量分配方案》，水资源五级分区大溪河流域片区2025年分配水量4028万m</w:t>
      </w:r>
      <w:r>
        <w:rPr>
          <w:color w:val="auto"/>
          <w:vertAlign w:val="superscript"/>
        </w:rPr>
        <w:t>3</w:t>
      </w:r>
      <w:r>
        <w:rPr>
          <w:color w:val="auto"/>
        </w:rPr>
        <w:t>，跳蹬河流域片区2025年分配水量17706万m</w:t>
      </w:r>
      <w:r>
        <w:rPr>
          <w:color w:val="auto"/>
          <w:vertAlign w:val="superscript"/>
        </w:rPr>
        <w:t>3</w:t>
      </w:r>
      <w:r>
        <w:rPr>
          <w:color w:val="auto"/>
        </w:rPr>
        <w:t>。</w:t>
      </w:r>
    </w:p>
    <w:p w14:paraId="5C66C214">
      <w:pPr>
        <w:ind w:firstLine="480"/>
        <w:rPr>
          <w:color w:val="auto"/>
        </w:rPr>
      </w:pPr>
      <w:bookmarkStart w:id="31" w:name="_Toc21700"/>
      <w:r>
        <w:rPr>
          <w:color w:val="auto"/>
        </w:rPr>
        <w:t>（2）用水效率控制指标</w:t>
      </w:r>
      <w:bookmarkEnd w:id="31"/>
    </w:p>
    <w:p w14:paraId="134CCCFB">
      <w:pPr>
        <w:spacing w:line="560" w:lineRule="exact"/>
        <w:ind w:firstLine="480"/>
        <w:rPr>
          <w:color w:val="auto"/>
        </w:rPr>
      </w:pPr>
      <w:r>
        <w:rPr>
          <w:color w:val="auto"/>
        </w:rPr>
        <w:t>根据《重庆市人民政府办公厅关于印发2016-2020年度水资源管理“三条红线”控制指标的通知》的要求，到2019年，万元工业增加值用水量较2015年降低20%。</w:t>
      </w:r>
    </w:p>
    <w:p w14:paraId="1E2FA142">
      <w:pPr>
        <w:ind w:firstLine="480"/>
        <w:rPr>
          <w:color w:val="auto"/>
        </w:rPr>
      </w:pPr>
      <w:r>
        <w:rPr>
          <w:color w:val="auto"/>
        </w:rPr>
        <w:t>通过《重庆市水资源公报》（2019）、《重庆市水资源公报》（2015）对比分析， 2019 年九龙坡区万元工业增加值用水量比2015年下降21%，用水效率满足红线要求。</w:t>
      </w:r>
    </w:p>
    <w:p w14:paraId="0890F886">
      <w:pPr>
        <w:ind w:firstLine="480"/>
        <w:rPr>
          <w:color w:val="auto"/>
        </w:rPr>
      </w:pPr>
      <w:bookmarkStart w:id="32" w:name="_Toc1950"/>
      <w:r>
        <w:rPr>
          <w:color w:val="auto"/>
        </w:rPr>
        <w:t>（3）重要江河湖泊水功能区水质达标率</w:t>
      </w:r>
      <w:bookmarkEnd w:id="32"/>
    </w:p>
    <w:p w14:paraId="752460F7">
      <w:pPr>
        <w:spacing w:line="560" w:lineRule="exact"/>
        <w:ind w:firstLine="480"/>
        <w:rPr>
          <w:color w:val="auto"/>
        </w:rPr>
      </w:pPr>
      <w:r>
        <w:rPr>
          <w:color w:val="auto"/>
        </w:rPr>
        <w:t>水功能区限制纳污控制目标以水功能区管理为载体，加强水资源保护。根据《重庆市九龙坡区人民政府关于实行最严格水资源管理制度的实施意见》（九龙坡府办发〔2013〕214号），到2015年，重要江河湖泊水功能区水质达标率提高到80%以上，2020年，重要江河湖泊水功能区水质达标率提高到85%以上，2030年，主要污染物入河湖总量控制在水功能区纳污能力范围之内，重要江河湖泊水功能区水质达标率95%以上，城乡集中式饮用水水源地水质全面达标。</w:t>
      </w:r>
    </w:p>
    <w:p w14:paraId="703AEE08">
      <w:pPr>
        <w:pStyle w:val="4"/>
        <w:numPr>
          <w:ilvl w:val="1"/>
          <w:numId w:val="0"/>
        </w:numPr>
        <w:spacing w:before="166" w:after="166"/>
        <w:rPr>
          <w:color w:val="auto"/>
        </w:rPr>
      </w:pPr>
      <w:bookmarkStart w:id="33" w:name="_Toc24532"/>
      <w:r>
        <w:rPr>
          <w:color w:val="auto"/>
        </w:rPr>
        <w:t>3.4水资源开发利用潜力分析</w:t>
      </w:r>
      <w:bookmarkEnd w:id="33"/>
    </w:p>
    <w:p w14:paraId="7BF719D9">
      <w:pPr>
        <w:ind w:firstLine="480"/>
        <w:rPr>
          <w:color w:val="auto"/>
        </w:rPr>
      </w:pPr>
      <w:r>
        <w:rPr>
          <w:color w:val="auto"/>
        </w:rPr>
        <w:t>根据《重庆市人民政府办公厅关于印发重庆市实行最严格水资源管理制度考核办法的通知》（渝府办发〔2013〕95 号）、《重庆市人民政府办公厅关于印发 2016-2020 年度水资源管理“三条红线”控制指标的通知》（渝府办发〔2016〕152 号）九龙坡区2019年用水总量控制指标为2.47亿m</w:t>
      </w:r>
      <w:r>
        <w:rPr>
          <w:color w:val="auto"/>
          <w:vertAlign w:val="superscript"/>
        </w:rPr>
        <w:t>3</w:t>
      </w:r>
      <w:r>
        <w:rPr>
          <w:color w:val="auto"/>
        </w:rPr>
        <w:t>。2019年九龙坡区用水总量为2.3365亿m</w:t>
      </w:r>
      <w:r>
        <w:rPr>
          <w:color w:val="auto"/>
          <w:vertAlign w:val="superscript"/>
        </w:rPr>
        <w:t>3</w:t>
      </w:r>
      <w:r>
        <w:rPr>
          <w:color w:val="auto"/>
        </w:rPr>
        <w:t>，较现状富余空间为 0.1335 亿 m³，还具有一定的开发潜力。</w:t>
      </w:r>
    </w:p>
    <w:p w14:paraId="4BD4140F">
      <w:pPr>
        <w:ind w:firstLine="480"/>
        <w:rPr>
          <w:color w:val="auto"/>
        </w:rPr>
      </w:pPr>
      <w:r>
        <w:rPr>
          <w:color w:val="auto"/>
        </w:rPr>
        <w:t>从当地水资源开发利用条件分析，九龙坡区水资源总量2.45亿m</w:t>
      </w:r>
      <w:r>
        <w:rPr>
          <w:color w:val="auto"/>
          <w:vertAlign w:val="superscript"/>
        </w:rPr>
        <w:t>3</w:t>
      </w:r>
      <w:r>
        <w:rPr>
          <w:color w:val="auto"/>
        </w:rPr>
        <w:t>（不含过境水资源量），现有水利工程供水量约2269万 m³，仅占水资源总量的11%，当地水资源开发利用率较低，具备一定的开发条件。受制于城市开发区建设，可作为饮用水源地的取水点相对较少。</w:t>
      </w:r>
    </w:p>
    <w:p w14:paraId="4475CA0B">
      <w:pPr>
        <w:ind w:firstLine="480"/>
        <w:rPr>
          <w:color w:val="auto"/>
        </w:rPr>
      </w:pPr>
      <w:r>
        <w:rPr>
          <w:color w:val="auto"/>
        </w:rPr>
        <w:t>从过境水资源开发利用条件分析，九龙坡区过境江河提水2.0642亿m³，仅占长江过境水资源总量的0.4%，过境水资源开发利用率较低，具备一定的开发条件，远期应加大过境水利用。</w:t>
      </w:r>
    </w:p>
    <w:p w14:paraId="24582D24">
      <w:pPr>
        <w:pStyle w:val="4"/>
        <w:numPr>
          <w:ilvl w:val="1"/>
          <w:numId w:val="0"/>
        </w:numPr>
        <w:spacing w:before="166" w:after="166"/>
        <w:rPr>
          <w:color w:val="auto"/>
        </w:rPr>
      </w:pPr>
      <w:bookmarkStart w:id="34" w:name="_Toc12960"/>
      <w:r>
        <w:rPr>
          <w:color w:val="auto"/>
        </w:rPr>
        <w:t>3.5水资源开发利用与保护存在的主要问题</w:t>
      </w:r>
      <w:bookmarkEnd w:id="34"/>
    </w:p>
    <w:p w14:paraId="16811239">
      <w:pPr>
        <w:ind w:firstLine="480"/>
        <w:rPr>
          <w:color w:val="auto"/>
        </w:rPr>
      </w:pPr>
      <w:r>
        <w:rPr>
          <w:color w:val="auto"/>
        </w:rPr>
        <w:t>目前，九龙坡区水资源开发利用存在的主要问题有：</w:t>
      </w:r>
    </w:p>
    <w:p w14:paraId="2692BA35">
      <w:pPr>
        <w:ind w:firstLine="480"/>
        <w:rPr>
          <w:color w:val="auto"/>
        </w:rPr>
      </w:pPr>
      <w:bookmarkStart w:id="35" w:name="_Toc1046"/>
      <w:r>
        <w:rPr>
          <w:color w:val="auto"/>
        </w:rPr>
        <w:t>（1）供水水源分散，不利于集中管理</w:t>
      </w:r>
      <w:bookmarkEnd w:id="35"/>
    </w:p>
    <w:p w14:paraId="6CD3A5DA">
      <w:pPr>
        <w:ind w:firstLine="480"/>
        <w:rPr>
          <w:color w:val="auto"/>
        </w:rPr>
      </w:pPr>
      <w:r>
        <w:rPr>
          <w:color w:val="auto"/>
        </w:rPr>
        <w:t>据统计，现状九龙坡区域内形成规模的供水水厂主要有重庆市自来水公司和尚山水厂、重庆贝迪自来水有限公司、西城水务有限公司、重庆四维自来水有限公司、重庆铜罐驿自来水有限公司，供水规模约38.5万m³/d。但现状九龙坡区依然保留了多处集中饮用水供水站。相对于大的水厂，供水站生产规模小、管理水平低下、处理工艺落后、水质较差，无法满足区内生产生活用水，且由于条件所限，供水水平也难以提高，水质水量均无法得到可靠保证，影响用水水质及用水效率。</w:t>
      </w:r>
    </w:p>
    <w:p w14:paraId="64A9E9D0">
      <w:pPr>
        <w:ind w:firstLine="480"/>
        <w:rPr>
          <w:color w:val="auto"/>
        </w:rPr>
      </w:pPr>
      <w:bookmarkStart w:id="36" w:name="_Toc22291"/>
      <w:r>
        <w:rPr>
          <w:color w:val="auto"/>
        </w:rPr>
        <w:t>（2）水源结构单一，抗风险能力差</w:t>
      </w:r>
      <w:bookmarkEnd w:id="36"/>
    </w:p>
    <w:p w14:paraId="22BB050E">
      <w:pPr>
        <w:ind w:firstLine="480"/>
        <w:rPr>
          <w:color w:val="auto"/>
        </w:rPr>
      </w:pPr>
      <w:r>
        <w:rPr>
          <w:color w:val="auto"/>
          <w:szCs w:val="22"/>
        </w:rPr>
        <w:t>国内绝大多数大城市为多水源供水，具备一定的应急备用水源，遇特殊干旱年和突发水污染事件，能保证城市基本供水。根据《2019年重庆市水资源公报》，九龙坡区2019年统计供水总量2.3365亿m</w:t>
      </w:r>
      <w:r>
        <w:rPr>
          <w:color w:val="auto"/>
          <w:szCs w:val="22"/>
          <w:vertAlign w:val="superscript"/>
        </w:rPr>
        <w:t>3</w:t>
      </w:r>
      <w:r>
        <w:rPr>
          <w:color w:val="auto"/>
          <w:szCs w:val="22"/>
        </w:rPr>
        <w:t>（不含火电），其中过境江河提水2.1000亿m</w:t>
      </w:r>
      <w:r>
        <w:rPr>
          <w:color w:val="auto"/>
          <w:szCs w:val="22"/>
          <w:vertAlign w:val="superscript"/>
        </w:rPr>
        <w:t>3</w:t>
      </w:r>
      <w:r>
        <w:rPr>
          <w:color w:val="auto"/>
          <w:szCs w:val="22"/>
        </w:rPr>
        <w:t>，占比89.9%，水库蓄水0.2149亿m</w:t>
      </w:r>
      <w:r>
        <w:rPr>
          <w:color w:val="auto"/>
          <w:szCs w:val="22"/>
          <w:vertAlign w:val="superscript"/>
        </w:rPr>
        <w:t>3</w:t>
      </w:r>
      <w:r>
        <w:rPr>
          <w:color w:val="auto"/>
          <w:szCs w:val="22"/>
        </w:rPr>
        <w:t>，占比9.2%，利用地下水0.0070亿m</w:t>
      </w:r>
      <w:r>
        <w:rPr>
          <w:color w:val="auto"/>
          <w:szCs w:val="22"/>
          <w:vertAlign w:val="superscript"/>
        </w:rPr>
        <w:t>3</w:t>
      </w:r>
      <w:r>
        <w:rPr>
          <w:color w:val="auto"/>
          <w:szCs w:val="22"/>
        </w:rPr>
        <w:t>。九龙坡区形成了以长江提水为主、水库蓄水和其他供水为辅的供水格局，其中长江提水占主要地位，水库蓄水比重较小，无中型水库以上水库，多为小型蓄水工程，供水保证率低，因此九龙坡区水源结构单一，一旦发生长江水污染事件或水位持续下降，将无其他应急备用水源可供支撑。</w:t>
      </w:r>
    </w:p>
    <w:p w14:paraId="5D876E73">
      <w:pPr>
        <w:ind w:firstLine="480"/>
        <w:rPr>
          <w:color w:val="auto"/>
        </w:rPr>
      </w:pPr>
      <w:bookmarkStart w:id="37" w:name="_Toc18296"/>
      <w:r>
        <w:rPr>
          <w:color w:val="auto"/>
        </w:rPr>
        <w:t>（3）水资源管理方式需继续改革</w:t>
      </w:r>
      <w:bookmarkEnd w:id="37"/>
    </w:p>
    <w:p w14:paraId="04B2FD37">
      <w:pPr>
        <w:ind w:firstLine="472"/>
        <w:rPr>
          <w:color w:val="auto"/>
        </w:rPr>
      </w:pPr>
      <w:r>
        <w:rPr>
          <w:color w:val="auto"/>
          <w:spacing w:val="-2"/>
        </w:rPr>
        <w:t>近年来，随着水资源法制化、规范化管理取得重大进展。《重庆市水资源管理条例》等相应地方性法规和政府规章，增强了全社会的水法治意识，但由于水利行业呈现多头管理，职能交叉，责任不清，协调难的形式，制约了本行业的发展。目前水源工程、水资源调度由水利部门负责，城市供水主要由市政部门负责，这种部门分割的管理体制，多头管水人为地增加了管理的难度，十分不利于水资源的统一管理，导致工程规划难协调、建设难同步，水资源调度与城镇供水难以形成合力，制约着九龙坡区经济社会的发展。当前需要加快水资源管理的改革，使水务一体化管理机构逐步建立、健全；水利科技创新体系逐步完善，科学治水能力明显提高；逐步建立健全保障水利良性发展的长效机制，构建法制完备、体制健全、机制合理的水管理体系。</w:t>
      </w:r>
      <w:r>
        <w:rPr>
          <w:color w:val="auto"/>
        </w:rPr>
        <w:br w:type="page"/>
      </w:r>
    </w:p>
    <w:p w14:paraId="1694A41D">
      <w:pPr>
        <w:pStyle w:val="3"/>
        <w:numPr>
          <w:ilvl w:val="0"/>
          <w:numId w:val="0"/>
        </w:numPr>
        <w:spacing w:before="333" w:after="333"/>
        <w:rPr>
          <w:color w:val="auto"/>
        </w:rPr>
      </w:pPr>
      <w:bookmarkStart w:id="38" w:name="_Toc31341"/>
      <w:bookmarkStart w:id="39" w:name="_Toc7501"/>
      <w:r>
        <w:rPr>
          <w:color w:val="auto"/>
        </w:rPr>
        <w:t>4区域需水合理性分析</w:t>
      </w:r>
      <w:bookmarkEnd w:id="38"/>
      <w:bookmarkEnd w:id="39"/>
    </w:p>
    <w:p w14:paraId="55B10E3B">
      <w:pPr>
        <w:pStyle w:val="4"/>
        <w:numPr>
          <w:ilvl w:val="1"/>
          <w:numId w:val="0"/>
        </w:numPr>
        <w:spacing w:before="166" w:after="166"/>
        <w:rPr>
          <w:color w:val="auto"/>
        </w:rPr>
      </w:pPr>
      <w:bookmarkStart w:id="40" w:name="_Toc27719"/>
      <w:bookmarkStart w:id="41" w:name="_Toc8810"/>
      <w:r>
        <w:rPr>
          <w:color w:val="auto"/>
        </w:rPr>
        <w:t>4.1主要经济社会发展指标分析</w:t>
      </w:r>
      <w:bookmarkEnd w:id="40"/>
      <w:bookmarkEnd w:id="41"/>
    </w:p>
    <w:p w14:paraId="5A3DAA2B">
      <w:pPr>
        <w:pStyle w:val="5"/>
        <w:numPr>
          <w:ilvl w:val="0"/>
          <w:numId w:val="0"/>
        </w:numPr>
        <w:spacing w:before="166" w:after="166"/>
        <w:rPr>
          <w:color w:val="auto"/>
        </w:rPr>
      </w:pPr>
      <w:r>
        <w:rPr>
          <w:color w:val="auto"/>
        </w:rPr>
        <w:t>4.1.1经济发展指标现状</w:t>
      </w:r>
    </w:p>
    <w:p w14:paraId="6AC8E42E">
      <w:pPr>
        <w:ind w:firstLine="480"/>
        <w:rPr>
          <w:color w:val="auto"/>
        </w:rPr>
      </w:pPr>
      <w:r>
        <w:rPr>
          <w:color w:val="auto"/>
        </w:rPr>
        <w:t>重庆九龙工业园区成立于1998年，是重庆市政府批准设立的重庆特色工业园区。园区地处重庆市主城区核心区域——九龙坡区，先后荣获“全国模范劳动关系示范园区”、“国家新型工业化产业示范基地”等国家级荣誉称号，以及重庆市特色产业（商用车）示范基地、重庆市军民融合产业示范基地、重庆市知识产权示范园区等市级荣誉称号。园区由A区、B区、C区三大区域组成，规划面积39.06平方公里。经过多年发展，九龙园区形成了以智能汽车、高端摩托车、智能装备和现代服务业为主导的“3+1”产业集群，拥有庆铃“百亿级”企业1家，ABB、建设雅马哈等产值亿元以上企业61家，规上工业企业131家。拥有国家级企业技术中心2个，市级企业技术中心16个，战略性新兴产业企业3家，高新技术企业31家，高新技术产品72个，重点新产品115个，中国驰名商标6个。</w:t>
      </w:r>
    </w:p>
    <w:p w14:paraId="50BE034A">
      <w:pPr>
        <w:ind w:firstLine="480"/>
        <w:rPr>
          <w:color w:val="auto"/>
        </w:rPr>
      </w:pPr>
      <w:r>
        <w:rPr>
          <w:color w:val="auto"/>
        </w:rPr>
        <w:t>截止2020年度，实现营收295亿元，工业总产值292亿元。根据业主提供的资料，现状年园区工业增加值为68亿元，其中A、B、C区的区工业增加值分别为3.82亿元、37.91亿元、26.07亿元。从近5年经济指标发展分析可以看出，2016年园区工业增加值为52.99亿元，到2020年园区工业增加值达到67.80亿元，年均增长6%，呈现良好的经济发展势头。</w:t>
      </w:r>
    </w:p>
    <w:p w14:paraId="48786335">
      <w:pPr>
        <w:spacing w:before="1"/>
        <w:ind w:right="708" w:firstLine="482"/>
        <w:rPr>
          <w:b/>
          <w:color w:val="auto"/>
        </w:rPr>
      </w:pPr>
      <w:r>
        <w:rPr>
          <w:b/>
          <w:color w:val="auto"/>
        </w:rPr>
        <w:t>表4.1-1        九龙工业园区经济指标发展情况表（单位：亿元）</w:t>
      </w:r>
    </w:p>
    <w:tbl>
      <w:tblPr>
        <w:tblStyle w:val="21"/>
        <w:tblW w:w="50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1140"/>
        <w:gridCol w:w="1142"/>
        <w:gridCol w:w="1142"/>
        <w:gridCol w:w="1222"/>
        <w:gridCol w:w="1046"/>
        <w:gridCol w:w="1135"/>
        <w:gridCol w:w="1138"/>
      </w:tblGrid>
      <w:tr w14:paraId="7EC290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vMerge w:val="restart"/>
            <w:tcBorders>
              <w:tl2br w:val="nil"/>
              <w:tr2bl w:val="nil"/>
            </w:tcBorders>
            <w:vAlign w:val="center"/>
          </w:tcPr>
          <w:p w14:paraId="512036C1">
            <w:pPr>
              <w:widowControl/>
              <w:spacing w:line="240" w:lineRule="auto"/>
              <w:ind w:firstLine="0" w:firstLineChars="0"/>
              <w:jc w:val="center"/>
              <w:textAlignment w:val="center"/>
              <w:rPr>
                <w:color w:val="auto"/>
                <w:sz w:val="21"/>
                <w:szCs w:val="21"/>
              </w:rPr>
            </w:pPr>
            <w:r>
              <w:rPr>
                <w:color w:val="auto"/>
                <w:sz w:val="21"/>
                <w:szCs w:val="21"/>
              </w:rPr>
              <w:t>年份</w:t>
            </w:r>
          </w:p>
        </w:tc>
        <w:tc>
          <w:tcPr>
            <w:tcW w:w="626" w:type="pct"/>
            <w:vMerge w:val="restart"/>
            <w:tcBorders>
              <w:tl2br w:val="nil"/>
              <w:tr2bl w:val="nil"/>
            </w:tcBorders>
            <w:vAlign w:val="center"/>
          </w:tcPr>
          <w:p w14:paraId="3917FCF3">
            <w:pPr>
              <w:widowControl/>
              <w:spacing w:line="240" w:lineRule="auto"/>
              <w:ind w:firstLine="0" w:firstLineChars="0"/>
              <w:jc w:val="center"/>
              <w:textAlignment w:val="center"/>
              <w:rPr>
                <w:color w:val="auto"/>
                <w:sz w:val="21"/>
                <w:szCs w:val="21"/>
              </w:rPr>
            </w:pPr>
            <w:r>
              <w:rPr>
                <w:color w:val="auto"/>
                <w:sz w:val="21"/>
                <w:szCs w:val="21"/>
              </w:rPr>
              <w:t>营业收入</w:t>
            </w:r>
          </w:p>
        </w:tc>
        <w:tc>
          <w:tcPr>
            <w:tcW w:w="627" w:type="pct"/>
            <w:vMerge w:val="restart"/>
            <w:tcBorders>
              <w:tl2br w:val="nil"/>
              <w:tr2bl w:val="nil"/>
            </w:tcBorders>
            <w:vAlign w:val="center"/>
          </w:tcPr>
          <w:p w14:paraId="7E5D30D7">
            <w:pPr>
              <w:widowControl/>
              <w:spacing w:line="240" w:lineRule="auto"/>
              <w:ind w:firstLine="0" w:firstLineChars="0"/>
              <w:jc w:val="center"/>
              <w:textAlignment w:val="center"/>
              <w:rPr>
                <w:color w:val="auto"/>
                <w:sz w:val="21"/>
                <w:szCs w:val="21"/>
              </w:rPr>
            </w:pPr>
            <w:r>
              <w:rPr>
                <w:color w:val="auto"/>
                <w:sz w:val="21"/>
                <w:szCs w:val="21"/>
              </w:rPr>
              <w:t>工业总产值</w:t>
            </w:r>
          </w:p>
        </w:tc>
        <w:tc>
          <w:tcPr>
            <w:tcW w:w="1298" w:type="pct"/>
            <w:gridSpan w:val="2"/>
            <w:tcBorders>
              <w:tl2br w:val="nil"/>
              <w:tr2bl w:val="nil"/>
            </w:tcBorders>
            <w:vAlign w:val="center"/>
          </w:tcPr>
          <w:p w14:paraId="5D68D264">
            <w:pPr>
              <w:widowControl/>
              <w:spacing w:line="240" w:lineRule="auto"/>
              <w:ind w:firstLine="0" w:firstLineChars="0"/>
              <w:jc w:val="center"/>
              <w:textAlignment w:val="center"/>
              <w:rPr>
                <w:color w:val="auto"/>
                <w:sz w:val="21"/>
                <w:szCs w:val="21"/>
              </w:rPr>
            </w:pPr>
            <w:r>
              <w:rPr>
                <w:color w:val="auto"/>
                <w:sz w:val="21"/>
                <w:szCs w:val="21"/>
              </w:rPr>
              <w:t>园区工业增加值</w:t>
            </w:r>
          </w:p>
        </w:tc>
        <w:tc>
          <w:tcPr>
            <w:tcW w:w="1821" w:type="pct"/>
            <w:gridSpan w:val="3"/>
            <w:tcBorders>
              <w:tl2br w:val="nil"/>
              <w:tr2bl w:val="nil"/>
            </w:tcBorders>
            <w:vAlign w:val="center"/>
          </w:tcPr>
          <w:p w14:paraId="32FA8A80">
            <w:pPr>
              <w:widowControl/>
              <w:spacing w:line="240" w:lineRule="auto"/>
              <w:ind w:firstLine="0" w:firstLineChars="0"/>
              <w:jc w:val="center"/>
              <w:textAlignment w:val="center"/>
              <w:rPr>
                <w:color w:val="auto"/>
                <w:sz w:val="21"/>
                <w:szCs w:val="21"/>
              </w:rPr>
            </w:pPr>
            <w:r>
              <w:rPr>
                <w:color w:val="auto"/>
                <w:sz w:val="21"/>
                <w:szCs w:val="21"/>
              </w:rPr>
              <w:t>分区工业增加值</w:t>
            </w:r>
          </w:p>
        </w:tc>
      </w:tr>
      <w:tr w14:paraId="4ED240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vMerge w:val="continue"/>
            <w:tcBorders>
              <w:tl2br w:val="nil"/>
              <w:tr2bl w:val="nil"/>
            </w:tcBorders>
            <w:vAlign w:val="center"/>
          </w:tcPr>
          <w:p w14:paraId="4EE3BFAB">
            <w:pPr>
              <w:widowControl/>
              <w:spacing w:line="240" w:lineRule="auto"/>
              <w:ind w:firstLine="0" w:firstLineChars="0"/>
              <w:jc w:val="center"/>
              <w:textAlignment w:val="center"/>
              <w:rPr>
                <w:color w:val="auto"/>
                <w:sz w:val="21"/>
                <w:szCs w:val="21"/>
              </w:rPr>
            </w:pPr>
          </w:p>
        </w:tc>
        <w:tc>
          <w:tcPr>
            <w:tcW w:w="626" w:type="pct"/>
            <w:vMerge w:val="continue"/>
            <w:tcBorders>
              <w:tl2br w:val="nil"/>
              <w:tr2bl w:val="nil"/>
            </w:tcBorders>
            <w:vAlign w:val="center"/>
          </w:tcPr>
          <w:p w14:paraId="3CF0F8C8">
            <w:pPr>
              <w:widowControl/>
              <w:spacing w:line="240" w:lineRule="auto"/>
              <w:ind w:firstLine="0" w:firstLineChars="0"/>
              <w:jc w:val="center"/>
              <w:textAlignment w:val="center"/>
              <w:rPr>
                <w:color w:val="auto"/>
                <w:sz w:val="21"/>
                <w:szCs w:val="21"/>
              </w:rPr>
            </w:pPr>
          </w:p>
        </w:tc>
        <w:tc>
          <w:tcPr>
            <w:tcW w:w="627" w:type="pct"/>
            <w:vMerge w:val="continue"/>
            <w:tcBorders>
              <w:tl2br w:val="nil"/>
              <w:tr2bl w:val="nil"/>
            </w:tcBorders>
            <w:vAlign w:val="center"/>
          </w:tcPr>
          <w:p w14:paraId="71DB080A">
            <w:pPr>
              <w:widowControl/>
              <w:spacing w:line="240" w:lineRule="auto"/>
              <w:ind w:firstLine="0" w:firstLineChars="0"/>
              <w:jc w:val="center"/>
              <w:textAlignment w:val="center"/>
              <w:rPr>
                <w:color w:val="auto"/>
                <w:sz w:val="21"/>
                <w:szCs w:val="21"/>
              </w:rPr>
            </w:pPr>
          </w:p>
        </w:tc>
        <w:tc>
          <w:tcPr>
            <w:tcW w:w="627" w:type="pct"/>
            <w:tcBorders>
              <w:tl2br w:val="nil"/>
              <w:tr2bl w:val="nil"/>
            </w:tcBorders>
            <w:vAlign w:val="center"/>
          </w:tcPr>
          <w:p w14:paraId="52FF0647">
            <w:pPr>
              <w:widowControl/>
              <w:spacing w:line="240" w:lineRule="auto"/>
              <w:ind w:firstLine="0" w:firstLineChars="0"/>
              <w:jc w:val="center"/>
              <w:textAlignment w:val="center"/>
              <w:rPr>
                <w:color w:val="auto"/>
                <w:sz w:val="21"/>
                <w:szCs w:val="21"/>
              </w:rPr>
            </w:pPr>
            <w:r>
              <w:rPr>
                <w:color w:val="auto"/>
                <w:sz w:val="21"/>
                <w:szCs w:val="21"/>
              </w:rPr>
              <w:t>总的工业</w:t>
            </w:r>
          </w:p>
          <w:p w14:paraId="4DB61721">
            <w:pPr>
              <w:widowControl/>
              <w:spacing w:line="240" w:lineRule="auto"/>
              <w:ind w:firstLine="0" w:firstLineChars="0"/>
              <w:jc w:val="center"/>
              <w:textAlignment w:val="center"/>
              <w:rPr>
                <w:color w:val="auto"/>
                <w:sz w:val="21"/>
                <w:szCs w:val="21"/>
              </w:rPr>
            </w:pPr>
            <w:r>
              <w:rPr>
                <w:color w:val="auto"/>
                <w:sz w:val="21"/>
                <w:szCs w:val="21"/>
              </w:rPr>
              <w:t>增加值</w:t>
            </w:r>
          </w:p>
        </w:tc>
        <w:tc>
          <w:tcPr>
            <w:tcW w:w="670" w:type="pct"/>
            <w:tcBorders>
              <w:tl2br w:val="nil"/>
              <w:tr2bl w:val="nil"/>
            </w:tcBorders>
            <w:vAlign w:val="center"/>
          </w:tcPr>
          <w:p w14:paraId="6FA4E807">
            <w:pPr>
              <w:widowControl/>
              <w:spacing w:line="240" w:lineRule="auto"/>
              <w:ind w:firstLine="0" w:firstLineChars="0"/>
              <w:jc w:val="center"/>
              <w:textAlignment w:val="center"/>
              <w:rPr>
                <w:color w:val="auto"/>
                <w:sz w:val="21"/>
                <w:szCs w:val="21"/>
              </w:rPr>
            </w:pPr>
            <w:r>
              <w:rPr>
                <w:color w:val="auto"/>
                <w:sz w:val="21"/>
                <w:szCs w:val="21"/>
              </w:rPr>
              <w:t>增长率</w:t>
            </w:r>
          </w:p>
        </w:tc>
        <w:tc>
          <w:tcPr>
            <w:tcW w:w="574" w:type="pct"/>
            <w:tcBorders>
              <w:tl2br w:val="nil"/>
              <w:tr2bl w:val="nil"/>
            </w:tcBorders>
            <w:vAlign w:val="center"/>
          </w:tcPr>
          <w:p w14:paraId="7466473F">
            <w:pPr>
              <w:widowControl/>
              <w:spacing w:line="240" w:lineRule="auto"/>
              <w:ind w:firstLine="0" w:firstLineChars="0"/>
              <w:jc w:val="center"/>
              <w:textAlignment w:val="center"/>
              <w:rPr>
                <w:color w:val="auto"/>
                <w:sz w:val="21"/>
                <w:szCs w:val="21"/>
              </w:rPr>
            </w:pPr>
            <w:r>
              <w:rPr>
                <w:color w:val="auto"/>
                <w:sz w:val="21"/>
                <w:szCs w:val="21"/>
              </w:rPr>
              <w:t>A区工业</w:t>
            </w:r>
          </w:p>
          <w:p w14:paraId="434EAC43">
            <w:pPr>
              <w:widowControl/>
              <w:spacing w:line="240" w:lineRule="auto"/>
              <w:ind w:firstLine="0" w:firstLineChars="0"/>
              <w:jc w:val="center"/>
              <w:textAlignment w:val="center"/>
              <w:rPr>
                <w:color w:val="auto"/>
                <w:sz w:val="21"/>
                <w:szCs w:val="21"/>
              </w:rPr>
            </w:pPr>
            <w:r>
              <w:rPr>
                <w:color w:val="auto"/>
                <w:sz w:val="21"/>
                <w:szCs w:val="21"/>
              </w:rPr>
              <w:t>增加值</w:t>
            </w:r>
          </w:p>
        </w:tc>
        <w:tc>
          <w:tcPr>
            <w:tcW w:w="623" w:type="pct"/>
            <w:tcBorders>
              <w:tl2br w:val="nil"/>
              <w:tr2bl w:val="nil"/>
            </w:tcBorders>
            <w:vAlign w:val="center"/>
          </w:tcPr>
          <w:p w14:paraId="7A8DE9F4">
            <w:pPr>
              <w:widowControl/>
              <w:spacing w:line="240" w:lineRule="auto"/>
              <w:ind w:firstLine="0" w:firstLineChars="0"/>
              <w:jc w:val="center"/>
              <w:textAlignment w:val="center"/>
              <w:rPr>
                <w:color w:val="auto"/>
                <w:sz w:val="21"/>
                <w:szCs w:val="21"/>
              </w:rPr>
            </w:pPr>
            <w:r>
              <w:rPr>
                <w:color w:val="auto"/>
                <w:sz w:val="21"/>
                <w:szCs w:val="21"/>
              </w:rPr>
              <w:t>B区工业</w:t>
            </w:r>
          </w:p>
          <w:p w14:paraId="71BB4204">
            <w:pPr>
              <w:widowControl/>
              <w:spacing w:line="240" w:lineRule="auto"/>
              <w:ind w:firstLine="0" w:firstLineChars="0"/>
              <w:jc w:val="center"/>
              <w:textAlignment w:val="center"/>
              <w:rPr>
                <w:color w:val="auto"/>
                <w:sz w:val="21"/>
                <w:szCs w:val="21"/>
              </w:rPr>
            </w:pPr>
            <w:r>
              <w:rPr>
                <w:color w:val="auto"/>
                <w:sz w:val="21"/>
                <w:szCs w:val="21"/>
              </w:rPr>
              <w:t>增加值</w:t>
            </w:r>
          </w:p>
        </w:tc>
        <w:tc>
          <w:tcPr>
            <w:tcW w:w="624" w:type="pct"/>
            <w:tcBorders>
              <w:tl2br w:val="nil"/>
              <w:tr2bl w:val="nil"/>
            </w:tcBorders>
            <w:vAlign w:val="center"/>
          </w:tcPr>
          <w:p w14:paraId="724AFBAF">
            <w:pPr>
              <w:widowControl/>
              <w:spacing w:line="240" w:lineRule="auto"/>
              <w:ind w:firstLine="0" w:firstLineChars="0"/>
              <w:jc w:val="center"/>
              <w:textAlignment w:val="center"/>
              <w:rPr>
                <w:color w:val="auto"/>
                <w:sz w:val="21"/>
                <w:szCs w:val="21"/>
              </w:rPr>
            </w:pPr>
            <w:r>
              <w:rPr>
                <w:color w:val="auto"/>
                <w:sz w:val="21"/>
                <w:szCs w:val="21"/>
              </w:rPr>
              <w:t>C区工业</w:t>
            </w:r>
          </w:p>
          <w:p w14:paraId="2E6BFD3A">
            <w:pPr>
              <w:widowControl/>
              <w:spacing w:line="240" w:lineRule="auto"/>
              <w:ind w:firstLine="0" w:firstLineChars="0"/>
              <w:jc w:val="center"/>
              <w:textAlignment w:val="center"/>
              <w:rPr>
                <w:color w:val="auto"/>
                <w:sz w:val="21"/>
                <w:szCs w:val="21"/>
              </w:rPr>
            </w:pPr>
            <w:r>
              <w:rPr>
                <w:color w:val="auto"/>
                <w:sz w:val="21"/>
                <w:szCs w:val="21"/>
              </w:rPr>
              <w:t>增加值</w:t>
            </w:r>
          </w:p>
        </w:tc>
      </w:tr>
      <w:tr w14:paraId="085AD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tcBorders>
              <w:tl2br w:val="nil"/>
              <w:tr2bl w:val="nil"/>
            </w:tcBorders>
            <w:vAlign w:val="center"/>
          </w:tcPr>
          <w:p w14:paraId="5B80BAB0">
            <w:pPr>
              <w:widowControl/>
              <w:spacing w:line="240" w:lineRule="auto"/>
              <w:ind w:firstLine="0" w:firstLineChars="0"/>
              <w:jc w:val="center"/>
              <w:textAlignment w:val="center"/>
              <w:rPr>
                <w:color w:val="auto"/>
                <w:sz w:val="21"/>
                <w:szCs w:val="21"/>
              </w:rPr>
            </w:pPr>
            <w:r>
              <w:rPr>
                <w:color w:val="auto"/>
                <w:sz w:val="21"/>
                <w:szCs w:val="21"/>
              </w:rPr>
              <w:t>2016</w:t>
            </w:r>
          </w:p>
        </w:tc>
        <w:tc>
          <w:tcPr>
            <w:tcW w:w="626" w:type="pct"/>
            <w:tcBorders>
              <w:tl2br w:val="nil"/>
              <w:tr2bl w:val="nil"/>
            </w:tcBorders>
            <w:vAlign w:val="center"/>
          </w:tcPr>
          <w:p w14:paraId="431802D6">
            <w:pPr>
              <w:widowControl/>
              <w:spacing w:line="240" w:lineRule="auto"/>
              <w:ind w:firstLine="0" w:firstLineChars="0"/>
              <w:jc w:val="center"/>
              <w:textAlignment w:val="center"/>
              <w:rPr>
                <w:color w:val="auto"/>
                <w:sz w:val="21"/>
                <w:szCs w:val="21"/>
              </w:rPr>
            </w:pPr>
            <w:r>
              <w:rPr>
                <w:color w:val="auto"/>
                <w:sz w:val="21"/>
                <w:szCs w:val="21"/>
              </w:rPr>
              <w:t>283</w:t>
            </w:r>
          </w:p>
        </w:tc>
        <w:tc>
          <w:tcPr>
            <w:tcW w:w="627" w:type="pct"/>
            <w:tcBorders>
              <w:tl2br w:val="nil"/>
              <w:tr2bl w:val="nil"/>
            </w:tcBorders>
            <w:vAlign w:val="center"/>
          </w:tcPr>
          <w:p w14:paraId="19F1853C">
            <w:pPr>
              <w:widowControl/>
              <w:spacing w:line="240" w:lineRule="auto"/>
              <w:ind w:firstLine="0" w:firstLineChars="0"/>
              <w:jc w:val="center"/>
              <w:textAlignment w:val="center"/>
              <w:rPr>
                <w:color w:val="auto"/>
                <w:sz w:val="21"/>
                <w:szCs w:val="21"/>
              </w:rPr>
            </w:pPr>
            <w:r>
              <w:rPr>
                <w:color w:val="auto"/>
                <w:sz w:val="21"/>
                <w:szCs w:val="21"/>
              </w:rPr>
              <w:t>317</w:t>
            </w:r>
          </w:p>
        </w:tc>
        <w:tc>
          <w:tcPr>
            <w:tcW w:w="627" w:type="pct"/>
            <w:tcBorders>
              <w:tl2br w:val="nil"/>
              <w:tr2bl w:val="nil"/>
            </w:tcBorders>
            <w:vAlign w:val="center"/>
          </w:tcPr>
          <w:p w14:paraId="21BF862A">
            <w:pPr>
              <w:widowControl/>
              <w:spacing w:line="240" w:lineRule="auto"/>
              <w:ind w:firstLine="0" w:firstLineChars="0"/>
              <w:jc w:val="center"/>
              <w:textAlignment w:val="center"/>
              <w:rPr>
                <w:color w:val="auto"/>
                <w:sz w:val="21"/>
                <w:szCs w:val="21"/>
              </w:rPr>
            </w:pPr>
            <w:r>
              <w:rPr>
                <w:color w:val="auto"/>
                <w:sz w:val="21"/>
                <w:szCs w:val="21"/>
              </w:rPr>
              <w:t xml:space="preserve">52.99 </w:t>
            </w:r>
          </w:p>
        </w:tc>
        <w:tc>
          <w:tcPr>
            <w:tcW w:w="670" w:type="pct"/>
            <w:tcBorders>
              <w:tl2br w:val="nil"/>
              <w:tr2bl w:val="nil"/>
            </w:tcBorders>
            <w:vAlign w:val="center"/>
          </w:tcPr>
          <w:p w14:paraId="259CB1CE">
            <w:pPr>
              <w:widowControl/>
              <w:spacing w:line="240" w:lineRule="auto"/>
              <w:ind w:firstLine="0" w:firstLineChars="0"/>
              <w:jc w:val="center"/>
              <w:textAlignment w:val="center"/>
              <w:rPr>
                <w:color w:val="auto"/>
                <w:sz w:val="21"/>
                <w:szCs w:val="21"/>
              </w:rPr>
            </w:pPr>
            <w:r>
              <w:rPr>
                <w:color w:val="auto"/>
                <w:sz w:val="21"/>
                <w:szCs w:val="21"/>
              </w:rPr>
              <w:t>--</w:t>
            </w:r>
          </w:p>
        </w:tc>
        <w:tc>
          <w:tcPr>
            <w:tcW w:w="1046" w:type="dxa"/>
            <w:tcBorders>
              <w:tl2br w:val="nil"/>
              <w:tr2bl w:val="nil"/>
            </w:tcBorders>
            <w:vAlign w:val="center"/>
          </w:tcPr>
          <w:p w14:paraId="56C12498">
            <w:pPr>
              <w:widowControl/>
              <w:spacing w:line="240" w:lineRule="auto"/>
              <w:ind w:firstLine="0" w:firstLineChars="0"/>
              <w:jc w:val="center"/>
              <w:textAlignment w:val="center"/>
              <w:rPr>
                <w:color w:val="auto"/>
                <w:sz w:val="21"/>
                <w:szCs w:val="21"/>
              </w:rPr>
            </w:pPr>
            <w:r>
              <w:rPr>
                <w:color w:val="auto"/>
                <w:sz w:val="21"/>
                <w:szCs w:val="21"/>
              </w:rPr>
              <w:t xml:space="preserve">2.98 </w:t>
            </w:r>
          </w:p>
        </w:tc>
        <w:tc>
          <w:tcPr>
            <w:tcW w:w="1135" w:type="dxa"/>
            <w:tcBorders>
              <w:tl2br w:val="nil"/>
              <w:tr2bl w:val="nil"/>
            </w:tcBorders>
            <w:vAlign w:val="center"/>
          </w:tcPr>
          <w:p w14:paraId="5E5AD2E4">
            <w:pPr>
              <w:widowControl/>
              <w:spacing w:line="240" w:lineRule="auto"/>
              <w:ind w:firstLine="0" w:firstLineChars="0"/>
              <w:jc w:val="center"/>
              <w:textAlignment w:val="center"/>
              <w:rPr>
                <w:color w:val="auto"/>
                <w:sz w:val="21"/>
                <w:szCs w:val="21"/>
              </w:rPr>
            </w:pPr>
            <w:r>
              <w:rPr>
                <w:color w:val="auto"/>
                <w:sz w:val="21"/>
                <w:szCs w:val="21"/>
              </w:rPr>
              <w:t xml:space="preserve">29.54 </w:t>
            </w:r>
          </w:p>
        </w:tc>
        <w:tc>
          <w:tcPr>
            <w:tcW w:w="1138" w:type="dxa"/>
            <w:tcBorders>
              <w:tl2br w:val="nil"/>
              <w:tr2bl w:val="nil"/>
            </w:tcBorders>
            <w:vAlign w:val="center"/>
          </w:tcPr>
          <w:p w14:paraId="0E157123">
            <w:pPr>
              <w:widowControl/>
              <w:spacing w:line="240" w:lineRule="auto"/>
              <w:ind w:firstLine="0" w:firstLineChars="0"/>
              <w:jc w:val="center"/>
              <w:textAlignment w:val="center"/>
              <w:rPr>
                <w:color w:val="auto"/>
                <w:sz w:val="21"/>
                <w:szCs w:val="21"/>
              </w:rPr>
            </w:pPr>
            <w:r>
              <w:rPr>
                <w:color w:val="auto"/>
                <w:sz w:val="21"/>
                <w:szCs w:val="21"/>
              </w:rPr>
              <w:t xml:space="preserve">20.32 </w:t>
            </w:r>
          </w:p>
        </w:tc>
      </w:tr>
      <w:tr w14:paraId="26ACC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tcBorders>
              <w:tl2br w:val="nil"/>
              <w:tr2bl w:val="nil"/>
            </w:tcBorders>
            <w:vAlign w:val="center"/>
          </w:tcPr>
          <w:p w14:paraId="1F932600">
            <w:pPr>
              <w:widowControl/>
              <w:spacing w:line="240" w:lineRule="auto"/>
              <w:ind w:firstLine="0" w:firstLineChars="0"/>
              <w:jc w:val="center"/>
              <w:textAlignment w:val="center"/>
              <w:rPr>
                <w:color w:val="auto"/>
                <w:sz w:val="21"/>
                <w:szCs w:val="21"/>
              </w:rPr>
            </w:pPr>
            <w:r>
              <w:rPr>
                <w:color w:val="auto"/>
                <w:sz w:val="21"/>
                <w:szCs w:val="21"/>
              </w:rPr>
              <w:t>2017</w:t>
            </w:r>
          </w:p>
        </w:tc>
        <w:tc>
          <w:tcPr>
            <w:tcW w:w="626" w:type="pct"/>
            <w:tcBorders>
              <w:tl2br w:val="nil"/>
              <w:tr2bl w:val="nil"/>
            </w:tcBorders>
            <w:vAlign w:val="center"/>
          </w:tcPr>
          <w:p w14:paraId="4D676ED7">
            <w:pPr>
              <w:widowControl/>
              <w:spacing w:line="240" w:lineRule="auto"/>
              <w:ind w:firstLine="0" w:firstLineChars="0"/>
              <w:jc w:val="center"/>
              <w:textAlignment w:val="center"/>
              <w:rPr>
                <w:color w:val="auto"/>
                <w:sz w:val="21"/>
                <w:szCs w:val="21"/>
              </w:rPr>
            </w:pPr>
            <w:r>
              <w:rPr>
                <w:color w:val="auto"/>
                <w:sz w:val="21"/>
                <w:szCs w:val="21"/>
              </w:rPr>
              <w:t>235</w:t>
            </w:r>
          </w:p>
        </w:tc>
        <w:tc>
          <w:tcPr>
            <w:tcW w:w="627" w:type="pct"/>
            <w:tcBorders>
              <w:tl2br w:val="nil"/>
              <w:tr2bl w:val="nil"/>
            </w:tcBorders>
            <w:vAlign w:val="center"/>
          </w:tcPr>
          <w:p w14:paraId="10C4A899">
            <w:pPr>
              <w:widowControl/>
              <w:spacing w:line="240" w:lineRule="auto"/>
              <w:ind w:firstLine="0" w:firstLineChars="0"/>
              <w:jc w:val="center"/>
              <w:textAlignment w:val="center"/>
              <w:rPr>
                <w:color w:val="auto"/>
                <w:sz w:val="21"/>
                <w:szCs w:val="21"/>
              </w:rPr>
            </w:pPr>
            <w:r>
              <w:rPr>
                <w:color w:val="auto"/>
                <w:sz w:val="21"/>
                <w:szCs w:val="21"/>
              </w:rPr>
              <w:t>235</w:t>
            </w:r>
          </w:p>
        </w:tc>
        <w:tc>
          <w:tcPr>
            <w:tcW w:w="627" w:type="pct"/>
            <w:tcBorders>
              <w:tl2br w:val="nil"/>
              <w:tr2bl w:val="nil"/>
            </w:tcBorders>
            <w:vAlign w:val="center"/>
          </w:tcPr>
          <w:p w14:paraId="5353EAC8">
            <w:pPr>
              <w:widowControl/>
              <w:spacing w:line="240" w:lineRule="auto"/>
              <w:ind w:firstLine="0" w:firstLineChars="0"/>
              <w:jc w:val="center"/>
              <w:textAlignment w:val="center"/>
              <w:rPr>
                <w:color w:val="auto"/>
                <w:sz w:val="21"/>
                <w:szCs w:val="21"/>
              </w:rPr>
            </w:pPr>
            <w:r>
              <w:rPr>
                <w:color w:val="auto"/>
                <w:sz w:val="21"/>
                <w:szCs w:val="21"/>
              </w:rPr>
              <w:t xml:space="preserve">56.35 </w:t>
            </w:r>
          </w:p>
        </w:tc>
        <w:tc>
          <w:tcPr>
            <w:tcW w:w="670" w:type="pct"/>
            <w:tcBorders>
              <w:tl2br w:val="nil"/>
              <w:tr2bl w:val="nil"/>
            </w:tcBorders>
            <w:vAlign w:val="center"/>
          </w:tcPr>
          <w:p w14:paraId="3154B1F1">
            <w:pPr>
              <w:widowControl/>
              <w:spacing w:line="240" w:lineRule="auto"/>
              <w:ind w:firstLine="0" w:firstLineChars="0"/>
              <w:jc w:val="center"/>
              <w:textAlignment w:val="center"/>
              <w:rPr>
                <w:color w:val="auto"/>
                <w:sz w:val="21"/>
                <w:szCs w:val="21"/>
              </w:rPr>
            </w:pPr>
            <w:r>
              <w:rPr>
                <w:color w:val="auto"/>
                <w:sz w:val="21"/>
                <w:szCs w:val="21"/>
              </w:rPr>
              <w:t>5.96%</w:t>
            </w:r>
          </w:p>
        </w:tc>
        <w:tc>
          <w:tcPr>
            <w:tcW w:w="1046" w:type="dxa"/>
            <w:tcBorders>
              <w:tl2br w:val="nil"/>
              <w:tr2bl w:val="nil"/>
            </w:tcBorders>
            <w:vAlign w:val="center"/>
          </w:tcPr>
          <w:p w14:paraId="43D5300B">
            <w:pPr>
              <w:widowControl/>
              <w:spacing w:line="240" w:lineRule="auto"/>
              <w:ind w:firstLine="0" w:firstLineChars="0"/>
              <w:jc w:val="center"/>
              <w:textAlignment w:val="center"/>
              <w:rPr>
                <w:color w:val="auto"/>
                <w:sz w:val="21"/>
                <w:szCs w:val="21"/>
              </w:rPr>
            </w:pPr>
            <w:r>
              <w:rPr>
                <w:color w:val="auto"/>
                <w:sz w:val="21"/>
                <w:szCs w:val="21"/>
              </w:rPr>
              <w:t xml:space="preserve">3.17 </w:t>
            </w:r>
          </w:p>
        </w:tc>
        <w:tc>
          <w:tcPr>
            <w:tcW w:w="1135" w:type="dxa"/>
            <w:tcBorders>
              <w:tl2br w:val="nil"/>
              <w:tr2bl w:val="nil"/>
            </w:tcBorders>
            <w:vAlign w:val="center"/>
          </w:tcPr>
          <w:p w14:paraId="02DD3A69">
            <w:pPr>
              <w:widowControl/>
              <w:spacing w:line="240" w:lineRule="auto"/>
              <w:ind w:firstLine="0" w:firstLineChars="0"/>
              <w:jc w:val="center"/>
              <w:textAlignment w:val="center"/>
              <w:rPr>
                <w:color w:val="auto"/>
                <w:sz w:val="21"/>
                <w:szCs w:val="21"/>
              </w:rPr>
            </w:pPr>
            <w:r>
              <w:rPr>
                <w:color w:val="auto"/>
                <w:sz w:val="21"/>
                <w:szCs w:val="21"/>
              </w:rPr>
              <w:t xml:space="preserve">31.42 </w:t>
            </w:r>
          </w:p>
        </w:tc>
        <w:tc>
          <w:tcPr>
            <w:tcW w:w="1138" w:type="dxa"/>
            <w:tcBorders>
              <w:tl2br w:val="nil"/>
              <w:tr2bl w:val="nil"/>
            </w:tcBorders>
            <w:vAlign w:val="center"/>
          </w:tcPr>
          <w:p w14:paraId="78F23B57">
            <w:pPr>
              <w:widowControl/>
              <w:spacing w:line="240" w:lineRule="auto"/>
              <w:ind w:firstLine="0" w:firstLineChars="0"/>
              <w:jc w:val="center"/>
              <w:textAlignment w:val="center"/>
              <w:rPr>
                <w:color w:val="auto"/>
                <w:sz w:val="21"/>
                <w:szCs w:val="21"/>
              </w:rPr>
            </w:pPr>
            <w:r>
              <w:rPr>
                <w:color w:val="auto"/>
                <w:sz w:val="21"/>
                <w:szCs w:val="21"/>
              </w:rPr>
              <w:t xml:space="preserve">21.60 </w:t>
            </w:r>
          </w:p>
        </w:tc>
      </w:tr>
      <w:tr w14:paraId="610459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tcBorders>
              <w:tl2br w:val="nil"/>
              <w:tr2bl w:val="nil"/>
            </w:tcBorders>
            <w:vAlign w:val="center"/>
          </w:tcPr>
          <w:p w14:paraId="57A2F04D">
            <w:pPr>
              <w:widowControl/>
              <w:spacing w:line="240" w:lineRule="auto"/>
              <w:ind w:firstLine="0" w:firstLineChars="0"/>
              <w:jc w:val="center"/>
              <w:textAlignment w:val="center"/>
              <w:rPr>
                <w:color w:val="auto"/>
                <w:sz w:val="21"/>
                <w:szCs w:val="21"/>
              </w:rPr>
            </w:pPr>
            <w:r>
              <w:rPr>
                <w:color w:val="auto"/>
                <w:sz w:val="21"/>
                <w:szCs w:val="21"/>
              </w:rPr>
              <w:t>2018</w:t>
            </w:r>
          </w:p>
        </w:tc>
        <w:tc>
          <w:tcPr>
            <w:tcW w:w="626" w:type="pct"/>
            <w:tcBorders>
              <w:tl2br w:val="nil"/>
              <w:tr2bl w:val="nil"/>
            </w:tcBorders>
            <w:vAlign w:val="center"/>
          </w:tcPr>
          <w:p w14:paraId="32D70AF4">
            <w:pPr>
              <w:widowControl/>
              <w:spacing w:line="240" w:lineRule="auto"/>
              <w:ind w:firstLine="0" w:firstLineChars="0"/>
              <w:jc w:val="center"/>
              <w:textAlignment w:val="center"/>
              <w:rPr>
                <w:color w:val="auto"/>
                <w:sz w:val="21"/>
                <w:szCs w:val="21"/>
              </w:rPr>
            </w:pPr>
            <w:r>
              <w:rPr>
                <w:color w:val="auto"/>
                <w:sz w:val="21"/>
                <w:szCs w:val="21"/>
              </w:rPr>
              <w:t>242</w:t>
            </w:r>
          </w:p>
        </w:tc>
        <w:tc>
          <w:tcPr>
            <w:tcW w:w="627" w:type="pct"/>
            <w:tcBorders>
              <w:tl2br w:val="nil"/>
              <w:tr2bl w:val="nil"/>
            </w:tcBorders>
            <w:vAlign w:val="center"/>
          </w:tcPr>
          <w:p w14:paraId="2005B71C">
            <w:pPr>
              <w:widowControl/>
              <w:spacing w:line="240" w:lineRule="auto"/>
              <w:ind w:firstLine="0" w:firstLineChars="0"/>
              <w:jc w:val="center"/>
              <w:textAlignment w:val="center"/>
              <w:rPr>
                <w:color w:val="auto"/>
                <w:sz w:val="21"/>
                <w:szCs w:val="21"/>
              </w:rPr>
            </w:pPr>
            <w:r>
              <w:rPr>
                <w:color w:val="auto"/>
                <w:sz w:val="21"/>
                <w:szCs w:val="21"/>
              </w:rPr>
              <w:t>240</w:t>
            </w:r>
          </w:p>
        </w:tc>
        <w:tc>
          <w:tcPr>
            <w:tcW w:w="627" w:type="pct"/>
            <w:tcBorders>
              <w:tl2br w:val="nil"/>
              <w:tr2bl w:val="nil"/>
            </w:tcBorders>
            <w:vAlign w:val="center"/>
          </w:tcPr>
          <w:p w14:paraId="46636984">
            <w:pPr>
              <w:widowControl/>
              <w:spacing w:line="240" w:lineRule="auto"/>
              <w:ind w:firstLine="0" w:firstLineChars="0"/>
              <w:jc w:val="center"/>
              <w:textAlignment w:val="center"/>
              <w:rPr>
                <w:color w:val="auto"/>
                <w:sz w:val="21"/>
                <w:szCs w:val="21"/>
              </w:rPr>
            </w:pPr>
            <w:r>
              <w:rPr>
                <w:color w:val="auto"/>
                <w:sz w:val="21"/>
                <w:szCs w:val="21"/>
              </w:rPr>
              <w:t xml:space="preserve">59.86 </w:t>
            </w:r>
          </w:p>
        </w:tc>
        <w:tc>
          <w:tcPr>
            <w:tcW w:w="670" w:type="pct"/>
            <w:tcBorders>
              <w:tl2br w:val="nil"/>
              <w:tr2bl w:val="nil"/>
            </w:tcBorders>
            <w:vAlign w:val="center"/>
          </w:tcPr>
          <w:p w14:paraId="2B2B3DFF">
            <w:pPr>
              <w:widowControl/>
              <w:spacing w:line="240" w:lineRule="auto"/>
              <w:ind w:firstLine="0" w:firstLineChars="0"/>
              <w:jc w:val="center"/>
              <w:textAlignment w:val="center"/>
              <w:rPr>
                <w:color w:val="auto"/>
                <w:sz w:val="21"/>
                <w:szCs w:val="21"/>
              </w:rPr>
            </w:pPr>
            <w:r>
              <w:rPr>
                <w:color w:val="auto"/>
                <w:sz w:val="21"/>
                <w:szCs w:val="21"/>
              </w:rPr>
              <w:t>5.86%</w:t>
            </w:r>
          </w:p>
        </w:tc>
        <w:tc>
          <w:tcPr>
            <w:tcW w:w="1046" w:type="dxa"/>
            <w:tcBorders>
              <w:tl2br w:val="nil"/>
              <w:tr2bl w:val="nil"/>
            </w:tcBorders>
            <w:vAlign w:val="center"/>
          </w:tcPr>
          <w:p w14:paraId="0E2BD90B">
            <w:pPr>
              <w:widowControl/>
              <w:spacing w:line="240" w:lineRule="auto"/>
              <w:ind w:firstLine="0" w:firstLineChars="0"/>
              <w:jc w:val="center"/>
              <w:textAlignment w:val="center"/>
              <w:rPr>
                <w:color w:val="auto"/>
                <w:sz w:val="21"/>
                <w:szCs w:val="21"/>
              </w:rPr>
            </w:pPr>
            <w:r>
              <w:rPr>
                <w:color w:val="auto"/>
                <w:sz w:val="21"/>
                <w:szCs w:val="21"/>
              </w:rPr>
              <w:t xml:space="preserve">3.37 </w:t>
            </w:r>
          </w:p>
        </w:tc>
        <w:tc>
          <w:tcPr>
            <w:tcW w:w="1135" w:type="dxa"/>
            <w:tcBorders>
              <w:tl2br w:val="nil"/>
              <w:tr2bl w:val="nil"/>
            </w:tcBorders>
            <w:vAlign w:val="center"/>
          </w:tcPr>
          <w:p w14:paraId="1A278BFB">
            <w:pPr>
              <w:widowControl/>
              <w:spacing w:line="240" w:lineRule="auto"/>
              <w:ind w:firstLine="0" w:firstLineChars="0"/>
              <w:jc w:val="center"/>
              <w:textAlignment w:val="center"/>
              <w:rPr>
                <w:color w:val="auto"/>
                <w:sz w:val="21"/>
                <w:szCs w:val="21"/>
              </w:rPr>
            </w:pPr>
            <w:r>
              <w:rPr>
                <w:color w:val="auto"/>
                <w:sz w:val="21"/>
                <w:szCs w:val="21"/>
              </w:rPr>
              <w:t xml:space="preserve">33.37 </w:t>
            </w:r>
          </w:p>
        </w:tc>
        <w:tc>
          <w:tcPr>
            <w:tcW w:w="1138" w:type="dxa"/>
            <w:tcBorders>
              <w:tl2br w:val="nil"/>
              <w:tr2bl w:val="nil"/>
            </w:tcBorders>
            <w:vAlign w:val="center"/>
          </w:tcPr>
          <w:p w14:paraId="7E1DB3DF">
            <w:pPr>
              <w:widowControl/>
              <w:spacing w:line="240" w:lineRule="auto"/>
              <w:ind w:firstLine="0" w:firstLineChars="0"/>
              <w:jc w:val="center"/>
              <w:textAlignment w:val="center"/>
              <w:rPr>
                <w:color w:val="auto"/>
                <w:sz w:val="21"/>
                <w:szCs w:val="21"/>
              </w:rPr>
            </w:pPr>
            <w:r>
              <w:rPr>
                <w:color w:val="auto"/>
                <w:sz w:val="21"/>
                <w:szCs w:val="21"/>
              </w:rPr>
              <w:t xml:space="preserve">22.95 </w:t>
            </w:r>
          </w:p>
        </w:tc>
      </w:tr>
      <w:tr w14:paraId="41DCF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tcBorders>
              <w:tl2br w:val="nil"/>
              <w:tr2bl w:val="nil"/>
            </w:tcBorders>
            <w:vAlign w:val="center"/>
          </w:tcPr>
          <w:p w14:paraId="3BDB0EAE">
            <w:pPr>
              <w:widowControl/>
              <w:spacing w:line="240" w:lineRule="auto"/>
              <w:ind w:firstLine="0" w:firstLineChars="0"/>
              <w:jc w:val="center"/>
              <w:textAlignment w:val="center"/>
              <w:rPr>
                <w:color w:val="auto"/>
                <w:sz w:val="21"/>
                <w:szCs w:val="21"/>
              </w:rPr>
            </w:pPr>
            <w:r>
              <w:rPr>
                <w:color w:val="auto"/>
                <w:sz w:val="21"/>
                <w:szCs w:val="21"/>
              </w:rPr>
              <w:t>2019</w:t>
            </w:r>
          </w:p>
        </w:tc>
        <w:tc>
          <w:tcPr>
            <w:tcW w:w="626" w:type="pct"/>
            <w:tcBorders>
              <w:tl2br w:val="nil"/>
              <w:tr2bl w:val="nil"/>
            </w:tcBorders>
            <w:vAlign w:val="center"/>
          </w:tcPr>
          <w:p w14:paraId="49217349">
            <w:pPr>
              <w:widowControl/>
              <w:spacing w:line="240" w:lineRule="auto"/>
              <w:ind w:firstLine="0" w:firstLineChars="0"/>
              <w:jc w:val="center"/>
              <w:textAlignment w:val="center"/>
              <w:rPr>
                <w:color w:val="auto"/>
                <w:sz w:val="21"/>
                <w:szCs w:val="21"/>
              </w:rPr>
            </w:pPr>
            <w:r>
              <w:rPr>
                <w:color w:val="auto"/>
                <w:sz w:val="21"/>
                <w:szCs w:val="21"/>
              </w:rPr>
              <w:t>356</w:t>
            </w:r>
          </w:p>
        </w:tc>
        <w:tc>
          <w:tcPr>
            <w:tcW w:w="627" w:type="pct"/>
            <w:tcBorders>
              <w:tl2br w:val="nil"/>
              <w:tr2bl w:val="nil"/>
            </w:tcBorders>
            <w:vAlign w:val="center"/>
          </w:tcPr>
          <w:p w14:paraId="1FC63F16">
            <w:pPr>
              <w:widowControl/>
              <w:spacing w:line="240" w:lineRule="auto"/>
              <w:ind w:firstLine="0" w:firstLineChars="0"/>
              <w:jc w:val="center"/>
              <w:textAlignment w:val="center"/>
              <w:rPr>
                <w:color w:val="auto"/>
                <w:sz w:val="21"/>
                <w:szCs w:val="21"/>
              </w:rPr>
            </w:pPr>
            <w:r>
              <w:rPr>
                <w:color w:val="auto"/>
                <w:sz w:val="21"/>
                <w:szCs w:val="21"/>
              </w:rPr>
              <w:t>328</w:t>
            </w:r>
          </w:p>
        </w:tc>
        <w:tc>
          <w:tcPr>
            <w:tcW w:w="627" w:type="pct"/>
            <w:tcBorders>
              <w:tl2br w:val="nil"/>
              <w:tr2bl w:val="nil"/>
            </w:tcBorders>
            <w:vAlign w:val="center"/>
          </w:tcPr>
          <w:p w14:paraId="0225A024">
            <w:pPr>
              <w:widowControl/>
              <w:spacing w:line="240" w:lineRule="auto"/>
              <w:ind w:firstLine="0" w:firstLineChars="0"/>
              <w:jc w:val="center"/>
              <w:textAlignment w:val="center"/>
              <w:rPr>
                <w:color w:val="auto"/>
                <w:sz w:val="21"/>
                <w:szCs w:val="21"/>
              </w:rPr>
            </w:pPr>
            <w:r>
              <w:rPr>
                <w:color w:val="auto"/>
                <w:sz w:val="21"/>
                <w:szCs w:val="21"/>
              </w:rPr>
              <w:t xml:space="preserve">63.92 </w:t>
            </w:r>
          </w:p>
        </w:tc>
        <w:tc>
          <w:tcPr>
            <w:tcW w:w="670" w:type="pct"/>
            <w:tcBorders>
              <w:tl2br w:val="nil"/>
              <w:tr2bl w:val="nil"/>
            </w:tcBorders>
            <w:vAlign w:val="center"/>
          </w:tcPr>
          <w:p w14:paraId="4A44DEA0">
            <w:pPr>
              <w:widowControl/>
              <w:spacing w:line="240" w:lineRule="auto"/>
              <w:ind w:firstLine="0" w:firstLineChars="0"/>
              <w:jc w:val="center"/>
              <w:textAlignment w:val="center"/>
              <w:rPr>
                <w:color w:val="auto"/>
                <w:sz w:val="21"/>
                <w:szCs w:val="21"/>
              </w:rPr>
            </w:pPr>
            <w:r>
              <w:rPr>
                <w:color w:val="auto"/>
                <w:sz w:val="21"/>
                <w:szCs w:val="21"/>
              </w:rPr>
              <w:t>6.35%</w:t>
            </w:r>
          </w:p>
        </w:tc>
        <w:tc>
          <w:tcPr>
            <w:tcW w:w="1046" w:type="dxa"/>
            <w:tcBorders>
              <w:tl2br w:val="nil"/>
              <w:tr2bl w:val="nil"/>
            </w:tcBorders>
            <w:vAlign w:val="center"/>
          </w:tcPr>
          <w:p w14:paraId="09AFDFCA">
            <w:pPr>
              <w:widowControl/>
              <w:spacing w:line="240" w:lineRule="auto"/>
              <w:ind w:firstLine="0" w:firstLineChars="0"/>
              <w:jc w:val="center"/>
              <w:textAlignment w:val="center"/>
              <w:rPr>
                <w:color w:val="auto"/>
                <w:sz w:val="21"/>
                <w:szCs w:val="21"/>
              </w:rPr>
            </w:pPr>
            <w:r>
              <w:rPr>
                <w:color w:val="auto"/>
                <w:sz w:val="21"/>
                <w:szCs w:val="21"/>
              </w:rPr>
              <w:t xml:space="preserve">3.60 </w:t>
            </w:r>
          </w:p>
        </w:tc>
        <w:tc>
          <w:tcPr>
            <w:tcW w:w="1135" w:type="dxa"/>
            <w:tcBorders>
              <w:tl2br w:val="nil"/>
              <w:tr2bl w:val="nil"/>
            </w:tcBorders>
            <w:vAlign w:val="center"/>
          </w:tcPr>
          <w:p w14:paraId="03DF1EB0">
            <w:pPr>
              <w:widowControl/>
              <w:spacing w:line="240" w:lineRule="auto"/>
              <w:ind w:firstLine="0" w:firstLineChars="0"/>
              <w:jc w:val="center"/>
              <w:textAlignment w:val="center"/>
              <w:rPr>
                <w:color w:val="auto"/>
                <w:sz w:val="21"/>
                <w:szCs w:val="21"/>
              </w:rPr>
            </w:pPr>
            <w:r>
              <w:rPr>
                <w:color w:val="auto"/>
                <w:sz w:val="21"/>
                <w:szCs w:val="21"/>
              </w:rPr>
              <w:t xml:space="preserve">35.64 </w:t>
            </w:r>
          </w:p>
        </w:tc>
        <w:tc>
          <w:tcPr>
            <w:tcW w:w="1138" w:type="dxa"/>
            <w:tcBorders>
              <w:tl2br w:val="nil"/>
              <w:tr2bl w:val="nil"/>
            </w:tcBorders>
            <w:vAlign w:val="center"/>
          </w:tcPr>
          <w:p w14:paraId="579F3431">
            <w:pPr>
              <w:widowControl/>
              <w:spacing w:line="240" w:lineRule="auto"/>
              <w:ind w:firstLine="0" w:firstLineChars="0"/>
              <w:jc w:val="center"/>
              <w:textAlignment w:val="center"/>
              <w:rPr>
                <w:color w:val="auto"/>
                <w:sz w:val="21"/>
                <w:szCs w:val="21"/>
              </w:rPr>
            </w:pPr>
            <w:r>
              <w:rPr>
                <w:color w:val="auto"/>
                <w:sz w:val="21"/>
                <w:szCs w:val="21"/>
              </w:rPr>
              <w:t xml:space="preserve">24.51 </w:t>
            </w:r>
          </w:p>
        </w:tc>
      </w:tr>
      <w:tr w14:paraId="17E64F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5" w:type="pct"/>
            <w:tcBorders>
              <w:tl2br w:val="nil"/>
              <w:tr2bl w:val="nil"/>
            </w:tcBorders>
            <w:vAlign w:val="center"/>
          </w:tcPr>
          <w:p w14:paraId="30BE4C07">
            <w:pPr>
              <w:widowControl/>
              <w:spacing w:line="240" w:lineRule="auto"/>
              <w:ind w:firstLine="0" w:firstLineChars="0"/>
              <w:jc w:val="center"/>
              <w:textAlignment w:val="center"/>
              <w:rPr>
                <w:color w:val="auto"/>
                <w:sz w:val="21"/>
                <w:szCs w:val="21"/>
              </w:rPr>
            </w:pPr>
            <w:r>
              <w:rPr>
                <w:color w:val="auto"/>
                <w:sz w:val="21"/>
                <w:szCs w:val="21"/>
              </w:rPr>
              <w:t>2020</w:t>
            </w:r>
          </w:p>
        </w:tc>
        <w:tc>
          <w:tcPr>
            <w:tcW w:w="626" w:type="pct"/>
            <w:tcBorders>
              <w:tl2br w:val="nil"/>
              <w:tr2bl w:val="nil"/>
            </w:tcBorders>
            <w:vAlign w:val="center"/>
          </w:tcPr>
          <w:p w14:paraId="36F3AA4B">
            <w:pPr>
              <w:widowControl/>
              <w:spacing w:line="240" w:lineRule="auto"/>
              <w:ind w:firstLine="0" w:firstLineChars="0"/>
              <w:jc w:val="center"/>
              <w:textAlignment w:val="center"/>
              <w:rPr>
                <w:color w:val="auto"/>
                <w:sz w:val="21"/>
                <w:szCs w:val="21"/>
              </w:rPr>
            </w:pPr>
            <w:r>
              <w:rPr>
                <w:color w:val="auto"/>
                <w:sz w:val="21"/>
                <w:szCs w:val="21"/>
              </w:rPr>
              <w:t>295</w:t>
            </w:r>
          </w:p>
        </w:tc>
        <w:tc>
          <w:tcPr>
            <w:tcW w:w="627" w:type="pct"/>
            <w:tcBorders>
              <w:tl2br w:val="nil"/>
              <w:tr2bl w:val="nil"/>
            </w:tcBorders>
            <w:vAlign w:val="center"/>
          </w:tcPr>
          <w:p w14:paraId="03EC5142">
            <w:pPr>
              <w:widowControl/>
              <w:spacing w:line="240" w:lineRule="auto"/>
              <w:ind w:firstLine="0" w:firstLineChars="0"/>
              <w:jc w:val="center"/>
              <w:textAlignment w:val="center"/>
              <w:rPr>
                <w:color w:val="auto"/>
                <w:sz w:val="21"/>
                <w:szCs w:val="21"/>
              </w:rPr>
            </w:pPr>
            <w:r>
              <w:rPr>
                <w:color w:val="auto"/>
                <w:sz w:val="21"/>
                <w:szCs w:val="21"/>
              </w:rPr>
              <w:t>292</w:t>
            </w:r>
          </w:p>
        </w:tc>
        <w:tc>
          <w:tcPr>
            <w:tcW w:w="627" w:type="pct"/>
            <w:tcBorders>
              <w:tl2br w:val="nil"/>
              <w:tr2bl w:val="nil"/>
            </w:tcBorders>
            <w:vAlign w:val="center"/>
          </w:tcPr>
          <w:p w14:paraId="4A0691A3">
            <w:pPr>
              <w:widowControl/>
              <w:spacing w:line="240" w:lineRule="auto"/>
              <w:ind w:firstLine="0" w:firstLineChars="0"/>
              <w:jc w:val="center"/>
              <w:textAlignment w:val="center"/>
              <w:rPr>
                <w:color w:val="auto"/>
                <w:sz w:val="21"/>
                <w:szCs w:val="21"/>
              </w:rPr>
            </w:pPr>
            <w:r>
              <w:rPr>
                <w:color w:val="auto"/>
                <w:sz w:val="21"/>
                <w:szCs w:val="21"/>
              </w:rPr>
              <w:t>67.80</w:t>
            </w:r>
          </w:p>
        </w:tc>
        <w:tc>
          <w:tcPr>
            <w:tcW w:w="670" w:type="pct"/>
            <w:tcBorders>
              <w:tl2br w:val="nil"/>
              <w:tr2bl w:val="nil"/>
            </w:tcBorders>
            <w:vAlign w:val="center"/>
          </w:tcPr>
          <w:p w14:paraId="4D2A133C">
            <w:pPr>
              <w:widowControl/>
              <w:spacing w:line="240" w:lineRule="auto"/>
              <w:ind w:firstLine="0" w:firstLineChars="0"/>
              <w:jc w:val="center"/>
              <w:textAlignment w:val="center"/>
              <w:rPr>
                <w:color w:val="auto"/>
                <w:sz w:val="21"/>
                <w:szCs w:val="21"/>
              </w:rPr>
            </w:pPr>
            <w:r>
              <w:rPr>
                <w:color w:val="auto"/>
                <w:sz w:val="21"/>
                <w:szCs w:val="21"/>
              </w:rPr>
              <w:t>6.00%</w:t>
            </w:r>
          </w:p>
        </w:tc>
        <w:tc>
          <w:tcPr>
            <w:tcW w:w="1046" w:type="dxa"/>
            <w:tcBorders>
              <w:tl2br w:val="nil"/>
              <w:tr2bl w:val="nil"/>
            </w:tcBorders>
            <w:vAlign w:val="center"/>
          </w:tcPr>
          <w:p w14:paraId="1D88A9A2">
            <w:pPr>
              <w:widowControl/>
              <w:spacing w:line="240" w:lineRule="auto"/>
              <w:ind w:firstLine="0" w:firstLineChars="0"/>
              <w:jc w:val="center"/>
              <w:textAlignment w:val="center"/>
              <w:rPr>
                <w:color w:val="auto"/>
                <w:sz w:val="21"/>
                <w:szCs w:val="21"/>
              </w:rPr>
            </w:pPr>
            <w:r>
              <w:rPr>
                <w:color w:val="auto"/>
                <w:sz w:val="21"/>
                <w:szCs w:val="21"/>
              </w:rPr>
              <w:t xml:space="preserve">3.83 </w:t>
            </w:r>
          </w:p>
        </w:tc>
        <w:tc>
          <w:tcPr>
            <w:tcW w:w="1135" w:type="dxa"/>
            <w:tcBorders>
              <w:tl2br w:val="nil"/>
              <w:tr2bl w:val="nil"/>
            </w:tcBorders>
            <w:vAlign w:val="center"/>
          </w:tcPr>
          <w:p w14:paraId="20DC34E9">
            <w:pPr>
              <w:widowControl/>
              <w:spacing w:line="240" w:lineRule="auto"/>
              <w:ind w:firstLine="0" w:firstLineChars="0"/>
              <w:jc w:val="center"/>
              <w:textAlignment w:val="center"/>
              <w:rPr>
                <w:color w:val="auto"/>
                <w:sz w:val="21"/>
                <w:szCs w:val="21"/>
              </w:rPr>
            </w:pPr>
            <w:r>
              <w:rPr>
                <w:color w:val="auto"/>
                <w:sz w:val="21"/>
                <w:szCs w:val="21"/>
              </w:rPr>
              <w:t xml:space="preserve">37.91 </w:t>
            </w:r>
          </w:p>
        </w:tc>
        <w:tc>
          <w:tcPr>
            <w:tcW w:w="1138" w:type="dxa"/>
            <w:tcBorders>
              <w:tl2br w:val="nil"/>
              <w:tr2bl w:val="nil"/>
            </w:tcBorders>
            <w:vAlign w:val="center"/>
          </w:tcPr>
          <w:p w14:paraId="6DE5331F">
            <w:pPr>
              <w:widowControl/>
              <w:spacing w:line="240" w:lineRule="auto"/>
              <w:ind w:firstLine="0" w:firstLineChars="0"/>
              <w:jc w:val="center"/>
              <w:textAlignment w:val="center"/>
              <w:rPr>
                <w:color w:val="auto"/>
                <w:sz w:val="21"/>
                <w:szCs w:val="21"/>
              </w:rPr>
            </w:pPr>
            <w:r>
              <w:rPr>
                <w:color w:val="auto"/>
                <w:sz w:val="21"/>
                <w:szCs w:val="21"/>
              </w:rPr>
              <w:t xml:space="preserve">26.07 </w:t>
            </w:r>
          </w:p>
        </w:tc>
      </w:tr>
    </w:tbl>
    <w:p w14:paraId="489FF619">
      <w:pPr>
        <w:pStyle w:val="5"/>
        <w:numPr>
          <w:ilvl w:val="0"/>
          <w:numId w:val="0"/>
        </w:numPr>
        <w:spacing w:before="166" w:after="166"/>
        <w:rPr>
          <w:color w:val="auto"/>
        </w:rPr>
      </w:pPr>
      <w:r>
        <w:rPr>
          <w:color w:val="auto"/>
        </w:rPr>
        <w:t>4.1.2经济发展规划</w:t>
      </w:r>
    </w:p>
    <w:p w14:paraId="494BC832">
      <w:pPr>
        <w:ind w:firstLine="480"/>
        <w:rPr>
          <w:color w:val="auto"/>
        </w:rPr>
      </w:pPr>
      <w:r>
        <w:rPr>
          <w:color w:val="auto"/>
        </w:rPr>
        <w:t>展望未来，园区A区将着力培育数字经济和特色现代服务业建设，加强启迪科技园、火炬大厦等重点楼宇服务，高效整合利用区域创新孵化资源，打造以研发设计、电子商务、总部经济、信息服务等高技术服务产业和互联网经济为重点的特色产业集群；B区将重点推动传统汽摩装备制造业创新驱动、转型升级发展，加快片区规划调整，依托重庆西站交通枢纽着力打造临港经济区；C区将重点围绕西部（重庆）科学城陶家城市综合服务中心定位开展城市功能布局，加快培育大数据、人工智能、新材料、新能源汽车以及高端装备制造等战新产业集聚区，承接成渝双城经济圈、东部沿海地区以及主城中梁山以东区域产业转移，打造以文化、生态、科技为主导的产城融合示范区。</w:t>
      </w:r>
    </w:p>
    <w:p w14:paraId="05CCA5B9">
      <w:pPr>
        <w:adjustRightInd w:val="0"/>
        <w:ind w:firstLine="480"/>
        <w:rPr>
          <w:color w:val="auto"/>
        </w:rPr>
      </w:pPr>
      <w:r>
        <w:rPr>
          <w:color w:val="auto"/>
        </w:rPr>
        <w:t>按市领导及市园区办要求，园区投资强度达到50亿元/平方公里，工业企业密集度达到30%，产出达到80亿元/平方公里。在此基础上，园区每平方公里的投资强度、产出值、工业企业密集度等各项指标达到国家级开发区标准，经济总量和发展速度，高于省级经济开发区平均水平，在西部市（区）级园区名列前茅。计划经过5－8年的努力，把园区建设成为西南地区现代加工制造业战略基地、商贸密集区和重要的经济增长极，建设成为</w:t>
      </w:r>
      <w:r>
        <w:rPr>
          <w:color w:val="auto"/>
        </w:rPr>
        <w:fldChar w:fldCharType="begin"/>
      </w:r>
      <w:r>
        <w:rPr>
          <w:color w:val="auto"/>
        </w:rPr>
        <w:instrText xml:space="preserve"> HYPERLINK "https://baike.baidu.com/item/%E9%AB%98%E6%96%B0%E6%8A%80%E6%9C%AF%E4%BA%A7%E4%B8%9A/7246934" \t "https://baike.baidu.com/item/%E9%87%8D%E5%BA%86%E4%B9%9D%E9%BE%99%E5%B7%A5%E4%B8%9A%E5%9B%AD/_blank" </w:instrText>
      </w:r>
      <w:r>
        <w:rPr>
          <w:color w:val="auto"/>
        </w:rPr>
        <w:fldChar w:fldCharType="separate"/>
      </w:r>
      <w:r>
        <w:rPr>
          <w:color w:val="auto"/>
        </w:rPr>
        <w:t>高新技术产业</w:t>
      </w:r>
      <w:r>
        <w:rPr>
          <w:color w:val="auto"/>
        </w:rPr>
        <w:fldChar w:fldCharType="end"/>
      </w:r>
      <w:r>
        <w:rPr>
          <w:color w:val="auto"/>
        </w:rPr>
        <w:t>发达、税源丰富、环境优美的西部科技新城。</w:t>
      </w:r>
    </w:p>
    <w:p w14:paraId="46FAF442">
      <w:pPr>
        <w:pStyle w:val="5"/>
        <w:numPr>
          <w:ilvl w:val="0"/>
          <w:numId w:val="0"/>
        </w:numPr>
        <w:spacing w:before="166" w:after="166"/>
        <w:rPr>
          <w:color w:val="auto"/>
        </w:rPr>
      </w:pPr>
      <w:r>
        <w:rPr>
          <w:color w:val="auto"/>
        </w:rPr>
        <w:t>4.3.3规划区规模</w:t>
      </w:r>
    </w:p>
    <w:p w14:paraId="437EC2A3">
      <w:pPr>
        <w:spacing w:line="560" w:lineRule="exact"/>
        <w:ind w:firstLine="480"/>
        <w:rPr>
          <w:color w:val="auto"/>
        </w:rPr>
      </w:pPr>
      <w:r>
        <w:rPr>
          <w:color w:val="auto"/>
        </w:rPr>
        <w:t>（1）园区用地情况</w:t>
      </w:r>
    </w:p>
    <w:p w14:paraId="76A8783A">
      <w:pPr>
        <w:spacing w:line="560" w:lineRule="exact"/>
        <w:ind w:firstLine="480"/>
        <w:rPr>
          <w:color w:val="auto"/>
        </w:rPr>
      </w:pPr>
      <w:r>
        <w:rPr>
          <w:color w:val="auto"/>
        </w:rPr>
        <w:t>九龙工业园的规划面积分别为A区421.06</w:t>
      </w:r>
      <w:r>
        <w:rPr>
          <w:color w:val="auto"/>
          <w:lang w:val="zh-CN"/>
        </w:rPr>
        <w:t xml:space="preserve"> </w:t>
      </w:r>
      <w:r>
        <w:rPr>
          <w:color w:val="auto"/>
        </w:rPr>
        <w:t>hm</w:t>
      </w:r>
      <w:r>
        <w:rPr>
          <w:color w:val="auto"/>
          <w:vertAlign w:val="superscript"/>
          <w:lang w:val="zh-CN"/>
        </w:rPr>
        <w:t>2</w:t>
      </w:r>
      <w:r>
        <w:rPr>
          <w:color w:val="auto"/>
        </w:rPr>
        <w:t>、B区897.92</w:t>
      </w:r>
      <w:r>
        <w:rPr>
          <w:color w:val="auto"/>
          <w:lang w:val="zh-CN"/>
        </w:rPr>
        <w:t xml:space="preserve"> </w:t>
      </w:r>
      <w:r>
        <w:rPr>
          <w:color w:val="auto"/>
        </w:rPr>
        <w:t>hm</w:t>
      </w:r>
      <w:r>
        <w:rPr>
          <w:color w:val="auto"/>
          <w:vertAlign w:val="superscript"/>
          <w:lang w:val="zh-CN"/>
        </w:rPr>
        <w:t>2</w:t>
      </w:r>
      <w:r>
        <w:rPr>
          <w:color w:val="auto"/>
        </w:rPr>
        <w:t>、C区797.10hm</w:t>
      </w:r>
      <w:r>
        <w:rPr>
          <w:color w:val="auto"/>
          <w:vertAlign w:val="superscript"/>
          <w:lang w:val="zh-CN"/>
        </w:rPr>
        <w:t>2</w:t>
      </w:r>
      <w:r>
        <w:rPr>
          <w:color w:val="auto"/>
          <w:lang w:val="zh-CN"/>
        </w:rPr>
        <w:t>，规划总面积</w:t>
      </w:r>
      <w:r>
        <w:rPr>
          <w:color w:val="auto"/>
        </w:rPr>
        <w:t>2116.08hm</w:t>
      </w:r>
      <w:r>
        <w:rPr>
          <w:color w:val="auto"/>
          <w:vertAlign w:val="superscript"/>
          <w:lang w:val="zh-CN"/>
        </w:rPr>
        <w:t>2</w:t>
      </w:r>
      <w:r>
        <w:rPr>
          <w:color w:val="auto"/>
          <w:lang w:val="zh-CN"/>
        </w:rPr>
        <w:t>。</w:t>
      </w:r>
    </w:p>
    <w:p w14:paraId="3FBD3C13">
      <w:pPr>
        <w:ind w:firstLine="480"/>
        <w:rPr>
          <w:color w:val="auto"/>
        </w:rPr>
      </w:pPr>
      <w:r>
        <w:rPr>
          <w:color w:val="auto"/>
        </w:rPr>
        <w:t>园区规划用地情况详见表4.1-</w:t>
      </w:r>
      <w:r>
        <w:rPr>
          <w:rFonts w:hint="eastAsia"/>
          <w:color w:val="auto"/>
        </w:rPr>
        <w:t>2</w:t>
      </w:r>
      <w:r>
        <w:rPr>
          <w:color w:val="auto"/>
        </w:rPr>
        <w:t>、4.1-</w:t>
      </w:r>
      <w:r>
        <w:rPr>
          <w:rFonts w:hint="eastAsia"/>
          <w:color w:val="auto"/>
        </w:rPr>
        <w:t>3</w:t>
      </w:r>
      <w:r>
        <w:rPr>
          <w:color w:val="auto"/>
        </w:rPr>
        <w:t>、4.1-</w:t>
      </w:r>
      <w:r>
        <w:rPr>
          <w:rFonts w:hint="eastAsia"/>
          <w:color w:val="auto"/>
        </w:rPr>
        <w:t>4</w:t>
      </w:r>
      <w:r>
        <w:rPr>
          <w:color w:val="auto"/>
        </w:rPr>
        <w:t>。</w:t>
      </w:r>
    </w:p>
    <w:p w14:paraId="05B6CB3F">
      <w:pPr>
        <w:topLinePunct/>
        <w:ind w:firstLine="0" w:firstLineChars="0"/>
        <w:jc w:val="left"/>
        <w:rPr>
          <w:color w:val="auto"/>
        </w:rPr>
      </w:pPr>
      <w:r>
        <w:rPr>
          <w:b/>
          <w:bCs/>
          <w:color w:val="auto"/>
          <w:kern w:val="0"/>
          <w:lang w:bidi="en-US"/>
        </w:rPr>
        <w:t>表4.1-</w:t>
      </w:r>
      <w:r>
        <w:rPr>
          <w:rFonts w:hint="eastAsia"/>
          <w:b/>
          <w:bCs/>
          <w:color w:val="auto"/>
          <w:kern w:val="0"/>
          <w:lang w:bidi="en-US"/>
        </w:rPr>
        <w:t>2</w:t>
      </w:r>
      <w:r>
        <w:rPr>
          <w:b/>
          <w:bCs/>
          <w:color w:val="auto"/>
          <w:kern w:val="0"/>
          <w:lang w:bidi="en-US"/>
        </w:rPr>
        <w:t xml:space="preserve">                 九龙工业园区A区用地情况</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5"/>
        <w:gridCol w:w="3083"/>
        <w:gridCol w:w="1246"/>
        <w:gridCol w:w="1130"/>
        <w:gridCol w:w="1314"/>
        <w:gridCol w:w="1314"/>
      </w:tblGrid>
      <w:tr w14:paraId="5C29AD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661EA851">
            <w:pPr>
              <w:widowControl/>
              <w:spacing w:line="240" w:lineRule="auto"/>
              <w:ind w:firstLine="0" w:firstLineChars="0"/>
              <w:jc w:val="center"/>
              <w:textAlignment w:val="center"/>
              <w:rPr>
                <w:color w:val="auto"/>
                <w:sz w:val="21"/>
                <w:szCs w:val="21"/>
              </w:rPr>
            </w:pPr>
            <w:r>
              <w:rPr>
                <w:color w:val="auto"/>
                <w:sz w:val="21"/>
                <w:szCs w:val="21"/>
              </w:rPr>
              <w:t>序号</w:t>
            </w:r>
          </w:p>
        </w:tc>
        <w:tc>
          <w:tcPr>
            <w:tcW w:w="1690" w:type="pct"/>
            <w:tcBorders>
              <w:tl2br w:val="nil"/>
              <w:tr2bl w:val="nil"/>
            </w:tcBorders>
            <w:shd w:val="clear" w:color="auto" w:fill="auto"/>
            <w:vAlign w:val="center"/>
          </w:tcPr>
          <w:p w14:paraId="08807105">
            <w:pPr>
              <w:widowControl/>
              <w:spacing w:line="240" w:lineRule="auto"/>
              <w:ind w:firstLine="0" w:firstLineChars="0"/>
              <w:jc w:val="center"/>
              <w:textAlignment w:val="center"/>
              <w:rPr>
                <w:color w:val="auto"/>
                <w:sz w:val="21"/>
                <w:szCs w:val="21"/>
              </w:rPr>
            </w:pPr>
            <w:r>
              <w:rPr>
                <w:color w:val="auto"/>
                <w:sz w:val="21"/>
                <w:szCs w:val="21"/>
              </w:rPr>
              <w:t>用地名称</w:t>
            </w:r>
          </w:p>
        </w:tc>
        <w:tc>
          <w:tcPr>
            <w:tcW w:w="683" w:type="pct"/>
            <w:tcBorders>
              <w:tl2br w:val="nil"/>
              <w:tr2bl w:val="nil"/>
            </w:tcBorders>
            <w:shd w:val="clear" w:color="auto" w:fill="auto"/>
            <w:vAlign w:val="center"/>
          </w:tcPr>
          <w:p w14:paraId="1AB43529">
            <w:pPr>
              <w:widowControl/>
              <w:spacing w:line="240" w:lineRule="auto"/>
              <w:ind w:firstLine="0" w:firstLineChars="0"/>
              <w:jc w:val="center"/>
              <w:textAlignment w:val="center"/>
              <w:rPr>
                <w:color w:val="auto"/>
                <w:sz w:val="21"/>
                <w:szCs w:val="21"/>
              </w:rPr>
            </w:pPr>
            <w:r>
              <w:rPr>
                <w:color w:val="auto"/>
                <w:sz w:val="21"/>
                <w:szCs w:val="21"/>
              </w:rPr>
              <w:t>用地代码</w:t>
            </w:r>
          </w:p>
        </w:tc>
        <w:tc>
          <w:tcPr>
            <w:tcW w:w="620" w:type="pct"/>
            <w:tcBorders>
              <w:tl2br w:val="nil"/>
              <w:tr2bl w:val="nil"/>
            </w:tcBorders>
            <w:shd w:val="clear" w:color="auto" w:fill="auto"/>
            <w:vAlign w:val="center"/>
          </w:tcPr>
          <w:p w14:paraId="6DF45CF7">
            <w:pPr>
              <w:widowControl/>
              <w:spacing w:line="240" w:lineRule="auto"/>
              <w:ind w:firstLine="0" w:firstLineChars="0"/>
              <w:jc w:val="center"/>
              <w:textAlignment w:val="center"/>
              <w:rPr>
                <w:color w:val="auto"/>
                <w:sz w:val="21"/>
                <w:szCs w:val="21"/>
              </w:rPr>
            </w:pPr>
            <w:r>
              <w:rPr>
                <w:color w:val="auto"/>
                <w:sz w:val="21"/>
                <w:szCs w:val="21"/>
              </w:rPr>
              <w:t>面积</w:t>
            </w:r>
          </w:p>
          <w:p w14:paraId="43A33579">
            <w:pPr>
              <w:widowControl/>
              <w:spacing w:line="240" w:lineRule="auto"/>
              <w:ind w:firstLine="0" w:firstLineChars="0"/>
              <w:jc w:val="center"/>
              <w:textAlignment w:val="center"/>
              <w:rPr>
                <w:color w:val="auto"/>
                <w:sz w:val="21"/>
                <w:szCs w:val="21"/>
              </w:rPr>
            </w:pPr>
            <w:r>
              <w:rPr>
                <w:color w:val="auto"/>
                <w:sz w:val="21"/>
                <w:szCs w:val="21"/>
              </w:rPr>
              <w:t>（公顷）</w:t>
            </w:r>
          </w:p>
        </w:tc>
        <w:tc>
          <w:tcPr>
            <w:tcW w:w="721" w:type="pct"/>
            <w:tcBorders>
              <w:tl2br w:val="nil"/>
              <w:tr2bl w:val="nil"/>
            </w:tcBorders>
            <w:shd w:val="clear" w:color="auto" w:fill="auto"/>
            <w:vAlign w:val="center"/>
          </w:tcPr>
          <w:p w14:paraId="77E02C97">
            <w:pPr>
              <w:widowControl/>
              <w:spacing w:line="240" w:lineRule="auto"/>
              <w:ind w:firstLine="0" w:firstLineChars="0"/>
              <w:jc w:val="center"/>
              <w:textAlignment w:val="center"/>
              <w:rPr>
                <w:color w:val="auto"/>
                <w:sz w:val="21"/>
                <w:szCs w:val="21"/>
              </w:rPr>
            </w:pPr>
            <w:r>
              <w:rPr>
                <w:color w:val="auto"/>
                <w:sz w:val="21"/>
                <w:szCs w:val="21"/>
              </w:rPr>
              <w:t>占城市建设用地（%）</w:t>
            </w:r>
          </w:p>
        </w:tc>
        <w:tc>
          <w:tcPr>
            <w:tcW w:w="721" w:type="pct"/>
            <w:tcBorders>
              <w:tl2br w:val="nil"/>
              <w:tr2bl w:val="nil"/>
            </w:tcBorders>
            <w:shd w:val="clear" w:color="auto" w:fill="auto"/>
            <w:vAlign w:val="center"/>
          </w:tcPr>
          <w:p w14:paraId="55341EAC">
            <w:pPr>
              <w:widowControl/>
              <w:spacing w:line="240" w:lineRule="auto"/>
              <w:ind w:firstLine="0" w:firstLineChars="0"/>
              <w:jc w:val="center"/>
              <w:textAlignment w:val="center"/>
              <w:rPr>
                <w:color w:val="auto"/>
                <w:sz w:val="21"/>
                <w:szCs w:val="21"/>
              </w:rPr>
            </w:pPr>
            <w:r>
              <w:rPr>
                <w:color w:val="auto"/>
                <w:sz w:val="21"/>
                <w:szCs w:val="21"/>
              </w:rPr>
              <w:t>备注</w:t>
            </w:r>
          </w:p>
        </w:tc>
      </w:tr>
      <w:tr w14:paraId="4D8716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4B86E680">
            <w:pPr>
              <w:widowControl/>
              <w:spacing w:line="240" w:lineRule="auto"/>
              <w:ind w:firstLine="0" w:firstLineChars="0"/>
              <w:jc w:val="center"/>
              <w:textAlignment w:val="center"/>
              <w:rPr>
                <w:color w:val="auto"/>
                <w:sz w:val="21"/>
                <w:szCs w:val="21"/>
              </w:rPr>
            </w:pPr>
            <w:r>
              <w:rPr>
                <w:color w:val="auto"/>
                <w:sz w:val="21"/>
                <w:szCs w:val="21"/>
              </w:rPr>
              <w:t>1</w:t>
            </w:r>
          </w:p>
        </w:tc>
        <w:tc>
          <w:tcPr>
            <w:tcW w:w="1690" w:type="pct"/>
            <w:tcBorders>
              <w:tl2br w:val="nil"/>
              <w:tr2bl w:val="nil"/>
            </w:tcBorders>
            <w:shd w:val="clear" w:color="auto" w:fill="auto"/>
            <w:vAlign w:val="center"/>
          </w:tcPr>
          <w:p w14:paraId="2A141ADA">
            <w:pPr>
              <w:widowControl/>
              <w:spacing w:line="240" w:lineRule="auto"/>
              <w:ind w:firstLine="0" w:firstLineChars="0"/>
              <w:jc w:val="center"/>
              <w:textAlignment w:val="center"/>
              <w:rPr>
                <w:color w:val="auto"/>
                <w:sz w:val="21"/>
                <w:szCs w:val="21"/>
              </w:rPr>
            </w:pPr>
            <w:r>
              <w:rPr>
                <w:color w:val="auto"/>
                <w:sz w:val="21"/>
                <w:szCs w:val="21"/>
              </w:rPr>
              <w:t>居住用地</w:t>
            </w:r>
          </w:p>
        </w:tc>
        <w:tc>
          <w:tcPr>
            <w:tcW w:w="683" w:type="pct"/>
            <w:tcBorders>
              <w:tl2br w:val="nil"/>
              <w:tr2bl w:val="nil"/>
            </w:tcBorders>
            <w:shd w:val="clear" w:color="auto" w:fill="auto"/>
            <w:vAlign w:val="center"/>
          </w:tcPr>
          <w:p w14:paraId="0F13DC02">
            <w:pPr>
              <w:widowControl/>
              <w:spacing w:line="240" w:lineRule="auto"/>
              <w:ind w:firstLine="0" w:firstLineChars="0"/>
              <w:jc w:val="center"/>
              <w:textAlignment w:val="center"/>
              <w:rPr>
                <w:color w:val="auto"/>
                <w:sz w:val="21"/>
                <w:szCs w:val="21"/>
              </w:rPr>
            </w:pPr>
            <w:r>
              <w:rPr>
                <w:color w:val="auto"/>
                <w:sz w:val="21"/>
                <w:szCs w:val="21"/>
              </w:rPr>
              <w:t>R</w:t>
            </w:r>
          </w:p>
        </w:tc>
        <w:tc>
          <w:tcPr>
            <w:tcW w:w="620" w:type="pct"/>
            <w:tcBorders>
              <w:tl2br w:val="nil"/>
              <w:tr2bl w:val="nil"/>
            </w:tcBorders>
            <w:shd w:val="clear" w:color="auto" w:fill="auto"/>
            <w:vAlign w:val="center"/>
          </w:tcPr>
          <w:p w14:paraId="14CF124B">
            <w:pPr>
              <w:widowControl/>
              <w:spacing w:line="240" w:lineRule="auto"/>
              <w:ind w:firstLine="0" w:firstLineChars="0"/>
              <w:jc w:val="center"/>
              <w:textAlignment w:val="center"/>
              <w:rPr>
                <w:color w:val="auto"/>
                <w:sz w:val="21"/>
                <w:szCs w:val="21"/>
              </w:rPr>
            </w:pPr>
            <w:r>
              <w:rPr>
                <w:color w:val="auto"/>
                <w:sz w:val="21"/>
                <w:szCs w:val="21"/>
              </w:rPr>
              <w:t>96.24</w:t>
            </w:r>
          </w:p>
        </w:tc>
        <w:tc>
          <w:tcPr>
            <w:tcW w:w="721" w:type="pct"/>
            <w:tcBorders>
              <w:tl2br w:val="nil"/>
              <w:tr2bl w:val="nil"/>
            </w:tcBorders>
            <w:shd w:val="clear" w:color="auto" w:fill="auto"/>
            <w:vAlign w:val="center"/>
          </w:tcPr>
          <w:p w14:paraId="5529DD8C">
            <w:pPr>
              <w:widowControl/>
              <w:spacing w:line="240" w:lineRule="auto"/>
              <w:ind w:firstLine="0" w:firstLineChars="0"/>
              <w:jc w:val="center"/>
              <w:textAlignment w:val="center"/>
              <w:rPr>
                <w:color w:val="auto"/>
                <w:sz w:val="21"/>
                <w:szCs w:val="21"/>
              </w:rPr>
            </w:pPr>
            <w:r>
              <w:rPr>
                <w:color w:val="auto"/>
                <w:sz w:val="21"/>
                <w:szCs w:val="21"/>
              </w:rPr>
              <w:t>23.84%</w:t>
            </w:r>
          </w:p>
        </w:tc>
        <w:tc>
          <w:tcPr>
            <w:tcW w:w="721" w:type="pct"/>
            <w:tcBorders>
              <w:tl2br w:val="nil"/>
              <w:tr2bl w:val="nil"/>
            </w:tcBorders>
            <w:shd w:val="clear" w:color="auto" w:fill="auto"/>
            <w:vAlign w:val="center"/>
          </w:tcPr>
          <w:p w14:paraId="05DB78CF">
            <w:pPr>
              <w:widowControl/>
              <w:spacing w:line="240" w:lineRule="auto"/>
              <w:ind w:firstLine="0" w:firstLineChars="0"/>
              <w:jc w:val="center"/>
              <w:textAlignment w:val="center"/>
              <w:rPr>
                <w:color w:val="auto"/>
                <w:sz w:val="21"/>
                <w:szCs w:val="21"/>
              </w:rPr>
            </w:pPr>
            <w:r>
              <w:rPr>
                <w:color w:val="auto"/>
                <w:sz w:val="21"/>
                <w:szCs w:val="21"/>
              </w:rPr>
              <w:t>均为二类居住用地</w:t>
            </w:r>
          </w:p>
        </w:tc>
      </w:tr>
      <w:tr w14:paraId="6C13E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0220B4C9">
            <w:pPr>
              <w:widowControl/>
              <w:spacing w:line="240" w:lineRule="auto"/>
              <w:ind w:firstLine="0" w:firstLineChars="0"/>
              <w:jc w:val="center"/>
              <w:textAlignment w:val="center"/>
              <w:rPr>
                <w:color w:val="auto"/>
                <w:sz w:val="21"/>
                <w:szCs w:val="21"/>
              </w:rPr>
            </w:pPr>
            <w:r>
              <w:rPr>
                <w:color w:val="auto"/>
                <w:sz w:val="21"/>
                <w:szCs w:val="21"/>
              </w:rPr>
              <w:t>2</w:t>
            </w:r>
          </w:p>
        </w:tc>
        <w:tc>
          <w:tcPr>
            <w:tcW w:w="1690" w:type="pct"/>
            <w:tcBorders>
              <w:tl2br w:val="nil"/>
              <w:tr2bl w:val="nil"/>
            </w:tcBorders>
            <w:shd w:val="clear" w:color="auto" w:fill="auto"/>
            <w:vAlign w:val="center"/>
          </w:tcPr>
          <w:p w14:paraId="27FB25BA">
            <w:pPr>
              <w:widowControl/>
              <w:spacing w:line="240" w:lineRule="auto"/>
              <w:ind w:firstLine="0" w:firstLineChars="0"/>
              <w:jc w:val="center"/>
              <w:textAlignment w:val="center"/>
              <w:rPr>
                <w:color w:val="auto"/>
                <w:sz w:val="21"/>
                <w:szCs w:val="21"/>
              </w:rPr>
            </w:pPr>
            <w:r>
              <w:rPr>
                <w:color w:val="auto"/>
                <w:sz w:val="21"/>
                <w:szCs w:val="21"/>
              </w:rPr>
              <w:t>工业用地</w:t>
            </w:r>
          </w:p>
        </w:tc>
        <w:tc>
          <w:tcPr>
            <w:tcW w:w="683" w:type="pct"/>
            <w:tcBorders>
              <w:tl2br w:val="nil"/>
              <w:tr2bl w:val="nil"/>
            </w:tcBorders>
            <w:shd w:val="clear" w:color="auto" w:fill="auto"/>
            <w:vAlign w:val="center"/>
          </w:tcPr>
          <w:p w14:paraId="3829E67D">
            <w:pPr>
              <w:widowControl/>
              <w:spacing w:line="240" w:lineRule="auto"/>
              <w:ind w:firstLine="0" w:firstLineChars="0"/>
              <w:jc w:val="center"/>
              <w:textAlignment w:val="center"/>
              <w:rPr>
                <w:color w:val="auto"/>
                <w:sz w:val="21"/>
                <w:szCs w:val="21"/>
              </w:rPr>
            </w:pPr>
            <w:r>
              <w:rPr>
                <w:color w:val="auto"/>
                <w:sz w:val="21"/>
                <w:szCs w:val="21"/>
              </w:rPr>
              <w:t>M</w:t>
            </w:r>
          </w:p>
        </w:tc>
        <w:tc>
          <w:tcPr>
            <w:tcW w:w="620" w:type="pct"/>
            <w:tcBorders>
              <w:tl2br w:val="nil"/>
              <w:tr2bl w:val="nil"/>
            </w:tcBorders>
            <w:shd w:val="clear" w:color="auto" w:fill="auto"/>
            <w:vAlign w:val="center"/>
          </w:tcPr>
          <w:p w14:paraId="17BBE77E">
            <w:pPr>
              <w:widowControl/>
              <w:spacing w:line="240" w:lineRule="auto"/>
              <w:ind w:firstLine="0" w:firstLineChars="0"/>
              <w:jc w:val="center"/>
              <w:textAlignment w:val="center"/>
              <w:rPr>
                <w:color w:val="auto"/>
                <w:sz w:val="21"/>
                <w:szCs w:val="21"/>
              </w:rPr>
            </w:pPr>
            <w:r>
              <w:rPr>
                <w:color w:val="auto"/>
                <w:sz w:val="21"/>
                <w:szCs w:val="21"/>
              </w:rPr>
              <w:t>22.62</w:t>
            </w:r>
          </w:p>
        </w:tc>
        <w:tc>
          <w:tcPr>
            <w:tcW w:w="721" w:type="pct"/>
            <w:tcBorders>
              <w:tl2br w:val="nil"/>
              <w:tr2bl w:val="nil"/>
            </w:tcBorders>
            <w:shd w:val="clear" w:color="auto" w:fill="auto"/>
            <w:vAlign w:val="center"/>
          </w:tcPr>
          <w:p w14:paraId="54D63267">
            <w:pPr>
              <w:widowControl/>
              <w:spacing w:line="240" w:lineRule="auto"/>
              <w:ind w:firstLine="0" w:firstLineChars="0"/>
              <w:jc w:val="center"/>
              <w:textAlignment w:val="center"/>
              <w:rPr>
                <w:color w:val="auto"/>
                <w:sz w:val="21"/>
                <w:szCs w:val="21"/>
              </w:rPr>
            </w:pPr>
            <w:r>
              <w:rPr>
                <w:color w:val="auto"/>
                <w:sz w:val="21"/>
                <w:szCs w:val="21"/>
              </w:rPr>
              <w:t>5.60%</w:t>
            </w:r>
          </w:p>
        </w:tc>
        <w:tc>
          <w:tcPr>
            <w:tcW w:w="721" w:type="pct"/>
            <w:tcBorders>
              <w:tl2br w:val="nil"/>
              <w:tr2bl w:val="nil"/>
            </w:tcBorders>
            <w:shd w:val="clear" w:color="auto" w:fill="auto"/>
            <w:vAlign w:val="center"/>
          </w:tcPr>
          <w:p w14:paraId="79C65728">
            <w:pPr>
              <w:widowControl/>
              <w:spacing w:line="240" w:lineRule="auto"/>
              <w:ind w:firstLine="0" w:firstLineChars="0"/>
              <w:jc w:val="center"/>
              <w:textAlignment w:val="center"/>
              <w:rPr>
                <w:color w:val="auto"/>
                <w:sz w:val="21"/>
                <w:szCs w:val="21"/>
              </w:rPr>
            </w:pPr>
            <w:r>
              <w:rPr>
                <w:color w:val="auto"/>
                <w:sz w:val="21"/>
                <w:szCs w:val="21"/>
              </w:rPr>
              <w:t>M1</w:t>
            </w:r>
          </w:p>
        </w:tc>
      </w:tr>
      <w:tr w14:paraId="623B6E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6AB7AE34">
            <w:pPr>
              <w:widowControl/>
              <w:spacing w:line="240" w:lineRule="auto"/>
              <w:ind w:firstLine="0" w:firstLineChars="0"/>
              <w:jc w:val="center"/>
              <w:textAlignment w:val="center"/>
              <w:rPr>
                <w:color w:val="auto"/>
                <w:sz w:val="21"/>
                <w:szCs w:val="21"/>
              </w:rPr>
            </w:pPr>
            <w:r>
              <w:rPr>
                <w:color w:val="auto"/>
                <w:sz w:val="21"/>
                <w:szCs w:val="21"/>
              </w:rPr>
              <w:t>3</w:t>
            </w:r>
          </w:p>
        </w:tc>
        <w:tc>
          <w:tcPr>
            <w:tcW w:w="1690" w:type="pct"/>
            <w:tcBorders>
              <w:tl2br w:val="nil"/>
              <w:tr2bl w:val="nil"/>
            </w:tcBorders>
            <w:shd w:val="clear" w:color="auto" w:fill="auto"/>
            <w:vAlign w:val="center"/>
          </w:tcPr>
          <w:p w14:paraId="34BBE069">
            <w:pPr>
              <w:widowControl/>
              <w:spacing w:line="240" w:lineRule="auto"/>
              <w:ind w:firstLine="0" w:firstLineChars="0"/>
              <w:jc w:val="center"/>
              <w:textAlignment w:val="center"/>
              <w:rPr>
                <w:color w:val="auto"/>
                <w:sz w:val="21"/>
                <w:szCs w:val="21"/>
              </w:rPr>
            </w:pPr>
            <w:r>
              <w:rPr>
                <w:color w:val="auto"/>
                <w:sz w:val="21"/>
                <w:szCs w:val="21"/>
              </w:rPr>
              <w:t>公共管理与公共服务用地</w:t>
            </w:r>
          </w:p>
        </w:tc>
        <w:tc>
          <w:tcPr>
            <w:tcW w:w="683" w:type="pct"/>
            <w:tcBorders>
              <w:tl2br w:val="nil"/>
              <w:tr2bl w:val="nil"/>
            </w:tcBorders>
            <w:shd w:val="clear" w:color="auto" w:fill="auto"/>
            <w:vAlign w:val="center"/>
          </w:tcPr>
          <w:p w14:paraId="0A3C432D">
            <w:pPr>
              <w:widowControl/>
              <w:spacing w:line="240" w:lineRule="auto"/>
              <w:ind w:firstLine="0" w:firstLineChars="0"/>
              <w:jc w:val="center"/>
              <w:textAlignment w:val="center"/>
              <w:rPr>
                <w:color w:val="auto"/>
                <w:sz w:val="21"/>
                <w:szCs w:val="21"/>
              </w:rPr>
            </w:pPr>
            <w:r>
              <w:rPr>
                <w:color w:val="auto"/>
                <w:sz w:val="21"/>
                <w:szCs w:val="21"/>
              </w:rPr>
              <w:t>A</w:t>
            </w:r>
          </w:p>
        </w:tc>
        <w:tc>
          <w:tcPr>
            <w:tcW w:w="620" w:type="pct"/>
            <w:tcBorders>
              <w:tl2br w:val="nil"/>
              <w:tr2bl w:val="nil"/>
            </w:tcBorders>
            <w:shd w:val="clear" w:color="auto" w:fill="auto"/>
            <w:vAlign w:val="center"/>
          </w:tcPr>
          <w:p w14:paraId="595D6D91">
            <w:pPr>
              <w:widowControl/>
              <w:spacing w:line="240" w:lineRule="auto"/>
              <w:ind w:firstLine="0" w:firstLineChars="0"/>
              <w:jc w:val="center"/>
              <w:textAlignment w:val="center"/>
              <w:rPr>
                <w:color w:val="auto"/>
                <w:sz w:val="21"/>
                <w:szCs w:val="21"/>
              </w:rPr>
            </w:pPr>
            <w:r>
              <w:rPr>
                <w:color w:val="auto"/>
                <w:sz w:val="21"/>
                <w:szCs w:val="21"/>
              </w:rPr>
              <w:t>21.18</w:t>
            </w:r>
          </w:p>
        </w:tc>
        <w:tc>
          <w:tcPr>
            <w:tcW w:w="721" w:type="pct"/>
            <w:tcBorders>
              <w:tl2br w:val="nil"/>
              <w:tr2bl w:val="nil"/>
            </w:tcBorders>
            <w:shd w:val="clear" w:color="auto" w:fill="auto"/>
            <w:vAlign w:val="center"/>
          </w:tcPr>
          <w:p w14:paraId="76FE427B">
            <w:pPr>
              <w:widowControl/>
              <w:spacing w:line="240" w:lineRule="auto"/>
              <w:ind w:firstLine="0" w:firstLineChars="0"/>
              <w:jc w:val="center"/>
              <w:textAlignment w:val="center"/>
              <w:rPr>
                <w:color w:val="auto"/>
                <w:sz w:val="21"/>
                <w:szCs w:val="21"/>
              </w:rPr>
            </w:pPr>
            <w:r>
              <w:rPr>
                <w:color w:val="auto"/>
                <w:sz w:val="21"/>
                <w:szCs w:val="21"/>
              </w:rPr>
              <w:t>5.25%</w:t>
            </w:r>
          </w:p>
        </w:tc>
        <w:tc>
          <w:tcPr>
            <w:tcW w:w="721" w:type="pct"/>
            <w:tcBorders>
              <w:tl2br w:val="nil"/>
              <w:tr2bl w:val="nil"/>
            </w:tcBorders>
            <w:shd w:val="clear" w:color="auto" w:fill="auto"/>
            <w:vAlign w:val="center"/>
          </w:tcPr>
          <w:p w14:paraId="3E805D8C">
            <w:pPr>
              <w:widowControl/>
              <w:spacing w:line="240" w:lineRule="auto"/>
              <w:ind w:firstLine="0" w:firstLineChars="0"/>
              <w:jc w:val="center"/>
              <w:textAlignment w:val="center"/>
              <w:rPr>
                <w:color w:val="auto"/>
                <w:sz w:val="21"/>
                <w:szCs w:val="21"/>
              </w:rPr>
            </w:pPr>
          </w:p>
        </w:tc>
      </w:tr>
      <w:tr w14:paraId="770DAA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598D5FBA">
            <w:pPr>
              <w:widowControl/>
              <w:spacing w:line="240" w:lineRule="auto"/>
              <w:ind w:firstLine="0" w:firstLineChars="0"/>
              <w:jc w:val="center"/>
              <w:textAlignment w:val="center"/>
              <w:rPr>
                <w:color w:val="auto"/>
                <w:sz w:val="21"/>
                <w:szCs w:val="21"/>
              </w:rPr>
            </w:pPr>
            <w:r>
              <w:rPr>
                <w:color w:val="auto"/>
                <w:sz w:val="21"/>
                <w:szCs w:val="21"/>
              </w:rPr>
              <w:t>4</w:t>
            </w:r>
          </w:p>
        </w:tc>
        <w:tc>
          <w:tcPr>
            <w:tcW w:w="1690" w:type="pct"/>
            <w:tcBorders>
              <w:tl2br w:val="nil"/>
              <w:tr2bl w:val="nil"/>
            </w:tcBorders>
            <w:shd w:val="clear" w:color="auto" w:fill="auto"/>
            <w:vAlign w:val="center"/>
          </w:tcPr>
          <w:p w14:paraId="54EE255A">
            <w:pPr>
              <w:widowControl/>
              <w:spacing w:line="240" w:lineRule="auto"/>
              <w:ind w:firstLine="0" w:firstLineChars="0"/>
              <w:jc w:val="center"/>
              <w:textAlignment w:val="center"/>
              <w:rPr>
                <w:color w:val="auto"/>
                <w:sz w:val="21"/>
                <w:szCs w:val="21"/>
              </w:rPr>
            </w:pPr>
            <w:r>
              <w:rPr>
                <w:color w:val="auto"/>
                <w:sz w:val="21"/>
                <w:szCs w:val="21"/>
              </w:rPr>
              <w:t>商业服务业设施用地</w:t>
            </w:r>
          </w:p>
        </w:tc>
        <w:tc>
          <w:tcPr>
            <w:tcW w:w="683" w:type="pct"/>
            <w:tcBorders>
              <w:tl2br w:val="nil"/>
              <w:tr2bl w:val="nil"/>
            </w:tcBorders>
            <w:shd w:val="clear" w:color="auto" w:fill="auto"/>
            <w:vAlign w:val="center"/>
          </w:tcPr>
          <w:p w14:paraId="76A657FC">
            <w:pPr>
              <w:widowControl/>
              <w:spacing w:line="240" w:lineRule="auto"/>
              <w:ind w:firstLine="0" w:firstLineChars="0"/>
              <w:jc w:val="center"/>
              <w:textAlignment w:val="center"/>
              <w:rPr>
                <w:color w:val="auto"/>
                <w:sz w:val="21"/>
                <w:szCs w:val="21"/>
              </w:rPr>
            </w:pPr>
            <w:r>
              <w:rPr>
                <w:color w:val="auto"/>
                <w:sz w:val="21"/>
                <w:szCs w:val="21"/>
              </w:rPr>
              <w:t>B</w:t>
            </w:r>
          </w:p>
        </w:tc>
        <w:tc>
          <w:tcPr>
            <w:tcW w:w="620" w:type="pct"/>
            <w:tcBorders>
              <w:tl2br w:val="nil"/>
              <w:tr2bl w:val="nil"/>
            </w:tcBorders>
            <w:shd w:val="clear" w:color="auto" w:fill="auto"/>
            <w:vAlign w:val="center"/>
          </w:tcPr>
          <w:p w14:paraId="1526FCAB">
            <w:pPr>
              <w:widowControl/>
              <w:spacing w:line="240" w:lineRule="auto"/>
              <w:ind w:firstLine="0" w:firstLineChars="0"/>
              <w:jc w:val="center"/>
              <w:textAlignment w:val="center"/>
              <w:rPr>
                <w:color w:val="auto"/>
                <w:sz w:val="21"/>
                <w:szCs w:val="21"/>
              </w:rPr>
            </w:pPr>
            <w:r>
              <w:rPr>
                <w:color w:val="auto"/>
                <w:sz w:val="21"/>
                <w:szCs w:val="21"/>
              </w:rPr>
              <w:t>89.26</w:t>
            </w:r>
          </w:p>
        </w:tc>
        <w:tc>
          <w:tcPr>
            <w:tcW w:w="721" w:type="pct"/>
            <w:tcBorders>
              <w:tl2br w:val="nil"/>
              <w:tr2bl w:val="nil"/>
            </w:tcBorders>
            <w:shd w:val="clear" w:color="auto" w:fill="auto"/>
            <w:vAlign w:val="center"/>
          </w:tcPr>
          <w:p w14:paraId="1869430E">
            <w:pPr>
              <w:widowControl/>
              <w:spacing w:line="240" w:lineRule="auto"/>
              <w:ind w:firstLine="0" w:firstLineChars="0"/>
              <w:jc w:val="center"/>
              <w:textAlignment w:val="center"/>
              <w:rPr>
                <w:color w:val="auto"/>
                <w:sz w:val="21"/>
                <w:szCs w:val="21"/>
              </w:rPr>
            </w:pPr>
            <w:r>
              <w:rPr>
                <w:color w:val="auto"/>
                <w:sz w:val="21"/>
                <w:szCs w:val="21"/>
              </w:rPr>
              <w:t>22.11%</w:t>
            </w:r>
          </w:p>
        </w:tc>
        <w:tc>
          <w:tcPr>
            <w:tcW w:w="721" w:type="pct"/>
            <w:tcBorders>
              <w:tl2br w:val="nil"/>
              <w:tr2bl w:val="nil"/>
            </w:tcBorders>
            <w:shd w:val="clear" w:color="auto" w:fill="auto"/>
            <w:vAlign w:val="center"/>
          </w:tcPr>
          <w:p w14:paraId="515AB216">
            <w:pPr>
              <w:widowControl/>
              <w:spacing w:line="240" w:lineRule="auto"/>
              <w:ind w:firstLine="0" w:firstLineChars="0"/>
              <w:jc w:val="center"/>
              <w:textAlignment w:val="center"/>
              <w:rPr>
                <w:color w:val="auto"/>
                <w:sz w:val="21"/>
                <w:szCs w:val="21"/>
              </w:rPr>
            </w:pPr>
          </w:p>
        </w:tc>
      </w:tr>
      <w:tr w14:paraId="4BE7D3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2461ADDD">
            <w:pPr>
              <w:widowControl/>
              <w:spacing w:line="240" w:lineRule="auto"/>
              <w:ind w:firstLine="0" w:firstLineChars="0"/>
              <w:jc w:val="center"/>
              <w:textAlignment w:val="center"/>
              <w:rPr>
                <w:color w:val="auto"/>
                <w:sz w:val="21"/>
                <w:szCs w:val="21"/>
              </w:rPr>
            </w:pPr>
            <w:r>
              <w:rPr>
                <w:color w:val="auto"/>
                <w:sz w:val="21"/>
                <w:szCs w:val="21"/>
              </w:rPr>
              <w:t>5</w:t>
            </w:r>
          </w:p>
        </w:tc>
        <w:tc>
          <w:tcPr>
            <w:tcW w:w="1690" w:type="pct"/>
            <w:tcBorders>
              <w:tl2br w:val="nil"/>
              <w:tr2bl w:val="nil"/>
            </w:tcBorders>
            <w:shd w:val="clear" w:color="auto" w:fill="auto"/>
            <w:vAlign w:val="center"/>
          </w:tcPr>
          <w:p w14:paraId="54A017E4">
            <w:pPr>
              <w:widowControl/>
              <w:spacing w:line="240" w:lineRule="auto"/>
              <w:ind w:firstLine="0" w:firstLineChars="0"/>
              <w:jc w:val="center"/>
              <w:textAlignment w:val="center"/>
              <w:rPr>
                <w:color w:val="auto"/>
                <w:sz w:val="21"/>
                <w:szCs w:val="21"/>
              </w:rPr>
            </w:pPr>
            <w:r>
              <w:rPr>
                <w:color w:val="auto"/>
                <w:sz w:val="21"/>
                <w:szCs w:val="21"/>
              </w:rPr>
              <w:t>道路与交通设施用地</w:t>
            </w:r>
          </w:p>
        </w:tc>
        <w:tc>
          <w:tcPr>
            <w:tcW w:w="683" w:type="pct"/>
            <w:tcBorders>
              <w:tl2br w:val="nil"/>
              <w:tr2bl w:val="nil"/>
            </w:tcBorders>
            <w:shd w:val="clear" w:color="auto" w:fill="auto"/>
            <w:vAlign w:val="center"/>
          </w:tcPr>
          <w:p w14:paraId="080BBC93">
            <w:pPr>
              <w:widowControl/>
              <w:spacing w:line="240" w:lineRule="auto"/>
              <w:ind w:firstLine="0" w:firstLineChars="0"/>
              <w:jc w:val="center"/>
              <w:textAlignment w:val="center"/>
              <w:rPr>
                <w:color w:val="auto"/>
                <w:sz w:val="21"/>
                <w:szCs w:val="21"/>
              </w:rPr>
            </w:pPr>
            <w:r>
              <w:rPr>
                <w:color w:val="auto"/>
                <w:sz w:val="21"/>
                <w:szCs w:val="21"/>
              </w:rPr>
              <w:t>S</w:t>
            </w:r>
          </w:p>
        </w:tc>
        <w:tc>
          <w:tcPr>
            <w:tcW w:w="620" w:type="pct"/>
            <w:tcBorders>
              <w:tl2br w:val="nil"/>
              <w:tr2bl w:val="nil"/>
            </w:tcBorders>
            <w:shd w:val="clear" w:color="auto" w:fill="auto"/>
            <w:vAlign w:val="center"/>
          </w:tcPr>
          <w:p w14:paraId="4911511C">
            <w:pPr>
              <w:widowControl/>
              <w:spacing w:line="240" w:lineRule="auto"/>
              <w:ind w:firstLine="0" w:firstLineChars="0"/>
              <w:jc w:val="center"/>
              <w:textAlignment w:val="center"/>
              <w:rPr>
                <w:color w:val="auto"/>
                <w:sz w:val="21"/>
                <w:szCs w:val="21"/>
              </w:rPr>
            </w:pPr>
            <w:r>
              <w:rPr>
                <w:color w:val="auto"/>
                <w:sz w:val="21"/>
                <w:szCs w:val="21"/>
              </w:rPr>
              <w:t>94.65</w:t>
            </w:r>
          </w:p>
        </w:tc>
        <w:tc>
          <w:tcPr>
            <w:tcW w:w="721" w:type="pct"/>
            <w:tcBorders>
              <w:tl2br w:val="nil"/>
              <w:tr2bl w:val="nil"/>
            </w:tcBorders>
            <w:shd w:val="clear" w:color="auto" w:fill="auto"/>
            <w:vAlign w:val="center"/>
          </w:tcPr>
          <w:p w14:paraId="071569B3">
            <w:pPr>
              <w:widowControl/>
              <w:spacing w:line="240" w:lineRule="auto"/>
              <w:ind w:firstLine="0" w:firstLineChars="0"/>
              <w:jc w:val="center"/>
              <w:textAlignment w:val="center"/>
              <w:rPr>
                <w:color w:val="auto"/>
                <w:sz w:val="21"/>
                <w:szCs w:val="21"/>
              </w:rPr>
            </w:pPr>
            <w:r>
              <w:rPr>
                <w:color w:val="auto"/>
                <w:sz w:val="21"/>
                <w:szCs w:val="21"/>
              </w:rPr>
              <w:t>23.45%</w:t>
            </w:r>
          </w:p>
        </w:tc>
        <w:tc>
          <w:tcPr>
            <w:tcW w:w="721" w:type="pct"/>
            <w:tcBorders>
              <w:tl2br w:val="nil"/>
              <w:tr2bl w:val="nil"/>
            </w:tcBorders>
            <w:shd w:val="clear" w:color="auto" w:fill="auto"/>
            <w:vAlign w:val="center"/>
          </w:tcPr>
          <w:p w14:paraId="03DE5024">
            <w:pPr>
              <w:widowControl/>
              <w:spacing w:line="240" w:lineRule="auto"/>
              <w:ind w:firstLine="0" w:firstLineChars="0"/>
              <w:jc w:val="center"/>
              <w:textAlignment w:val="center"/>
              <w:rPr>
                <w:color w:val="auto"/>
                <w:sz w:val="21"/>
                <w:szCs w:val="21"/>
              </w:rPr>
            </w:pPr>
          </w:p>
        </w:tc>
      </w:tr>
      <w:tr w14:paraId="285AC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39D44164">
            <w:pPr>
              <w:widowControl/>
              <w:spacing w:line="240" w:lineRule="auto"/>
              <w:ind w:firstLine="0" w:firstLineChars="0"/>
              <w:jc w:val="center"/>
              <w:textAlignment w:val="center"/>
              <w:rPr>
                <w:color w:val="auto"/>
                <w:sz w:val="21"/>
                <w:szCs w:val="21"/>
              </w:rPr>
            </w:pPr>
            <w:r>
              <w:rPr>
                <w:color w:val="auto"/>
                <w:sz w:val="21"/>
                <w:szCs w:val="21"/>
              </w:rPr>
              <w:t>6</w:t>
            </w:r>
          </w:p>
        </w:tc>
        <w:tc>
          <w:tcPr>
            <w:tcW w:w="1690" w:type="pct"/>
            <w:tcBorders>
              <w:tl2br w:val="nil"/>
              <w:tr2bl w:val="nil"/>
            </w:tcBorders>
            <w:shd w:val="clear" w:color="auto" w:fill="auto"/>
            <w:vAlign w:val="center"/>
          </w:tcPr>
          <w:p w14:paraId="534EC330">
            <w:pPr>
              <w:widowControl/>
              <w:spacing w:line="240" w:lineRule="auto"/>
              <w:ind w:firstLine="0" w:firstLineChars="0"/>
              <w:jc w:val="center"/>
              <w:textAlignment w:val="center"/>
              <w:rPr>
                <w:color w:val="auto"/>
                <w:sz w:val="21"/>
                <w:szCs w:val="21"/>
              </w:rPr>
            </w:pPr>
            <w:r>
              <w:rPr>
                <w:color w:val="auto"/>
                <w:sz w:val="21"/>
                <w:szCs w:val="21"/>
              </w:rPr>
              <w:t>公用设施用地</w:t>
            </w:r>
          </w:p>
        </w:tc>
        <w:tc>
          <w:tcPr>
            <w:tcW w:w="683" w:type="pct"/>
            <w:tcBorders>
              <w:tl2br w:val="nil"/>
              <w:tr2bl w:val="nil"/>
            </w:tcBorders>
            <w:shd w:val="clear" w:color="auto" w:fill="auto"/>
            <w:vAlign w:val="center"/>
          </w:tcPr>
          <w:p w14:paraId="7AF6A745">
            <w:pPr>
              <w:widowControl/>
              <w:spacing w:line="240" w:lineRule="auto"/>
              <w:ind w:firstLine="0" w:firstLineChars="0"/>
              <w:jc w:val="center"/>
              <w:textAlignment w:val="center"/>
              <w:rPr>
                <w:color w:val="auto"/>
                <w:sz w:val="21"/>
                <w:szCs w:val="21"/>
              </w:rPr>
            </w:pPr>
            <w:r>
              <w:rPr>
                <w:color w:val="auto"/>
                <w:sz w:val="21"/>
                <w:szCs w:val="21"/>
              </w:rPr>
              <w:t>U</w:t>
            </w:r>
          </w:p>
        </w:tc>
        <w:tc>
          <w:tcPr>
            <w:tcW w:w="620" w:type="pct"/>
            <w:tcBorders>
              <w:tl2br w:val="nil"/>
              <w:tr2bl w:val="nil"/>
            </w:tcBorders>
            <w:shd w:val="clear" w:color="auto" w:fill="auto"/>
            <w:vAlign w:val="center"/>
          </w:tcPr>
          <w:p w14:paraId="7A6EC060">
            <w:pPr>
              <w:widowControl/>
              <w:spacing w:line="240" w:lineRule="auto"/>
              <w:ind w:firstLine="0" w:firstLineChars="0"/>
              <w:jc w:val="center"/>
              <w:textAlignment w:val="center"/>
              <w:rPr>
                <w:color w:val="auto"/>
                <w:sz w:val="21"/>
                <w:szCs w:val="21"/>
              </w:rPr>
            </w:pPr>
            <w:r>
              <w:rPr>
                <w:color w:val="auto"/>
                <w:sz w:val="21"/>
                <w:szCs w:val="21"/>
              </w:rPr>
              <w:t>8.14</w:t>
            </w:r>
          </w:p>
        </w:tc>
        <w:tc>
          <w:tcPr>
            <w:tcW w:w="721" w:type="pct"/>
            <w:tcBorders>
              <w:tl2br w:val="nil"/>
              <w:tr2bl w:val="nil"/>
            </w:tcBorders>
            <w:shd w:val="clear" w:color="auto" w:fill="auto"/>
            <w:vAlign w:val="center"/>
          </w:tcPr>
          <w:p w14:paraId="167C96C4">
            <w:pPr>
              <w:widowControl/>
              <w:spacing w:line="240" w:lineRule="auto"/>
              <w:ind w:firstLine="0" w:firstLineChars="0"/>
              <w:jc w:val="center"/>
              <w:textAlignment w:val="center"/>
              <w:rPr>
                <w:color w:val="auto"/>
                <w:sz w:val="21"/>
                <w:szCs w:val="21"/>
              </w:rPr>
            </w:pPr>
            <w:r>
              <w:rPr>
                <w:color w:val="auto"/>
                <w:sz w:val="21"/>
                <w:szCs w:val="21"/>
              </w:rPr>
              <w:t>2.02%</w:t>
            </w:r>
          </w:p>
        </w:tc>
        <w:tc>
          <w:tcPr>
            <w:tcW w:w="721" w:type="pct"/>
            <w:tcBorders>
              <w:tl2br w:val="nil"/>
              <w:tr2bl w:val="nil"/>
            </w:tcBorders>
            <w:shd w:val="clear" w:color="auto" w:fill="auto"/>
            <w:vAlign w:val="center"/>
          </w:tcPr>
          <w:p w14:paraId="3552581A">
            <w:pPr>
              <w:widowControl/>
              <w:spacing w:line="240" w:lineRule="auto"/>
              <w:ind w:firstLine="0" w:firstLineChars="0"/>
              <w:jc w:val="center"/>
              <w:textAlignment w:val="center"/>
              <w:rPr>
                <w:color w:val="auto"/>
                <w:sz w:val="21"/>
                <w:szCs w:val="21"/>
              </w:rPr>
            </w:pPr>
          </w:p>
        </w:tc>
      </w:tr>
      <w:tr w14:paraId="0460F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5808C166">
            <w:pPr>
              <w:widowControl/>
              <w:spacing w:line="240" w:lineRule="auto"/>
              <w:ind w:firstLine="0" w:firstLineChars="0"/>
              <w:jc w:val="center"/>
              <w:textAlignment w:val="center"/>
              <w:rPr>
                <w:color w:val="auto"/>
                <w:sz w:val="21"/>
                <w:szCs w:val="21"/>
              </w:rPr>
            </w:pPr>
            <w:r>
              <w:rPr>
                <w:color w:val="auto"/>
                <w:sz w:val="21"/>
                <w:szCs w:val="21"/>
              </w:rPr>
              <w:t>7</w:t>
            </w:r>
          </w:p>
        </w:tc>
        <w:tc>
          <w:tcPr>
            <w:tcW w:w="1690" w:type="pct"/>
            <w:tcBorders>
              <w:tl2br w:val="nil"/>
              <w:tr2bl w:val="nil"/>
            </w:tcBorders>
            <w:shd w:val="clear" w:color="auto" w:fill="auto"/>
            <w:vAlign w:val="center"/>
          </w:tcPr>
          <w:p w14:paraId="5AD97454">
            <w:pPr>
              <w:widowControl/>
              <w:spacing w:line="240" w:lineRule="auto"/>
              <w:ind w:firstLine="0" w:firstLineChars="0"/>
              <w:jc w:val="center"/>
              <w:textAlignment w:val="center"/>
              <w:rPr>
                <w:color w:val="auto"/>
                <w:sz w:val="21"/>
                <w:szCs w:val="21"/>
              </w:rPr>
            </w:pPr>
            <w:r>
              <w:rPr>
                <w:color w:val="auto"/>
                <w:sz w:val="21"/>
                <w:szCs w:val="21"/>
              </w:rPr>
              <w:t>绿地与广场用地</w:t>
            </w:r>
          </w:p>
        </w:tc>
        <w:tc>
          <w:tcPr>
            <w:tcW w:w="683" w:type="pct"/>
            <w:tcBorders>
              <w:tl2br w:val="nil"/>
              <w:tr2bl w:val="nil"/>
            </w:tcBorders>
            <w:shd w:val="clear" w:color="auto" w:fill="auto"/>
            <w:vAlign w:val="center"/>
          </w:tcPr>
          <w:p w14:paraId="686BE27D">
            <w:pPr>
              <w:widowControl/>
              <w:spacing w:line="240" w:lineRule="auto"/>
              <w:ind w:firstLine="0" w:firstLineChars="0"/>
              <w:jc w:val="center"/>
              <w:textAlignment w:val="center"/>
              <w:rPr>
                <w:color w:val="auto"/>
                <w:sz w:val="21"/>
                <w:szCs w:val="21"/>
              </w:rPr>
            </w:pPr>
            <w:r>
              <w:rPr>
                <w:color w:val="auto"/>
                <w:sz w:val="21"/>
                <w:szCs w:val="21"/>
              </w:rPr>
              <w:t>G</w:t>
            </w:r>
          </w:p>
        </w:tc>
        <w:tc>
          <w:tcPr>
            <w:tcW w:w="620" w:type="pct"/>
            <w:tcBorders>
              <w:tl2br w:val="nil"/>
              <w:tr2bl w:val="nil"/>
            </w:tcBorders>
            <w:shd w:val="clear" w:color="auto" w:fill="auto"/>
            <w:vAlign w:val="center"/>
          </w:tcPr>
          <w:p w14:paraId="36A5E43C">
            <w:pPr>
              <w:widowControl/>
              <w:spacing w:line="240" w:lineRule="auto"/>
              <w:ind w:firstLine="0" w:firstLineChars="0"/>
              <w:jc w:val="center"/>
              <w:textAlignment w:val="center"/>
              <w:rPr>
                <w:color w:val="auto"/>
                <w:sz w:val="21"/>
                <w:szCs w:val="21"/>
              </w:rPr>
            </w:pPr>
            <w:r>
              <w:rPr>
                <w:color w:val="auto"/>
                <w:sz w:val="21"/>
                <w:szCs w:val="21"/>
              </w:rPr>
              <w:t>71.61</w:t>
            </w:r>
          </w:p>
        </w:tc>
        <w:tc>
          <w:tcPr>
            <w:tcW w:w="721" w:type="pct"/>
            <w:tcBorders>
              <w:tl2br w:val="nil"/>
              <w:tr2bl w:val="nil"/>
            </w:tcBorders>
            <w:shd w:val="clear" w:color="auto" w:fill="auto"/>
            <w:vAlign w:val="center"/>
          </w:tcPr>
          <w:p w14:paraId="5ED2584C">
            <w:pPr>
              <w:widowControl/>
              <w:spacing w:line="240" w:lineRule="auto"/>
              <w:ind w:firstLine="0" w:firstLineChars="0"/>
              <w:jc w:val="center"/>
              <w:textAlignment w:val="center"/>
              <w:rPr>
                <w:color w:val="auto"/>
                <w:sz w:val="21"/>
                <w:szCs w:val="21"/>
              </w:rPr>
            </w:pPr>
            <w:r>
              <w:rPr>
                <w:color w:val="auto"/>
                <w:sz w:val="21"/>
                <w:szCs w:val="21"/>
              </w:rPr>
              <w:t>17.74%</w:t>
            </w:r>
          </w:p>
        </w:tc>
        <w:tc>
          <w:tcPr>
            <w:tcW w:w="721" w:type="pct"/>
            <w:tcBorders>
              <w:tl2br w:val="nil"/>
              <w:tr2bl w:val="nil"/>
            </w:tcBorders>
            <w:shd w:val="clear" w:color="auto" w:fill="auto"/>
            <w:vAlign w:val="center"/>
          </w:tcPr>
          <w:p w14:paraId="260C7E49">
            <w:pPr>
              <w:widowControl/>
              <w:spacing w:line="240" w:lineRule="auto"/>
              <w:ind w:firstLine="0" w:firstLineChars="0"/>
              <w:jc w:val="center"/>
              <w:textAlignment w:val="center"/>
              <w:rPr>
                <w:color w:val="auto"/>
                <w:sz w:val="21"/>
                <w:szCs w:val="21"/>
              </w:rPr>
            </w:pPr>
          </w:p>
        </w:tc>
      </w:tr>
      <w:tr w14:paraId="15831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6EAC60EB">
            <w:pPr>
              <w:widowControl/>
              <w:spacing w:line="240" w:lineRule="auto"/>
              <w:ind w:firstLine="0" w:firstLineChars="0"/>
              <w:jc w:val="center"/>
              <w:textAlignment w:val="center"/>
              <w:rPr>
                <w:color w:val="auto"/>
                <w:sz w:val="21"/>
                <w:szCs w:val="21"/>
              </w:rPr>
            </w:pPr>
            <w:r>
              <w:rPr>
                <w:color w:val="auto"/>
                <w:sz w:val="21"/>
                <w:szCs w:val="21"/>
              </w:rPr>
              <w:t>8</w:t>
            </w:r>
          </w:p>
        </w:tc>
        <w:tc>
          <w:tcPr>
            <w:tcW w:w="1690" w:type="pct"/>
            <w:tcBorders>
              <w:tl2br w:val="nil"/>
              <w:tr2bl w:val="nil"/>
            </w:tcBorders>
            <w:shd w:val="clear" w:color="auto" w:fill="auto"/>
            <w:vAlign w:val="center"/>
          </w:tcPr>
          <w:p w14:paraId="4A988FC2">
            <w:pPr>
              <w:widowControl/>
              <w:spacing w:line="240" w:lineRule="auto"/>
              <w:ind w:firstLine="0" w:firstLineChars="0"/>
              <w:jc w:val="center"/>
              <w:textAlignment w:val="center"/>
              <w:rPr>
                <w:color w:val="auto"/>
                <w:sz w:val="21"/>
                <w:szCs w:val="21"/>
              </w:rPr>
            </w:pPr>
            <w:r>
              <w:rPr>
                <w:color w:val="auto"/>
                <w:sz w:val="21"/>
                <w:szCs w:val="21"/>
              </w:rPr>
              <w:t>总建设用地</w:t>
            </w:r>
          </w:p>
        </w:tc>
        <w:tc>
          <w:tcPr>
            <w:tcW w:w="683" w:type="pct"/>
            <w:tcBorders>
              <w:tl2br w:val="nil"/>
              <w:tr2bl w:val="nil"/>
            </w:tcBorders>
            <w:shd w:val="clear" w:color="auto" w:fill="auto"/>
            <w:vAlign w:val="center"/>
          </w:tcPr>
          <w:p w14:paraId="1F969D64">
            <w:pPr>
              <w:widowControl/>
              <w:spacing w:line="240" w:lineRule="auto"/>
              <w:ind w:firstLine="0" w:firstLineChars="0"/>
              <w:jc w:val="center"/>
              <w:textAlignment w:val="center"/>
              <w:rPr>
                <w:color w:val="auto"/>
                <w:sz w:val="21"/>
                <w:szCs w:val="21"/>
              </w:rPr>
            </w:pPr>
          </w:p>
        </w:tc>
        <w:tc>
          <w:tcPr>
            <w:tcW w:w="620" w:type="pct"/>
            <w:tcBorders>
              <w:tl2br w:val="nil"/>
              <w:tr2bl w:val="nil"/>
            </w:tcBorders>
            <w:shd w:val="clear" w:color="auto" w:fill="auto"/>
            <w:vAlign w:val="center"/>
          </w:tcPr>
          <w:p w14:paraId="09828886">
            <w:pPr>
              <w:widowControl/>
              <w:spacing w:line="240" w:lineRule="auto"/>
              <w:ind w:firstLine="0" w:firstLineChars="0"/>
              <w:jc w:val="center"/>
              <w:textAlignment w:val="center"/>
              <w:rPr>
                <w:color w:val="auto"/>
                <w:sz w:val="21"/>
                <w:szCs w:val="21"/>
              </w:rPr>
            </w:pPr>
            <w:r>
              <w:rPr>
                <w:color w:val="auto"/>
                <w:sz w:val="21"/>
                <w:szCs w:val="21"/>
              </w:rPr>
              <w:t>403.7</w:t>
            </w:r>
          </w:p>
        </w:tc>
        <w:tc>
          <w:tcPr>
            <w:tcW w:w="721" w:type="pct"/>
            <w:tcBorders>
              <w:tl2br w:val="nil"/>
              <w:tr2bl w:val="nil"/>
            </w:tcBorders>
            <w:shd w:val="clear" w:color="auto" w:fill="auto"/>
            <w:vAlign w:val="center"/>
          </w:tcPr>
          <w:p w14:paraId="315C1D31">
            <w:pPr>
              <w:widowControl/>
              <w:spacing w:line="240" w:lineRule="auto"/>
              <w:ind w:firstLine="0" w:firstLineChars="0"/>
              <w:jc w:val="center"/>
              <w:textAlignment w:val="center"/>
              <w:rPr>
                <w:color w:val="auto"/>
                <w:sz w:val="21"/>
                <w:szCs w:val="21"/>
              </w:rPr>
            </w:pPr>
            <w:r>
              <w:rPr>
                <w:color w:val="auto"/>
                <w:sz w:val="21"/>
                <w:szCs w:val="21"/>
              </w:rPr>
              <w:t>100.00%</w:t>
            </w:r>
          </w:p>
        </w:tc>
        <w:tc>
          <w:tcPr>
            <w:tcW w:w="721" w:type="pct"/>
            <w:tcBorders>
              <w:tl2br w:val="nil"/>
              <w:tr2bl w:val="nil"/>
            </w:tcBorders>
            <w:shd w:val="clear" w:color="auto" w:fill="auto"/>
            <w:vAlign w:val="center"/>
          </w:tcPr>
          <w:p w14:paraId="0B9B25FB">
            <w:pPr>
              <w:widowControl/>
              <w:spacing w:line="240" w:lineRule="auto"/>
              <w:ind w:firstLine="0" w:firstLineChars="0"/>
              <w:jc w:val="center"/>
              <w:textAlignment w:val="center"/>
              <w:rPr>
                <w:color w:val="auto"/>
                <w:sz w:val="21"/>
                <w:szCs w:val="21"/>
              </w:rPr>
            </w:pPr>
          </w:p>
        </w:tc>
      </w:tr>
      <w:tr w14:paraId="3DA9E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vAlign w:val="center"/>
          </w:tcPr>
          <w:p w14:paraId="0FB67DE9">
            <w:pPr>
              <w:widowControl/>
              <w:spacing w:line="240" w:lineRule="auto"/>
              <w:ind w:firstLine="0" w:firstLineChars="0"/>
              <w:jc w:val="center"/>
              <w:textAlignment w:val="center"/>
              <w:rPr>
                <w:color w:val="auto"/>
                <w:sz w:val="21"/>
                <w:szCs w:val="21"/>
              </w:rPr>
            </w:pPr>
            <w:r>
              <w:rPr>
                <w:color w:val="auto"/>
                <w:sz w:val="21"/>
                <w:szCs w:val="21"/>
              </w:rPr>
              <w:t>9</w:t>
            </w:r>
          </w:p>
        </w:tc>
        <w:tc>
          <w:tcPr>
            <w:tcW w:w="1690" w:type="pct"/>
            <w:tcBorders>
              <w:tl2br w:val="nil"/>
              <w:tr2bl w:val="nil"/>
            </w:tcBorders>
            <w:shd w:val="clear" w:color="auto" w:fill="auto"/>
            <w:vAlign w:val="center"/>
          </w:tcPr>
          <w:p w14:paraId="165FE2D5">
            <w:pPr>
              <w:widowControl/>
              <w:spacing w:line="240" w:lineRule="auto"/>
              <w:ind w:firstLine="0" w:firstLineChars="0"/>
              <w:jc w:val="center"/>
              <w:textAlignment w:val="center"/>
              <w:rPr>
                <w:color w:val="auto"/>
                <w:sz w:val="21"/>
                <w:szCs w:val="21"/>
              </w:rPr>
            </w:pPr>
            <w:r>
              <w:rPr>
                <w:color w:val="auto"/>
                <w:sz w:val="21"/>
                <w:szCs w:val="21"/>
              </w:rPr>
              <w:t>非建设用地</w:t>
            </w:r>
          </w:p>
        </w:tc>
        <w:tc>
          <w:tcPr>
            <w:tcW w:w="683" w:type="pct"/>
            <w:tcBorders>
              <w:tl2br w:val="nil"/>
              <w:tr2bl w:val="nil"/>
            </w:tcBorders>
            <w:shd w:val="clear" w:color="auto" w:fill="auto"/>
            <w:vAlign w:val="center"/>
          </w:tcPr>
          <w:p w14:paraId="365D4071">
            <w:pPr>
              <w:widowControl/>
              <w:spacing w:line="240" w:lineRule="auto"/>
              <w:ind w:firstLine="0" w:firstLineChars="0"/>
              <w:jc w:val="center"/>
              <w:textAlignment w:val="center"/>
              <w:rPr>
                <w:color w:val="auto"/>
                <w:sz w:val="21"/>
                <w:szCs w:val="21"/>
              </w:rPr>
            </w:pPr>
            <w:r>
              <w:rPr>
                <w:color w:val="auto"/>
                <w:sz w:val="21"/>
                <w:szCs w:val="21"/>
              </w:rPr>
              <w:t>E</w:t>
            </w:r>
          </w:p>
        </w:tc>
        <w:tc>
          <w:tcPr>
            <w:tcW w:w="620" w:type="pct"/>
            <w:tcBorders>
              <w:tl2br w:val="nil"/>
              <w:tr2bl w:val="nil"/>
            </w:tcBorders>
            <w:shd w:val="clear" w:color="auto" w:fill="auto"/>
            <w:vAlign w:val="center"/>
          </w:tcPr>
          <w:p w14:paraId="68EB6ADE">
            <w:pPr>
              <w:widowControl/>
              <w:spacing w:line="240" w:lineRule="auto"/>
              <w:ind w:firstLine="0" w:firstLineChars="0"/>
              <w:jc w:val="center"/>
              <w:textAlignment w:val="center"/>
              <w:rPr>
                <w:color w:val="auto"/>
                <w:sz w:val="21"/>
                <w:szCs w:val="21"/>
              </w:rPr>
            </w:pPr>
            <w:r>
              <w:rPr>
                <w:color w:val="auto"/>
                <w:sz w:val="21"/>
                <w:szCs w:val="21"/>
              </w:rPr>
              <w:t>17.36</w:t>
            </w:r>
          </w:p>
        </w:tc>
        <w:tc>
          <w:tcPr>
            <w:tcW w:w="721" w:type="pct"/>
            <w:tcBorders>
              <w:tl2br w:val="nil"/>
              <w:tr2bl w:val="nil"/>
            </w:tcBorders>
            <w:shd w:val="clear" w:color="auto" w:fill="auto"/>
            <w:vAlign w:val="center"/>
          </w:tcPr>
          <w:p w14:paraId="0F160EB7">
            <w:pPr>
              <w:widowControl/>
              <w:spacing w:line="240" w:lineRule="auto"/>
              <w:ind w:firstLine="0" w:firstLineChars="0"/>
              <w:jc w:val="center"/>
              <w:textAlignment w:val="center"/>
              <w:rPr>
                <w:color w:val="auto"/>
                <w:sz w:val="21"/>
                <w:szCs w:val="21"/>
              </w:rPr>
            </w:pPr>
          </w:p>
        </w:tc>
        <w:tc>
          <w:tcPr>
            <w:tcW w:w="721" w:type="pct"/>
            <w:tcBorders>
              <w:tl2br w:val="nil"/>
              <w:tr2bl w:val="nil"/>
            </w:tcBorders>
            <w:shd w:val="clear" w:color="auto" w:fill="auto"/>
            <w:vAlign w:val="center"/>
          </w:tcPr>
          <w:p w14:paraId="7EB67BA9">
            <w:pPr>
              <w:widowControl/>
              <w:spacing w:line="240" w:lineRule="auto"/>
              <w:ind w:firstLine="0" w:firstLineChars="0"/>
              <w:jc w:val="center"/>
              <w:textAlignment w:val="center"/>
              <w:rPr>
                <w:color w:val="auto"/>
                <w:sz w:val="21"/>
                <w:szCs w:val="21"/>
              </w:rPr>
            </w:pPr>
          </w:p>
        </w:tc>
      </w:tr>
      <w:tr w14:paraId="31FB97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pct"/>
            <w:tcBorders>
              <w:tl2br w:val="nil"/>
              <w:tr2bl w:val="nil"/>
            </w:tcBorders>
            <w:shd w:val="clear" w:color="auto" w:fill="auto"/>
            <w:noWrap/>
            <w:vAlign w:val="center"/>
          </w:tcPr>
          <w:p w14:paraId="7332149E">
            <w:pPr>
              <w:widowControl/>
              <w:spacing w:line="240" w:lineRule="auto"/>
              <w:ind w:firstLine="0" w:firstLineChars="0"/>
              <w:jc w:val="center"/>
              <w:textAlignment w:val="center"/>
              <w:rPr>
                <w:color w:val="auto"/>
                <w:sz w:val="21"/>
                <w:szCs w:val="21"/>
              </w:rPr>
            </w:pPr>
            <w:r>
              <w:rPr>
                <w:color w:val="auto"/>
                <w:sz w:val="21"/>
                <w:szCs w:val="21"/>
              </w:rPr>
              <w:t>合计</w:t>
            </w:r>
          </w:p>
        </w:tc>
        <w:tc>
          <w:tcPr>
            <w:tcW w:w="2373" w:type="pct"/>
            <w:gridSpan w:val="2"/>
            <w:tcBorders>
              <w:tl2br w:val="nil"/>
              <w:tr2bl w:val="nil"/>
            </w:tcBorders>
            <w:shd w:val="clear" w:color="auto" w:fill="auto"/>
            <w:noWrap/>
            <w:vAlign w:val="center"/>
          </w:tcPr>
          <w:p w14:paraId="0A17A6F4">
            <w:pPr>
              <w:widowControl/>
              <w:spacing w:line="240" w:lineRule="auto"/>
              <w:ind w:firstLine="0" w:firstLineChars="0"/>
              <w:jc w:val="center"/>
              <w:textAlignment w:val="center"/>
              <w:rPr>
                <w:color w:val="auto"/>
                <w:sz w:val="21"/>
                <w:szCs w:val="21"/>
              </w:rPr>
            </w:pPr>
            <w:r>
              <w:rPr>
                <w:color w:val="auto"/>
                <w:sz w:val="21"/>
                <w:szCs w:val="21"/>
              </w:rPr>
              <w:t>规划范围总面积</w:t>
            </w:r>
          </w:p>
        </w:tc>
        <w:tc>
          <w:tcPr>
            <w:tcW w:w="620" w:type="pct"/>
            <w:tcBorders>
              <w:tl2br w:val="nil"/>
              <w:tr2bl w:val="nil"/>
            </w:tcBorders>
            <w:shd w:val="clear" w:color="auto" w:fill="auto"/>
            <w:noWrap/>
            <w:vAlign w:val="center"/>
          </w:tcPr>
          <w:p w14:paraId="4C236F22">
            <w:pPr>
              <w:widowControl/>
              <w:spacing w:line="240" w:lineRule="auto"/>
              <w:ind w:firstLine="0" w:firstLineChars="0"/>
              <w:jc w:val="center"/>
              <w:textAlignment w:val="center"/>
              <w:rPr>
                <w:color w:val="auto"/>
                <w:sz w:val="21"/>
                <w:szCs w:val="21"/>
              </w:rPr>
            </w:pPr>
            <w:r>
              <w:rPr>
                <w:color w:val="auto"/>
                <w:sz w:val="21"/>
                <w:szCs w:val="21"/>
              </w:rPr>
              <w:t>421.06</w:t>
            </w:r>
          </w:p>
        </w:tc>
        <w:tc>
          <w:tcPr>
            <w:tcW w:w="721" w:type="pct"/>
            <w:tcBorders>
              <w:tl2br w:val="nil"/>
              <w:tr2bl w:val="nil"/>
            </w:tcBorders>
            <w:shd w:val="clear" w:color="auto" w:fill="auto"/>
            <w:vAlign w:val="center"/>
          </w:tcPr>
          <w:p w14:paraId="38584BBD">
            <w:pPr>
              <w:widowControl/>
              <w:spacing w:line="240" w:lineRule="auto"/>
              <w:ind w:firstLine="0" w:firstLineChars="0"/>
              <w:jc w:val="center"/>
              <w:textAlignment w:val="center"/>
              <w:rPr>
                <w:color w:val="auto"/>
                <w:sz w:val="21"/>
                <w:szCs w:val="21"/>
              </w:rPr>
            </w:pPr>
          </w:p>
        </w:tc>
        <w:tc>
          <w:tcPr>
            <w:tcW w:w="721" w:type="pct"/>
            <w:tcBorders>
              <w:tl2br w:val="nil"/>
              <w:tr2bl w:val="nil"/>
            </w:tcBorders>
            <w:shd w:val="clear" w:color="auto" w:fill="auto"/>
            <w:vAlign w:val="center"/>
          </w:tcPr>
          <w:p w14:paraId="2B0D8256">
            <w:pPr>
              <w:widowControl/>
              <w:spacing w:line="240" w:lineRule="auto"/>
              <w:ind w:firstLine="0" w:firstLineChars="0"/>
              <w:jc w:val="center"/>
              <w:textAlignment w:val="center"/>
              <w:rPr>
                <w:color w:val="auto"/>
                <w:sz w:val="21"/>
                <w:szCs w:val="21"/>
              </w:rPr>
            </w:pPr>
          </w:p>
        </w:tc>
      </w:tr>
    </w:tbl>
    <w:p w14:paraId="02E26F50">
      <w:pPr>
        <w:topLinePunct/>
        <w:ind w:firstLine="0" w:firstLineChars="0"/>
        <w:jc w:val="left"/>
        <w:rPr>
          <w:b/>
          <w:bCs/>
          <w:color w:val="auto"/>
          <w:kern w:val="0"/>
          <w:lang w:bidi="en-US"/>
        </w:rPr>
      </w:pPr>
      <w:r>
        <w:rPr>
          <w:b/>
          <w:bCs/>
          <w:color w:val="auto"/>
          <w:kern w:val="0"/>
          <w:lang w:bidi="en-US"/>
        </w:rPr>
        <w:t>表4.1-</w:t>
      </w:r>
      <w:r>
        <w:rPr>
          <w:rFonts w:hint="eastAsia"/>
          <w:b/>
          <w:bCs/>
          <w:color w:val="auto"/>
          <w:kern w:val="0"/>
          <w:lang w:bidi="en-US"/>
        </w:rPr>
        <w:t>3</w:t>
      </w:r>
      <w:r>
        <w:rPr>
          <w:b/>
          <w:bCs/>
          <w:color w:val="auto"/>
          <w:kern w:val="0"/>
          <w:lang w:bidi="en-US"/>
        </w:rPr>
        <w:t xml:space="preserve">                 九龙工业园区B区用地情况</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28"/>
        <w:gridCol w:w="3057"/>
        <w:gridCol w:w="917"/>
        <w:gridCol w:w="1291"/>
        <w:gridCol w:w="1360"/>
        <w:gridCol w:w="1360"/>
      </w:tblGrid>
      <w:tr w14:paraId="7013E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19" w:type="pct"/>
            <w:tcBorders>
              <w:tl2br w:val="nil"/>
              <w:tr2bl w:val="nil"/>
            </w:tcBorders>
            <w:shd w:val="clear" w:color="auto" w:fill="auto"/>
            <w:noWrap/>
            <w:vAlign w:val="center"/>
          </w:tcPr>
          <w:p w14:paraId="0197A9B3">
            <w:pPr>
              <w:widowControl/>
              <w:spacing w:line="240" w:lineRule="auto"/>
              <w:ind w:firstLine="0" w:firstLineChars="0"/>
              <w:jc w:val="center"/>
              <w:textAlignment w:val="center"/>
              <w:rPr>
                <w:color w:val="auto"/>
                <w:sz w:val="21"/>
                <w:szCs w:val="21"/>
              </w:rPr>
            </w:pPr>
            <w:r>
              <w:rPr>
                <w:color w:val="auto"/>
                <w:sz w:val="21"/>
                <w:szCs w:val="21"/>
              </w:rPr>
              <w:t>序号</w:t>
            </w:r>
          </w:p>
        </w:tc>
        <w:tc>
          <w:tcPr>
            <w:tcW w:w="1677" w:type="pct"/>
            <w:tcBorders>
              <w:tl2br w:val="nil"/>
              <w:tr2bl w:val="nil"/>
            </w:tcBorders>
            <w:shd w:val="clear" w:color="auto" w:fill="auto"/>
            <w:vAlign w:val="center"/>
          </w:tcPr>
          <w:p w14:paraId="7FEFCA11">
            <w:pPr>
              <w:widowControl/>
              <w:spacing w:line="240" w:lineRule="auto"/>
              <w:ind w:firstLine="0" w:firstLineChars="0"/>
              <w:jc w:val="center"/>
              <w:textAlignment w:val="center"/>
              <w:rPr>
                <w:color w:val="auto"/>
                <w:sz w:val="21"/>
                <w:szCs w:val="21"/>
              </w:rPr>
            </w:pPr>
            <w:r>
              <w:rPr>
                <w:color w:val="auto"/>
                <w:sz w:val="21"/>
                <w:szCs w:val="21"/>
              </w:rPr>
              <w:t>用地名称</w:t>
            </w:r>
          </w:p>
        </w:tc>
        <w:tc>
          <w:tcPr>
            <w:tcW w:w="503" w:type="pct"/>
            <w:tcBorders>
              <w:tl2br w:val="nil"/>
              <w:tr2bl w:val="nil"/>
            </w:tcBorders>
            <w:shd w:val="clear" w:color="auto" w:fill="auto"/>
            <w:vAlign w:val="center"/>
          </w:tcPr>
          <w:p w14:paraId="73F73EB1">
            <w:pPr>
              <w:widowControl/>
              <w:spacing w:line="240" w:lineRule="auto"/>
              <w:ind w:firstLine="0" w:firstLineChars="0"/>
              <w:jc w:val="center"/>
              <w:textAlignment w:val="center"/>
              <w:rPr>
                <w:color w:val="auto"/>
                <w:sz w:val="21"/>
                <w:szCs w:val="21"/>
              </w:rPr>
            </w:pPr>
            <w:r>
              <w:rPr>
                <w:color w:val="auto"/>
                <w:sz w:val="21"/>
                <w:szCs w:val="21"/>
              </w:rPr>
              <w:t>用地</w:t>
            </w:r>
          </w:p>
          <w:p w14:paraId="470A891E">
            <w:pPr>
              <w:widowControl/>
              <w:spacing w:line="240" w:lineRule="auto"/>
              <w:ind w:firstLine="0" w:firstLineChars="0"/>
              <w:jc w:val="center"/>
              <w:textAlignment w:val="center"/>
              <w:rPr>
                <w:color w:val="auto"/>
                <w:sz w:val="21"/>
                <w:szCs w:val="21"/>
              </w:rPr>
            </w:pPr>
            <w:r>
              <w:rPr>
                <w:color w:val="auto"/>
                <w:sz w:val="21"/>
                <w:szCs w:val="21"/>
              </w:rPr>
              <w:t>代码</w:t>
            </w:r>
          </w:p>
        </w:tc>
        <w:tc>
          <w:tcPr>
            <w:tcW w:w="708" w:type="pct"/>
            <w:tcBorders>
              <w:tl2br w:val="nil"/>
              <w:tr2bl w:val="nil"/>
            </w:tcBorders>
            <w:shd w:val="clear" w:color="auto" w:fill="auto"/>
            <w:vAlign w:val="center"/>
          </w:tcPr>
          <w:p w14:paraId="0A46A70D">
            <w:pPr>
              <w:widowControl/>
              <w:spacing w:line="240" w:lineRule="auto"/>
              <w:ind w:firstLine="0" w:firstLineChars="0"/>
              <w:jc w:val="center"/>
              <w:textAlignment w:val="center"/>
              <w:rPr>
                <w:color w:val="auto"/>
                <w:sz w:val="21"/>
                <w:szCs w:val="21"/>
              </w:rPr>
            </w:pPr>
            <w:r>
              <w:rPr>
                <w:color w:val="auto"/>
                <w:sz w:val="21"/>
                <w:szCs w:val="21"/>
              </w:rPr>
              <w:t>面积（公顷）</w:t>
            </w:r>
          </w:p>
        </w:tc>
        <w:tc>
          <w:tcPr>
            <w:tcW w:w="746" w:type="pct"/>
            <w:tcBorders>
              <w:tl2br w:val="nil"/>
              <w:tr2bl w:val="nil"/>
            </w:tcBorders>
            <w:shd w:val="clear" w:color="auto" w:fill="auto"/>
            <w:vAlign w:val="center"/>
          </w:tcPr>
          <w:p w14:paraId="21DFE4A9">
            <w:pPr>
              <w:widowControl/>
              <w:spacing w:line="240" w:lineRule="auto"/>
              <w:ind w:firstLine="0" w:firstLineChars="0"/>
              <w:jc w:val="center"/>
              <w:textAlignment w:val="center"/>
              <w:rPr>
                <w:color w:val="auto"/>
                <w:sz w:val="21"/>
                <w:szCs w:val="21"/>
              </w:rPr>
            </w:pPr>
            <w:r>
              <w:rPr>
                <w:color w:val="auto"/>
                <w:sz w:val="21"/>
                <w:szCs w:val="21"/>
              </w:rPr>
              <w:t>占城市建设用地（%）</w:t>
            </w:r>
          </w:p>
        </w:tc>
        <w:tc>
          <w:tcPr>
            <w:tcW w:w="746" w:type="pct"/>
            <w:tcBorders>
              <w:tl2br w:val="nil"/>
              <w:tr2bl w:val="nil"/>
            </w:tcBorders>
            <w:shd w:val="clear" w:color="auto" w:fill="auto"/>
            <w:vAlign w:val="center"/>
          </w:tcPr>
          <w:p w14:paraId="1EFB39E2">
            <w:pPr>
              <w:widowControl/>
              <w:spacing w:line="240" w:lineRule="auto"/>
              <w:ind w:firstLine="0" w:firstLineChars="0"/>
              <w:jc w:val="center"/>
              <w:textAlignment w:val="center"/>
              <w:rPr>
                <w:color w:val="auto"/>
                <w:sz w:val="21"/>
                <w:szCs w:val="21"/>
              </w:rPr>
            </w:pPr>
            <w:r>
              <w:rPr>
                <w:color w:val="auto"/>
                <w:sz w:val="21"/>
                <w:szCs w:val="21"/>
              </w:rPr>
              <w:t>备注</w:t>
            </w:r>
          </w:p>
        </w:tc>
      </w:tr>
      <w:tr w14:paraId="010466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41167592">
            <w:pPr>
              <w:widowControl/>
              <w:spacing w:line="240" w:lineRule="auto"/>
              <w:ind w:firstLine="0" w:firstLineChars="0"/>
              <w:jc w:val="center"/>
              <w:textAlignment w:val="center"/>
              <w:rPr>
                <w:color w:val="auto"/>
                <w:sz w:val="21"/>
                <w:szCs w:val="21"/>
              </w:rPr>
            </w:pPr>
            <w:r>
              <w:rPr>
                <w:color w:val="auto"/>
                <w:sz w:val="21"/>
                <w:szCs w:val="21"/>
              </w:rPr>
              <w:t>1</w:t>
            </w:r>
          </w:p>
        </w:tc>
        <w:tc>
          <w:tcPr>
            <w:tcW w:w="1677" w:type="pct"/>
            <w:tcBorders>
              <w:tl2br w:val="nil"/>
              <w:tr2bl w:val="nil"/>
            </w:tcBorders>
            <w:shd w:val="clear" w:color="auto" w:fill="auto"/>
            <w:vAlign w:val="center"/>
          </w:tcPr>
          <w:p w14:paraId="1AB1A7B9">
            <w:pPr>
              <w:widowControl/>
              <w:spacing w:line="240" w:lineRule="auto"/>
              <w:ind w:firstLine="0" w:firstLineChars="0"/>
              <w:jc w:val="center"/>
              <w:textAlignment w:val="center"/>
              <w:rPr>
                <w:color w:val="auto"/>
                <w:sz w:val="21"/>
                <w:szCs w:val="21"/>
              </w:rPr>
            </w:pPr>
            <w:r>
              <w:rPr>
                <w:color w:val="auto"/>
                <w:sz w:val="21"/>
                <w:szCs w:val="21"/>
              </w:rPr>
              <w:t>居住用地</w:t>
            </w:r>
          </w:p>
        </w:tc>
        <w:tc>
          <w:tcPr>
            <w:tcW w:w="503" w:type="pct"/>
            <w:tcBorders>
              <w:tl2br w:val="nil"/>
              <w:tr2bl w:val="nil"/>
            </w:tcBorders>
            <w:shd w:val="clear" w:color="auto" w:fill="auto"/>
            <w:vAlign w:val="center"/>
          </w:tcPr>
          <w:p w14:paraId="5A00EC06">
            <w:pPr>
              <w:widowControl/>
              <w:spacing w:line="240" w:lineRule="auto"/>
              <w:ind w:firstLine="0" w:firstLineChars="0"/>
              <w:jc w:val="center"/>
              <w:textAlignment w:val="center"/>
              <w:rPr>
                <w:color w:val="auto"/>
                <w:sz w:val="21"/>
                <w:szCs w:val="21"/>
              </w:rPr>
            </w:pPr>
            <w:r>
              <w:rPr>
                <w:color w:val="auto"/>
                <w:sz w:val="21"/>
                <w:szCs w:val="21"/>
              </w:rPr>
              <w:t>R</w:t>
            </w:r>
          </w:p>
        </w:tc>
        <w:tc>
          <w:tcPr>
            <w:tcW w:w="708" w:type="pct"/>
            <w:tcBorders>
              <w:tl2br w:val="nil"/>
              <w:tr2bl w:val="nil"/>
            </w:tcBorders>
            <w:shd w:val="clear" w:color="auto" w:fill="auto"/>
            <w:vAlign w:val="center"/>
          </w:tcPr>
          <w:p w14:paraId="1CA54080">
            <w:pPr>
              <w:widowControl/>
              <w:spacing w:line="240" w:lineRule="auto"/>
              <w:ind w:firstLine="0" w:firstLineChars="0"/>
              <w:jc w:val="center"/>
              <w:textAlignment w:val="center"/>
              <w:rPr>
                <w:color w:val="auto"/>
                <w:sz w:val="21"/>
                <w:szCs w:val="21"/>
              </w:rPr>
            </w:pPr>
            <w:r>
              <w:rPr>
                <w:color w:val="auto"/>
                <w:sz w:val="21"/>
                <w:szCs w:val="21"/>
              </w:rPr>
              <w:t>90.14</w:t>
            </w:r>
          </w:p>
        </w:tc>
        <w:tc>
          <w:tcPr>
            <w:tcW w:w="746" w:type="pct"/>
            <w:tcBorders>
              <w:tl2br w:val="nil"/>
              <w:tr2bl w:val="nil"/>
            </w:tcBorders>
            <w:shd w:val="clear" w:color="auto" w:fill="auto"/>
            <w:vAlign w:val="center"/>
          </w:tcPr>
          <w:p w14:paraId="465FDF76">
            <w:pPr>
              <w:widowControl/>
              <w:spacing w:line="240" w:lineRule="auto"/>
              <w:ind w:firstLine="0" w:firstLineChars="0"/>
              <w:jc w:val="center"/>
              <w:textAlignment w:val="center"/>
              <w:rPr>
                <w:color w:val="auto"/>
                <w:sz w:val="21"/>
                <w:szCs w:val="21"/>
              </w:rPr>
            </w:pPr>
            <w:r>
              <w:rPr>
                <w:color w:val="auto"/>
                <w:sz w:val="21"/>
                <w:szCs w:val="21"/>
              </w:rPr>
              <w:t>10.11%</w:t>
            </w:r>
          </w:p>
        </w:tc>
        <w:tc>
          <w:tcPr>
            <w:tcW w:w="746" w:type="pct"/>
            <w:tcBorders>
              <w:tl2br w:val="nil"/>
              <w:tr2bl w:val="nil"/>
            </w:tcBorders>
            <w:shd w:val="clear" w:color="auto" w:fill="auto"/>
            <w:vAlign w:val="center"/>
          </w:tcPr>
          <w:p w14:paraId="4572CFCC">
            <w:pPr>
              <w:widowControl/>
              <w:spacing w:line="240" w:lineRule="auto"/>
              <w:ind w:firstLine="0" w:firstLineChars="0"/>
              <w:jc w:val="center"/>
              <w:textAlignment w:val="center"/>
              <w:rPr>
                <w:color w:val="auto"/>
                <w:sz w:val="21"/>
                <w:szCs w:val="21"/>
              </w:rPr>
            </w:pPr>
          </w:p>
        </w:tc>
      </w:tr>
      <w:tr w14:paraId="47D8F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4B81FF6B">
            <w:pPr>
              <w:widowControl/>
              <w:spacing w:line="240" w:lineRule="auto"/>
              <w:ind w:firstLine="0" w:firstLineChars="0"/>
              <w:jc w:val="center"/>
              <w:textAlignment w:val="center"/>
              <w:rPr>
                <w:color w:val="auto"/>
                <w:sz w:val="21"/>
                <w:szCs w:val="21"/>
              </w:rPr>
            </w:pPr>
            <w:r>
              <w:rPr>
                <w:color w:val="auto"/>
                <w:sz w:val="21"/>
                <w:szCs w:val="21"/>
              </w:rPr>
              <w:t>2</w:t>
            </w:r>
          </w:p>
        </w:tc>
        <w:tc>
          <w:tcPr>
            <w:tcW w:w="1677" w:type="pct"/>
            <w:tcBorders>
              <w:tl2br w:val="nil"/>
              <w:tr2bl w:val="nil"/>
            </w:tcBorders>
            <w:shd w:val="clear" w:color="auto" w:fill="auto"/>
            <w:noWrap/>
            <w:vAlign w:val="center"/>
          </w:tcPr>
          <w:p w14:paraId="4BB9DB21">
            <w:pPr>
              <w:widowControl/>
              <w:spacing w:line="240" w:lineRule="auto"/>
              <w:ind w:firstLine="0" w:firstLineChars="0"/>
              <w:jc w:val="center"/>
              <w:textAlignment w:val="center"/>
              <w:rPr>
                <w:color w:val="auto"/>
                <w:sz w:val="21"/>
                <w:szCs w:val="21"/>
              </w:rPr>
            </w:pPr>
            <w:r>
              <w:rPr>
                <w:color w:val="auto"/>
                <w:sz w:val="21"/>
                <w:szCs w:val="21"/>
              </w:rPr>
              <w:t>工业用地</w:t>
            </w:r>
          </w:p>
        </w:tc>
        <w:tc>
          <w:tcPr>
            <w:tcW w:w="503" w:type="pct"/>
            <w:tcBorders>
              <w:tl2br w:val="nil"/>
              <w:tr2bl w:val="nil"/>
            </w:tcBorders>
            <w:shd w:val="clear" w:color="auto" w:fill="auto"/>
            <w:noWrap/>
            <w:vAlign w:val="center"/>
          </w:tcPr>
          <w:p w14:paraId="4537F301">
            <w:pPr>
              <w:widowControl/>
              <w:spacing w:line="240" w:lineRule="auto"/>
              <w:ind w:firstLine="0" w:firstLineChars="0"/>
              <w:jc w:val="center"/>
              <w:textAlignment w:val="center"/>
              <w:rPr>
                <w:color w:val="auto"/>
                <w:sz w:val="21"/>
                <w:szCs w:val="21"/>
              </w:rPr>
            </w:pPr>
            <w:r>
              <w:rPr>
                <w:color w:val="auto"/>
                <w:sz w:val="21"/>
                <w:szCs w:val="21"/>
              </w:rPr>
              <w:t>M</w:t>
            </w:r>
          </w:p>
        </w:tc>
        <w:tc>
          <w:tcPr>
            <w:tcW w:w="708" w:type="pct"/>
            <w:tcBorders>
              <w:tl2br w:val="nil"/>
              <w:tr2bl w:val="nil"/>
            </w:tcBorders>
            <w:shd w:val="clear" w:color="auto" w:fill="auto"/>
            <w:vAlign w:val="center"/>
          </w:tcPr>
          <w:p w14:paraId="2FDC9898">
            <w:pPr>
              <w:widowControl/>
              <w:spacing w:line="240" w:lineRule="auto"/>
              <w:ind w:firstLine="0" w:firstLineChars="0"/>
              <w:jc w:val="center"/>
              <w:textAlignment w:val="center"/>
              <w:rPr>
                <w:color w:val="auto"/>
                <w:sz w:val="21"/>
                <w:szCs w:val="21"/>
              </w:rPr>
            </w:pPr>
            <w:r>
              <w:rPr>
                <w:color w:val="auto"/>
                <w:sz w:val="21"/>
                <w:szCs w:val="21"/>
              </w:rPr>
              <w:t>355.31</w:t>
            </w:r>
          </w:p>
        </w:tc>
        <w:tc>
          <w:tcPr>
            <w:tcW w:w="746" w:type="pct"/>
            <w:tcBorders>
              <w:tl2br w:val="nil"/>
              <w:tr2bl w:val="nil"/>
            </w:tcBorders>
            <w:shd w:val="clear" w:color="auto" w:fill="auto"/>
            <w:vAlign w:val="center"/>
          </w:tcPr>
          <w:p w14:paraId="18726D28">
            <w:pPr>
              <w:widowControl/>
              <w:spacing w:line="240" w:lineRule="auto"/>
              <w:ind w:firstLine="0" w:firstLineChars="0"/>
              <w:jc w:val="center"/>
              <w:textAlignment w:val="center"/>
              <w:rPr>
                <w:color w:val="auto"/>
                <w:sz w:val="21"/>
                <w:szCs w:val="21"/>
              </w:rPr>
            </w:pPr>
            <w:r>
              <w:rPr>
                <w:color w:val="auto"/>
                <w:sz w:val="21"/>
                <w:szCs w:val="21"/>
              </w:rPr>
              <w:t>39.84%</w:t>
            </w:r>
          </w:p>
        </w:tc>
        <w:tc>
          <w:tcPr>
            <w:tcW w:w="746" w:type="pct"/>
            <w:tcBorders>
              <w:tl2br w:val="nil"/>
              <w:tr2bl w:val="nil"/>
            </w:tcBorders>
            <w:shd w:val="clear" w:color="auto" w:fill="auto"/>
            <w:vAlign w:val="center"/>
          </w:tcPr>
          <w:p w14:paraId="58BFCF8B">
            <w:pPr>
              <w:widowControl/>
              <w:spacing w:line="240" w:lineRule="auto"/>
              <w:ind w:firstLine="0" w:firstLineChars="0"/>
              <w:textAlignment w:val="center"/>
              <w:rPr>
                <w:color w:val="auto"/>
                <w:sz w:val="21"/>
                <w:szCs w:val="21"/>
              </w:rPr>
            </w:pPr>
            <w:r>
              <w:rPr>
                <w:color w:val="auto"/>
                <w:sz w:val="21"/>
                <w:szCs w:val="21"/>
              </w:rPr>
              <w:t>M1=37.10</w:t>
            </w:r>
          </w:p>
          <w:p w14:paraId="41A84086">
            <w:pPr>
              <w:widowControl/>
              <w:spacing w:line="240" w:lineRule="auto"/>
              <w:ind w:firstLine="0" w:firstLineChars="0"/>
              <w:textAlignment w:val="center"/>
              <w:rPr>
                <w:color w:val="auto"/>
                <w:sz w:val="21"/>
                <w:szCs w:val="21"/>
              </w:rPr>
            </w:pPr>
            <w:r>
              <w:rPr>
                <w:color w:val="auto"/>
                <w:sz w:val="21"/>
                <w:szCs w:val="21"/>
              </w:rPr>
              <w:t>M2=318.21</w:t>
            </w:r>
          </w:p>
        </w:tc>
      </w:tr>
      <w:tr w14:paraId="56D97B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03B6F136">
            <w:pPr>
              <w:widowControl/>
              <w:spacing w:line="240" w:lineRule="auto"/>
              <w:ind w:firstLine="0" w:firstLineChars="0"/>
              <w:jc w:val="center"/>
              <w:textAlignment w:val="center"/>
              <w:rPr>
                <w:color w:val="auto"/>
                <w:sz w:val="21"/>
                <w:szCs w:val="21"/>
              </w:rPr>
            </w:pPr>
            <w:r>
              <w:rPr>
                <w:color w:val="auto"/>
                <w:sz w:val="21"/>
                <w:szCs w:val="21"/>
              </w:rPr>
              <w:t>3</w:t>
            </w:r>
          </w:p>
        </w:tc>
        <w:tc>
          <w:tcPr>
            <w:tcW w:w="1677" w:type="pct"/>
            <w:tcBorders>
              <w:tl2br w:val="nil"/>
              <w:tr2bl w:val="nil"/>
            </w:tcBorders>
            <w:shd w:val="clear" w:color="auto" w:fill="auto"/>
            <w:noWrap/>
            <w:vAlign w:val="center"/>
          </w:tcPr>
          <w:p w14:paraId="476DB214">
            <w:pPr>
              <w:widowControl/>
              <w:spacing w:line="240" w:lineRule="auto"/>
              <w:ind w:firstLine="0" w:firstLineChars="0"/>
              <w:jc w:val="center"/>
              <w:textAlignment w:val="center"/>
              <w:rPr>
                <w:color w:val="auto"/>
                <w:sz w:val="21"/>
                <w:szCs w:val="21"/>
              </w:rPr>
            </w:pPr>
            <w:r>
              <w:rPr>
                <w:color w:val="auto"/>
                <w:sz w:val="21"/>
                <w:szCs w:val="21"/>
              </w:rPr>
              <w:t>公共管理与公共服务用地</w:t>
            </w:r>
          </w:p>
        </w:tc>
        <w:tc>
          <w:tcPr>
            <w:tcW w:w="503" w:type="pct"/>
            <w:tcBorders>
              <w:tl2br w:val="nil"/>
              <w:tr2bl w:val="nil"/>
            </w:tcBorders>
            <w:shd w:val="clear" w:color="auto" w:fill="auto"/>
            <w:vAlign w:val="center"/>
          </w:tcPr>
          <w:p w14:paraId="35F6CDB5">
            <w:pPr>
              <w:widowControl/>
              <w:spacing w:line="240" w:lineRule="auto"/>
              <w:ind w:firstLine="0" w:firstLineChars="0"/>
              <w:jc w:val="center"/>
              <w:textAlignment w:val="center"/>
              <w:rPr>
                <w:color w:val="auto"/>
                <w:sz w:val="21"/>
                <w:szCs w:val="21"/>
              </w:rPr>
            </w:pPr>
            <w:r>
              <w:rPr>
                <w:color w:val="auto"/>
                <w:sz w:val="21"/>
                <w:szCs w:val="21"/>
              </w:rPr>
              <w:t>A</w:t>
            </w:r>
          </w:p>
        </w:tc>
        <w:tc>
          <w:tcPr>
            <w:tcW w:w="708" w:type="pct"/>
            <w:tcBorders>
              <w:tl2br w:val="nil"/>
              <w:tr2bl w:val="nil"/>
            </w:tcBorders>
            <w:shd w:val="clear" w:color="auto" w:fill="auto"/>
            <w:vAlign w:val="center"/>
          </w:tcPr>
          <w:p w14:paraId="4794ABF2">
            <w:pPr>
              <w:widowControl/>
              <w:spacing w:line="240" w:lineRule="auto"/>
              <w:ind w:firstLine="0" w:firstLineChars="0"/>
              <w:jc w:val="center"/>
              <w:textAlignment w:val="center"/>
              <w:rPr>
                <w:color w:val="auto"/>
                <w:sz w:val="21"/>
                <w:szCs w:val="21"/>
              </w:rPr>
            </w:pPr>
            <w:r>
              <w:rPr>
                <w:color w:val="auto"/>
                <w:sz w:val="21"/>
                <w:szCs w:val="21"/>
              </w:rPr>
              <w:t>29.53</w:t>
            </w:r>
          </w:p>
        </w:tc>
        <w:tc>
          <w:tcPr>
            <w:tcW w:w="746" w:type="pct"/>
            <w:tcBorders>
              <w:tl2br w:val="nil"/>
              <w:tr2bl w:val="nil"/>
            </w:tcBorders>
            <w:shd w:val="clear" w:color="auto" w:fill="auto"/>
            <w:vAlign w:val="center"/>
          </w:tcPr>
          <w:p w14:paraId="0C13A1B7">
            <w:pPr>
              <w:widowControl/>
              <w:spacing w:line="240" w:lineRule="auto"/>
              <w:ind w:firstLine="0" w:firstLineChars="0"/>
              <w:jc w:val="center"/>
              <w:textAlignment w:val="center"/>
              <w:rPr>
                <w:color w:val="auto"/>
                <w:sz w:val="21"/>
                <w:szCs w:val="21"/>
              </w:rPr>
            </w:pPr>
            <w:r>
              <w:rPr>
                <w:color w:val="auto"/>
                <w:sz w:val="21"/>
                <w:szCs w:val="21"/>
              </w:rPr>
              <w:t>3.31%</w:t>
            </w:r>
          </w:p>
        </w:tc>
        <w:tc>
          <w:tcPr>
            <w:tcW w:w="746" w:type="pct"/>
            <w:tcBorders>
              <w:tl2br w:val="nil"/>
              <w:tr2bl w:val="nil"/>
            </w:tcBorders>
            <w:shd w:val="clear" w:color="auto" w:fill="auto"/>
            <w:vAlign w:val="center"/>
          </w:tcPr>
          <w:p w14:paraId="48A21C58">
            <w:pPr>
              <w:widowControl/>
              <w:spacing w:line="240" w:lineRule="auto"/>
              <w:ind w:firstLine="0" w:firstLineChars="0"/>
              <w:jc w:val="center"/>
              <w:textAlignment w:val="center"/>
              <w:rPr>
                <w:color w:val="auto"/>
                <w:sz w:val="21"/>
                <w:szCs w:val="21"/>
              </w:rPr>
            </w:pPr>
          </w:p>
        </w:tc>
      </w:tr>
      <w:tr w14:paraId="0086C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63843C2E">
            <w:pPr>
              <w:widowControl/>
              <w:spacing w:line="240" w:lineRule="auto"/>
              <w:ind w:firstLine="0" w:firstLineChars="0"/>
              <w:jc w:val="center"/>
              <w:textAlignment w:val="center"/>
              <w:rPr>
                <w:color w:val="auto"/>
                <w:sz w:val="21"/>
                <w:szCs w:val="21"/>
              </w:rPr>
            </w:pPr>
            <w:r>
              <w:rPr>
                <w:color w:val="auto"/>
                <w:sz w:val="21"/>
                <w:szCs w:val="21"/>
              </w:rPr>
              <w:t>4</w:t>
            </w:r>
          </w:p>
        </w:tc>
        <w:tc>
          <w:tcPr>
            <w:tcW w:w="1677" w:type="pct"/>
            <w:tcBorders>
              <w:tl2br w:val="nil"/>
              <w:tr2bl w:val="nil"/>
            </w:tcBorders>
            <w:shd w:val="clear" w:color="auto" w:fill="auto"/>
            <w:noWrap/>
            <w:vAlign w:val="center"/>
          </w:tcPr>
          <w:p w14:paraId="12E6BE8F">
            <w:pPr>
              <w:widowControl/>
              <w:spacing w:line="240" w:lineRule="auto"/>
              <w:ind w:firstLine="0" w:firstLineChars="0"/>
              <w:jc w:val="center"/>
              <w:textAlignment w:val="center"/>
              <w:rPr>
                <w:color w:val="auto"/>
                <w:sz w:val="21"/>
                <w:szCs w:val="21"/>
              </w:rPr>
            </w:pPr>
            <w:r>
              <w:rPr>
                <w:color w:val="auto"/>
                <w:sz w:val="21"/>
                <w:szCs w:val="21"/>
              </w:rPr>
              <w:t>商业服务业设施用地</w:t>
            </w:r>
          </w:p>
        </w:tc>
        <w:tc>
          <w:tcPr>
            <w:tcW w:w="503" w:type="pct"/>
            <w:tcBorders>
              <w:tl2br w:val="nil"/>
              <w:tr2bl w:val="nil"/>
            </w:tcBorders>
            <w:shd w:val="clear" w:color="auto" w:fill="auto"/>
            <w:vAlign w:val="center"/>
          </w:tcPr>
          <w:p w14:paraId="782CF7A7">
            <w:pPr>
              <w:widowControl/>
              <w:spacing w:line="240" w:lineRule="auto"/>
              <w:ind w:firstLine="0" w:firstLineChars="0"/>
              <w:jc w:val="center"/>
              <w:textAlignment w:val="center"/>
              <w:rPr>
                <w:color w:val="auto"/>
                <w:sz w:val="21"/>
                <w:szCs w:val="21"/>
              </w:rPr>
            </w:pPr>
            <w:r>
              <w:rPr>
                <w:color w:val="auto"/>
                <w:sz w:val="21"/>
                <w:szCs w:val="21"/>
              </w:rPr>
              <w:t>B</w:t>
            </w:r>
          </w:p>
        </w:tc>
        <w:tc>
          <w:tcPr>
            <w:tcW w:w="708" w:type="pct"/>
            <w:tcBorders>
              <w:tl2br w:val="nil"/>
              <w:tr2bl w:val="nil"/>
            </w:tcBorders>
            <w:shd w:val="clear" w:color="auto" w:fill="auto"/>
            <w:vAlign w:val="center"/>
          </w:tcPr>
          <w:p w14:paraId="76BED486">
            <w:pPr>
              <w:widowControl/>
              <w:spacing w:line="240" w:lineRule="auto"/>
              <w:ind w:firstLine="0" w:firstLineChars="0"/>
              <w:jc w:val="center"/>
              <w:textAlignment w:val="center"/>
              <w:rPr>
                <w:color w:val="auto"/>
                <w:sz w:val="21"/>
                <w:szCs w:val="21"/>
              </w:rPr>
            </w:pPr>
            <w:r>
              <w:rPr>
                <w:color w:val="auto"/>
                <w:sz w:val="21"/>
                <w:szCs w:val="21"/>
              </w:rPr>
              <w:t>39.94</w:t>
            </w:r>
          </w:p>
        </w:tc>
        <w:tc>
          <w:tcPr>
            <w:tcW w:w="746" w:type="pct"/>
            <w:tcBorders>
              <w:tl2br w:val="nil"/>
              <w:tr2bl w:val="nil"/>
            </w:tcBorders>
            <w:shd w:val="clear" w:color="auto" w:fill="auto"/>
            <w:vAlign w:val="center"/>
          </w:tcPr>
          <w:p w14:paraId="09FBF345">
            <w:pPr>
              <w:widowControl/>
              <w:spacing w:line="240" w:lineRule="auto"/>
              <w:ind w:firstLine="0" w:firstLineChars="0"/>
              <w:jc w:val="center"/>
              <w:textAlignment w:val="center"/>
              <w:rPr>
                <w:color w:val="auto"/>
                <w:sz w:val="21"/>
                <w:szCs w:val="21"/>
              </w:rPr>
            </w:pPr>
            <w:r>
              <w:rPr>
                <w:color w:val="auto"/>
                <w:sz w:val="21"/>
                <w:szCs w:val="21"/>
              </w:rPr>
              <w:t>4.48%</w:t>
            </w:r>
          </w:p>
        </w:tc>
        <w:tc>
          <w:tcPr>
            <w:tcW w:w="746" w:type="pct"/>
            <w:tcBorders>
              <w:tl2br w:val="nil"/>
              <w:tr2bl w:val="nil"/>
            </w:tcBorders>
            <w:shd w:val="clear" w:color="auto" w:fill="auto"/>
            <w:vAlign w:val="center"/>
          </w:tcPr>
          <w:p w14:paraId="15BECF2F">
            <w:pPr>
              <w:widowControl/>
              <w:spacing w:line="240" w:lineRule="auto"/>
              <w:ind w:firstLine="0" w:firstLineChars="0"/>
              <w:jc w:val="center"/>
              <w:textAlignment w:val="center"/>
              <w:rPr>
                <w:color w:val="auto"/>
                <w:sz w:val="21"/>
                <w:szCs w:val="21"/>
              </w:rPr>
            </w:pPr>
          </w:p>
        </w:tc>
      </w:tr>
      <w:tr w14:paraId="429C5A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5E68AD23">
            <w:pPr>
              <w:widowControl/>
              <w:spacing w:line="240" w:lineRule="auto"/>
              <w:ind w:firstLine="0" w:firstLineChars="0"/>
              <w:jc w:val="center"/>
              <w:textAlignment w:val="center"/>
              <w:rPr>
                <w:color w:val="auto"/>
                <w:sz w:val="21"/>
                <w:szCs w:val="21"/>
              </w:rPr>
            </w:pPr>
            <w:r>
              <w:rPr>
                <w:color w:val="auto"/>
                <w:sz w:val="21"/>
                <w:szCs w:val="21"/>
              </w:rPr>
              <w:t>5</w:t>
            </w:r>
          </w:p>
        </w:tc>
        <w:tc>
          <w:tcPr>
            <w:tcW w:w="1677" w:type="pct"/>
            <w:tcBorders>
              <w:tl2br w:val="nil"/>
              <w:tr2bl w:val="nil"/>
            </w:tcBorders>
            <w:shd w:val="clear" w:color="auto" w:fill="auto"/>
            <w:noWrap/>
            <w:vAlign w:val="center"/>
          </w:tcPr>
          <w:p w14:paraId="638BEB86">
            <w:pPr>
              <w:widowControl/>
              <w:spacing w:line="240" w:lineRule="auto"/>
              <w:ind w:firstLine="0" w:firstLineChars="0"/>
              <w:jc w:val="center"/>
              <w:textAlignment w:val="center"/>
              <w:rPr>
                <w:color w:val="auto"/>
                <w:sz w:val="21"/>
                <w:szCs w:val="21"/>
              </w:rPr>
            </w:pPr>
            <w:r>
              <w:rPr>
                <w:color w:val="auto"/>
                <w:sz w:val="21"/>
                <w:szCs w:val="21"/>
              </w:rPr>
              <w:t>道路与交通设施用地</w:t>
            </w:r>
          </w:p>
        </w:tc>
        <w:tc>
          <w:tcPr>
            <w:tcW w:w="503" w:type="pct"/>
            <w:tcBorders>
              <w:tl2br w:val="nil"/>
              <w:tr2bl w:val="nil"/>
            </w:tcBorders>
            <w:shd w:val="clear" w:color="auto" w:fill="auto"/>
            <w:noWrap/>
            <w:vAlign w:val="center"/>
          </w:tcPr>
          <w:p w14:paraId="6951A198">
            <w:pPr>
              <w:widowControl/>
              <w:spacing w:line="240" w:lineRule="auto"/>
              <w:ind w:firstLine="0" w:firstLineChars="0"/>
              <w:jc w:val="center"/>
              <w:textAlignment w:val="center"/>
              <w:rPr>
                <w:color w:val="auto"/>
                <w:sz w:val="21"/>
                <w:szCs w:val="21"/>
              </w:rPr>
            </w:pPr>
            <w:r>
              <w:rPr>
                <w:color w:val="auto"/>
                <w:sz w:val="21"/>
                <w:szCs w:val="21"/>
              </w:rPr>
              <w:t>S</w:t>
            </w:r>
          </w:p>
        </w:tc>
        <w:tc>
          <w:tcPr>
            <w:tcW w:w="708" w:type="pct"/>
            <w:tcBorders>
              <w:tl2br w:val="nil"/>
              <w:tr2bl w:val="nil"/>
            </w:tcBorders>
            <w:shd w:val="clear" w:color="auto" w:fill="auto"/>
            <w:vAlign w:val="center"/>
          </w:tcPr>
          <w:p w14:paraId="31B36691">
            <w:pPr>
              <w:widowControl/>
              <w:spacing w:line="240" w:lineRule="auto"/>
              <w:ind w:firstLine="0" w:firstLineChars="0"/>
              <w:jc w:val="center"/>
              <w:textAlignment w:val="center"/>
              <w:rPr>
                <w:color w:val="auto"/>
                <w:sz w:val="21"/>
                <w:szCs w:val="21"/>
              </w:rPr>
            </w:pPr>
            <w:r>
              <w:rPr>
                <w:color w:val="auto"/>
                <w:sz w:val="21"/>
                <w:szCs w:val="21"/>
              </w:rPr>
              <w:t>243.61</w:t>
            </w:r>
          </w:p>
        </w:tc>
        <w:tc>
          <w:tcPr>
            <w:tcW w:w="746" w:type="pct"/>
            <w:tcBorders>
              <w:tl2br w:val="nil"/>
              <w:tr2bl w:val="nil"/>
            </w:tcBorders>
            <w:shd w:val="clear" w:color="auto" w:fill="auto"/>
            <w:vAlign w:val="center"/>
          </w:tcPr>
          <w:p w14:paraId="587D49A4">
            <w:pPr>
              <w:widowControl/>
              <w:spacing w:line="240" w:lineRule="auto"/>
              <w:ind w:firstLine="0" w:firstLineChars="0"/>
              <w:jc w:val="center"/>
              <w:textAlignment w:val="center"/>
              <w:rPr>
                <w:color w:val="auto"/>
                <w:sz w:val="21"/>
                <w:szCs w:val="21"/>
              </w:rPr>
            </w:pPr>
            <w:r>
              <w:rPr>
                <w:color w:val="auto"/>
                <w:sz w:val="21"/>
                <w:szCs w:val="21"/>
              </w:rPr>
              <w:t>27.32%</w:t>
            </w:r>
          </w:p>
        </w:tc>
        <w:tc>
          <w:tcPr>
            <w:tcW w:w="746" w:type="pct"/>
            <w:tcBorders>
              <w:tl2br w:val="nil"/>
              <w:tr2bl w:val="nil"/>
            </w:tcBorders>
            <w:shd w:val="clear" w:color="auto" w:fill="auto"/>
            <w:vAlign w:val="center"/>
          </w:tcPr>
          <w:p w14:paraId="70B197EE">
            <w:pPr>
              <w:widowControl/>
              <w:spacing w:line="240" w:lineRule="auto"/>
              <w:ind w:firstLine="0" w:firstLineChars="0"/>
              <w:jc w:val="center"/>
              <w:textAlignment w:val="center"/>
              <w:rPr>
                <w:color w:val="auto"/>
                <w:sz w:val="21"/>
                <w:szCs w:val="21"/>
              </w:rPr>
            </w:pPr>
          </w:p>
        </w:tc>
      </w:tr>
      <w:tr w14:paraId="586F00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69C74244">
            <w:pPr>
              <w:widowControl/>
              <w:spacing w:line="240" w:lineRule="auto"/>
              <w:ind w:firstLine="0" w:firstLineChars="0"/>
              <w:jc w:val="center"/>
              <w:textAlignment w:val="center"/>
              <w:rPr>
                <w:color w:val="auto"/>
                <w:sz w:val="21"/>
                <w:szCs w:val="21"/>
              </w:rPr>
            </w:pPr>
            <w:r>
              <w:rPr>
                <w:color w:val="auto"/>
                <w:sz w:val="21"/>
                <w:szCs w:val="21"/>
              </w:rPr>
              <w:t>6</w:t>
            </w:r>
          </w:p>
        </w:tc>
        <w:tc>
          <w:tcPr>
            <w:tcW w:w="1677" w:type="pct"/>
            <w:tcBorders>
              <w:tl2br w:val="nil"/>
              <w:tr2bl w:val="nil"/>
            </w:tcBorders>
            <w:shd w:val="clear" w:color="auto" w:fill="auto"/>
            <w:noWrap/>
            <w:vAlign w:val="center"/>
          </w:tcPr>
          <w:p w14:paraId="5FB45A27">
            <w:pPr>
              <w:widowControl/>
              <w:spacing w:line="240" w:lineRule="auto"/>
              <w:ind w:firstLine="0" w:firstLineChars="0"/>
              <w:jc w:val="center"/>
              <w:textAlignment w:val="center"/>
              <w:rPr>
                <w:color w:val="auto"/>
                <w:sz w:val="21"/>
                <w:szCs w:val="21"/>
              </w:rPr>
            </w:pPr>
            <w:r>
              <w:rPr>
                <w:color w:val="auto"/>
                <w:sz w:val="21"/>
                <w:szCs w:val="21"/>
              </w:rPr>
              <w:t>仓储用地</w:t>
            </w:r>
          </w:p>
        </w:tc>
        <w:tc>
          <w:tcPr>
            <w:tcW w:w="503" w:type="pct"/>
            <w:tcBorders>
              <w:tl2br w:val="nil"/>
              <w:tr2bl w:val="nil"/>
            </w:tcBorders>
            <w:shd w:val="clear" w:color="auto" w:fill="auto"/>
            <w:vAlign w:val="center"/>
          </w:tcPr>
          <w:p w14:paraId="2E9FDBA8">
            <w:pPr>
              <w:widowControl/>
              <w:spacing w:line="240" w:lineRule="auto"/>
              <w:ind w:firstLine="0" w:firstLineChars="0"/>
              <w:jc w:val="center"/>
              <w:textAlignment w:val="center"/>
              <w:rPr>
                <w:color w:val="auto"/>
                <w:sz w:val="21"/>
                <w:szCs w:val="21"/>
              </w:rPr>
            </w:pPr>
            <w:r>
              <w:rPr>
                <w:color w:val="auto"/>
                <w:sz w:val="21"/>
                <w:szCs w:val="21"/>
              </w:rPr>
              <w:t>W</w:t>
            </w:r>
          </w:p>
        </w:tc>
        <w:tc>
          <w:tcPr>
            <w:tcW w:w="708" w:type="pct"/>
            <w:tcBorders>
              <w:tl2br w:val="nil"/>
              <w:tr2bl w:val="nil"/>
            </w:tcBorders>
            <w:shd w:val="clear" w:color="auto" w:fill="auto"/>
            <w:noWrap/>
            <w:vAlign w:val="center"/>
          </w:tcPr>
          <w:p w14:paraId="3F376FBD">
            <w:pPr>
              <w:widowControl/>
              <w:spacing w:line="240" w:lineRule="auto"/>
              <w:ind w:firstLine="0" w:firstLineChars="0"/>
              <w:jc w:val="center"/>
              <w:textAlignment w:val="center"/>
              <w:rPr>
                <w:color w:val="auto"/>
                <w:sz w:val="21"/>
                <w:szCs w:val="21"/>
              </w:rPr>
            </w:pPr>
            <w:r>
              <w:rPr>
                <w:color w:val="auto"/>
                <w:sz w:val="21"/>
                <w:szCs w:val="21"/>
              </w:rPr>
              <w:t>2.34</w:t>
            </w:r>
          </w:p>
        </w:tc>
        <w:tc>
          <w:tcPr>
            <w:tcW w:w="746" w:type="pct"/>
            <w:tcBorders>
              <w:tl2br w:val="nil"/>
              <w:tr2bl w:val="nil"/>
            </w:tcBorders>
            <w:shd w:val="clear" w:color="auto" w:fill="auto"/>
            <w:vAlign w:val="center"/>
          </w:tcPr>
          <w:p w14:paraId="313A98ED">
            <w:pPr>
              <w:widowControl/>
              <w:spacing w:line="240" w:lineRule="auto"/>
              <w:ind w:firstLine="0" w:firstLineChars="0"/>
              <w:jc w:val="center"/>
              <w:textAlignment w:val="center"/>
              <w:rPr>
                <w:color w:val="auto"/>
                <w:sz w:val="21"/>
                <w:szCs w:val="21"/>
              </w:rPr>
            </w:pPr>
            <w:r>
              <w:rPr>
                <w:color w:val="auto"/>
                <w:sz w:val="21"/>
                <w:szCs w:val="21"/>
              </w:rPr>
              <w:t>0.26%</w:t>
            </w:r>
          </w:p>
        </w:tc>
        <w:tc>
          <w:tcPr>
            <w:tcW w:w="746" w:type="pct"/>
            <w:tcBorders>
              <w:tl2br w:val="nil"/>
              <w:tr2bl w:val="nil"/>
            </w:tcBorders>
            <w:shd w:val="clear" w:color="auto" w:fill="auto"/>
            <w:vAlign w:val="center"/>
          </w:tcPr>
          <w:p w14:paraId="75A29D6E">
            <w:pPr>
              <w:widowControl/>
              <w:spacing w:line="240" w:lineRule="auto"/>
              <w:ind w:firstLine="0" w:firstLineChars="0"/>
              <w:jc w:val="center"/>
              <w:textAlignment w:val="center"/>
              <w:rPr>
                <w:color w:val="auto"/>
                <w:sz w:val="21"/>
                <w:szCs w:val="21"/>
              </w:rPr>
            </w:pPr>
          </w:p>
        </w:tc>
      </w:tr>
      <w:tr w14:paraId="19B0AD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367DB16E">
            <w:pPr>
              <w:widowControl/>
              <w:spacing w:line="240" w:lineRule="auto"/>
              <w:ind w:firstLine="0" w:firstLineChars="0"/>
              <w:jc w:val="center"/>
              <w:textAlignment w:val="center"/>
              <w:rPr>
                <w:color w:val="auto"/>
                <w:sz w:val="21"/>
                <w:szCs w:val="21"/>
              </w:rPr>
            </w:pPr>
            <w:r>
              <w:rPr>
                <w:color w:val="auto"/>
                <w:sz w:val="21"/>
                <w:szCs w:val="21"/>
              </w:rPr>
              <w:t>7</w:t>
            </w:r>
          </w:p>
        </w:tc>
        <w:tc>
          <w:tcPr>
            <w:tcW w:w="1677" w:type="pct"/>
            <w:tcBorders>
              <w:tl2br w:val="nil"/>
              <w:tr2bl w:val="nil"/>
            </w:tcBorders>
            <w:shd w:val="clear" w:color="auto" w:fill="auto"/>
            <w:noWrap/>
            <w:vAlign w:val="center"/>
          </w:tcPr>
          <w:p w14:paraId="31BE4D2D">
            <w:pPr>
              <w:widowControl/>
              <w:spacing w:line="240" w:lineRule="auto"/>
              <w:ind w:firstLine="0" w:firstLineChars="0"/>
              <w:jc w:val="center"/>
              <w:textAlignment w:val="center"/>
              <w:rPr>
                <w:color w:val="auto"/>
                <w:sz w:val="21"/>
                <w:szCs w:val="21"/>
              </w:rPr>
            </w:pPr>
            <w:r>
              <w:rPr>
                <w:color w:val="auto"/>
                <w:sz w:val="21"/>
                <w:szCs w:val="21"/>
              </w:rPr>
              <w:t>公用设施用地</w:t>
            </w:r>
          </w:p>
        </w:tc>
        <w:tc>
          <w:tcPr>
            <w:tcW w:w="503" w:type="pct"/>
            <w:tcBorders>
              <w:tl2br w:val="nil"/>
              <w:tr2bl w:val="nil"/>
            </w:tcBorders>
            <w:shd w:val="clear" w:color="auto" w:fill="auto"/>
            <w:vAlign w:val="center"/>
          </w:tcPr>
          <w:p w14:paraId="1308F8BC">
            <w:pPr>
              <w:widowControl/>
              <w:spacing w:line="240" w:lineRule="auto"/>
              <w:ind w:firstLine="0" w:firstLineChars="0"/>
              <w:jc w:val="center"/>
              <w:textAlignment w:val="center"/>
              <w:rPr>
                <w:color w:val="auto"/>
                <w:sz w:val="21"/>
                <w:szCs w:val="21"/>
              </w:rPr>
            </w:pPr>
            <w:r>
              <w:rPr>
                <w:color w:val="auto"/>
                <w:sz w:val="21"/>
                <w:szCs w:val="21"/>
              </w:rPr>
              <w:t>U</w:t>
            </w:r>
          </w:p>
        </w:tc>
        <w:tc>
          <w:tcPr>
            <w:tcW w:w="708" w:type="pct"/>
            <w:tcBorders>
              <w:tl2br w:val="nil"/>
              <w:tr2bl w:val="nil"/>
            </w:tcBorders>
            <w:shd w:val="clear" w:color="auto" w:fill="auto"/>
            <w:noWrap/>
            <w:vAlign w:val="center"/>
          </w:tcPr>
          <w:p w14:paraId="471B2221">
            <w:pPr>
              <w:widowControl/>
              <w:spacing w:line="240" w:lineRule="auto"/>
              <w:ind w:firstLine="0" w:firstLineChars="0"/>
              <w:jc w:val="center"/>
              <w:textAlignment w:val="center"/>
              <w:rPr>
                <w:color w:val="auto"/>
                <w:sz w:val="21"/>
                <w:szCs w:val="21"/>
              </w:rPr>
            </w:pPr>
            <w:r>
              <w:rPr>
                <w:color w:val="auto"/>
                <w:sz w:val="21"/>
                <w:szCs w:val="21"/>
              </w:rPr>
              <w:t>10.55</w:t>
            </w:r>
          </w:p>
        </w:tc>
        <w:tc>
          <w:tcPr>
            <w:tcW w:w="746" w:type="pct"/>
            <w:tcBorders>
              <w:tl2br w:val="nil"/>
              <w:tr2bl w:val="nil"/>
            </w:tcBorders>
            <w:shd w:val="clear" w:color="auto" w:fill="auto"/>
            <w:vAlign w:val="center"/>
          </w:tcPr>
          <w:p w14:paraId="7B997353">
            <w:pPr>
              <w:widowControl/>
              <w:spacing w:line="240" w:lineRule="auto"/>
              <w:ind w:firstLine="0" w:firstLineChars="0"/>
              <w:jc w:val="center"/>
              <w:textAlignment w:val="center"/>
              <w:rPr>
                <w:color w:val="auto"/>
                <w:sz w:val="21"/>
                <w:szCs w:val="21"/>
              </w:rPr>
            </w:pPr>
            <w:r>
              <w:rPr>
                <w:color w:val="auto"/>
                <w:sz w:val="21"/>
                <w:szCs w:val="21"/>
              </w:rPr>
              <w:t>1.18%</w:t>
            </w:r>
          </w:p>
        </w:tc>
        <w:tc>
          <w:tcPr>
            <w:tcW w:w="746" w:type="pct"/>
            <w:tcBorders>
              <w:tl2br w:val="nil"/>
              <w:tr2bl w:val="nil"/>
            </w:tcBorders>
            <w:shd w:val="clear" w:color="auto" w:fill="auto"/>
            <w:vAlign w:val="center"/>
          </w:tcPr>
          <w:p w14:paraId="32FC48C9">
            <w:pPr>
              <w:widowControl/>
              <w:spacing w:line="240" w:lineRule="auto"/>
              <w:ind w:firstLine="0" w:firstLineChars="0"/>
              <w:jc w:val="center"/>
              <w:textAlignment w:val="center"/>
              <w:rPr>
                <w:color w:val="auto"/>
                <w:sz w:val="21"/>
                <w:szCs w:val="21"/>
              </w:rPr>
            </w:pPr>
          </w:p>
        </w:tc>
      </w:tr>
      <w:tr w14:paraId="76F7A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4E99360A">
            <w:pPr>
              <w:widowControl/>
              <w:spacing w:line="240" w:lineRule="auto"/>
              <w:ind w:firstLine="0" w:firstLineChars="0"/>
              <w:jc w:val="center"/>
              <w:textAlignment w:val="center"/>
              <w:rPr>
                <w:color w:val="auto"/>
                <w:sz w:val="21"/>
                <w:szCs w:val="21"/>
              </w:rPr>
            </w:pPr>
            <w:r>
              <w:rPr>
                <w:color w:val="auto"/>
                <w:sz w:val="21"/>
                <w:szCs w:val="21"/>
              </w:rPr>
              <w:t>8</w:t>
            </w:r>
          </w:p>
        </w:tc>
        <w:tc>
          <w:tcPr>
            <w:tcW w:w="1677" w:type="pct"/>
            <w:tcBorders>
              <w:tl2br w:val="nil"/>
              <w:tr2bl w:val="nil"/>
            </w:tcBorders>
            <w:shd w:val="clear" w:color="auto" w:fill="auto"/>
            <w:noWrap/>
            <w:vAlign w:val="center"/>
          </w:tcPr>
          <w:p w14:paraId="6E58DA08">
            <w:pPr>
              <w:widowControl/>
              <w:spacing w:line="240" w:lineRule="auto"/>
              <w:ind w:firstLine="0" w:firstLineChars="0"/>
              <w:jc w:val="center"/>
              <w:textAlignment w:val="center"/>
              <w:rPr>
                <w:color w:val="auto"/>
                <w:sz w:val="21"/>
                <w:szCs w:val="21"/>
              </w:rPr>
            </w:pPr>
            <w:r>
              <w:rPr>
                <w:color w:val="auto"/>
                <w:sz w:val="21"/>
                <w:szCs w:val="21"/>
              </w:rPr>
              <w:t>公园与防护用地</w:t>
            </w:r>
          </w:p>
        </w:tc>
        <w:tc>
          <w:tcPr>
            <w:tcW w:w="503" w:type="pct"/>
            <w:tcBorders>
              <w:tl2br w:val="nil"/>
              <w:tr2bl w:val="nil"/>
            </w:tcBorders>
            <w:shd w:val="clear" w:color="auto" w:fill="auto"/>
            <w:vAlign w:val="center"/>
          </w:tcPr>
          <w:p w14:paraId="26FDC30E">
            <w:pPr>
              <w:widowControl/>
              <w:spacing w:line="240" w:lineRule="auto"/>
              <w:ind w:firstLine="0" w:firstLineChars="0"/>
              <w:jc w:val="center"/>
              <w:textAlignment w:val="center"/>
              <w:rPr>
                <w:color w:val="auto"/>
                <w:sz w:val="21"/>
                <w:szCs w:val="21"/>
              </w:rPr>
            </w:pPr>
            <w:r>
              <w:rPr>
                <w:color w:val="auto"/>
                <w:sz w:val="21"/>
                <w:szCs w:val="21"/>
              </w:rPr>
              <w:t>G</w:t>
            </w:r>
          </w:p>
        </w:tc>
        <w:tc>
          <w:tcPr>
            <w:tcW w:w="708" w:type="pct"/>
            <w:tcBorders>
              <w:tl2br w:val="nil"/>
              <w:tr2bl w:val="nil"/>
            </w:tcBorders>
            <w:shd w:val="clear" w:color="auto" w:fill="auto"/>
            <w:noWrap/>
            <w:vAlign w:val="center"/>
          </w:tcPr>
          <w:p w14:paraId="6DD6D2B7">
            <w:pPr>
              <w:widowControl/>
              <w:spacing w:line="240" w:lineRule="auto"/>
              <w:ind w:firstLine="0" w:firstLineChars="0"/>
              <w:jc w:val="center"/>
              <w:textAlignment w:val="center"/>
              <w:rPr>
                <w:color w:val="auto"/>
                <w:sz w:val="21"/>
                <w:szCs w:val="21"/>
              </w:rPr>
            </w:pPr>
            <w:r>
              <w:rPr>
                <w:color w:val="auto"/>
                <w:sz w:val="21"/>
                <w:szCs w:val="21"/>
              </w:rPr>
              <w:t>120.32</w:t>
            </w:r>
          </w:p>
        </w:tc>
        <w:tc>
          <w:tcPr>
            <w:tcW w:w="746" w:type="pct"/>
            <w:tcBorders>
              <w:tl2br w:val="nil"/>
              <w:tr2bl w:val="nil"/>
            </w:tcBorders>
            <w:shd w:val="clear" w:color="auto" w:fill="auto"/>
            <w:vAlign w:val="center"/>
          </w:tcPr>
          <w:p w14:paraId="09CE1C5C">
            <w:pPr>
              <w:widowControl/>
              <w:spacing w:line="240" w:lineRule="auto"/>
              <w:ind w:firstLine="0" w:firstLineChars="0"/>
              <w:jc w:val="center"/>
              <w:textAlignment w:val="center"/>
              <w:rPr>
                <w:color w:val="auto"/>
                <w:sz w:val="21"/>
                <w:szCs w:val="21"/>
              </w:rPr>
            </w:pPr>
            <w:r>
              <w:rPr>
                <w:color w:val="auto"/>
                <w:sz w:val="21"/>
                <w:szCs w:val="21"/>
              </w:rPr>
              <w:t>13.49%</w:t>
            </w:r>
          </w:p>
        </w:tc>
        <w:tc>
          <w:tcPr>
            <w:tcW w:w="746" w:type="pct"/>
            <w:tcBorders>
              <w:tl2br w:val="nil"/>
              <w:tr2bl w:val="nil"/>
            </w:tcBorders>
            <w:shd w:val="clear" w:color="auto" w:fill="auto"/>
            <w:vAlign w:val="center"/>
          </w:tcPr>
          <w:p w14:paraId="39EF6104">
            <w:pPr>
              <w:widowControl/>
              <w:spacing w:line="240" w:lineRule="auto"/>
              <w:ind w:firstLine="0" w:firstLineChars="0"/>
              <w:jc w:val="center"/>
              <w:textAlignment w:val="center"/>
              <w:rPr>
                <w:color w:val="auto"/>
                <w:sz w:val="21"/>
                <w:szCs w:val="21"/>
              </w:rPr>
            </w:pPr>
          </w:p>
        </w:tc>
      </w:tr>
      <w:tr w14:paraId="4FF1B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31BEBA2A">
            <w:pPr>
              <w:widowControl/>
              <w:spacing w:line="240" w:lineRule="auto"/>
              <w:ind w:firstLine="0" w:firstLineChars="0"/>
              <w:jc w:val="center"/>
              <w:textAlignment w:val="center"/>
              <w:rPr>
                <w:color w:val="auto"/>
                <w:sz w:val="21"/>
                <w:szCs w:val="21"/>
              </w:rPr>
            </w:pPr>
            <w:r>
              <w:rPr>
                <w:color w:val="auto"/>
                <w:sz w:val="21"/>
                <w:szCs w:val="21"/>
              </w:rPr>
              <w:t>9</w:t>
            </w:r>
          </w:p>
        </w:tc>
        <w:tc>
          <w:tcPr>
            <w:tcW w:w="1677" w:type="pct"/>
            <w:tcBorders>
              <w:tl2br w:val="nil"/>
              <w:tr2bl w:val="nil"/>
            </w:tcBorders>
            <w:shd w:val="clear" w:color="auto" w:fill="auto"/>
            <w:noWrap/>
            <w:vAlign w:val="center"/>
          </w:tcPr>
          <w:p w14:paraId="1A3B025D">
            <w:pPr>
              <w:widowControl/>
              <w:spacing w:line="240" w:lineRule="auto"/>
              <w:ind w:firstLine="0" w:firstLineChars="0"/>
              <w:jc w:val="center"/>
              <w:textAlignment w:val="center"/>
              <w:rPr>
                <w:color w:val="auto"/>
                <w:sz w:val="21"/>
                <w:szCs w:val="21"/>
              </w:rPr>
            </w:pPr>
            <w:r>
              <w:rPr>
                <w:color w:val="auto"/>
                <w:sz w:val="21"/>
                <w:szCs w:val="21"/>
              </w:rPr>
              <w:t>总建设用地</w:t>
            </w:r>
          </w:p>
        </w:tc>
        <w:tc>
          <w:tcPr>
            <w:tcW w:w="503" w:type="pct"/>
            <w:tcBorders>
              <w:tl2br w:val="nil"/>
              <w:tr2bl w:val="nil"/>
            </w:tcBorders>
            <w:shd w:val="clear" w:color="auto" w:fill="auto"/>
            <w:noWrap/>
            <w:vAlign w:val="center"/>
          </w:tcPr>
          <w:p w14:paraId="6B224AA6">
            <w:pPr>
              <w:widowControl/>
              <w:spacing w:line="240" w:lineRule="auto"/>
              <w:ind w:firstLine="0" w:firstLineChars="0"/>
              <w:jc w:val="center"/>
              <w:textAlignment w:val="center"/>
              <w:rPr>
                <w:color w:val="auto"/>
                <w:sz w:val="21"/>
                <w:szCs w:val="21"/>
              </w:rPr>
            </w:pPr>
          </w:p>
        </w:tc>
        <w:tc>
          <w:tcPr>
            <w:tcW w:w="708" w:type="pct"/>
            <w:tcBorders>
              <w:tl2br w:val="nil"/>
              <w:tr2bl w:val="nil"/>
            </w:tcBorders>
            <w:shd w:val="clear" w:color="auto" w:fill="auto"/>
            <w:noWrap/>
            <w:vAlign w:val="center"/>
          </w:tcPr>
          <w:p w14:paraId="35669014">
            <w:pPr>
              <w:widowControl/>
              <w:spacing w:line="240" w:lineRule="auto"/>
              <w:ind w:firstLine="0" w:firstLineChars="0"/>
              <w:jc w:val="center"/>
              <w:textAlignment w:val="center"/>
              <w:rPr>
                <w:color w:val="auto"/>
                <w:sz w:val="21"/>
                <w:szCs w:val="21"/>
              </w:rPr>
            </w:pPr>
            <w:r>
              <w:rPr>
                <w:color w:val="auto"/>
                <w:sz w:val="21"/>
                <w:szCs w:val="21"/>
              </w:rPr>
              <w:t>891.74</w:t>
            </w:r>
          </w:p>
        </w:tc>
        <w:tc>
          <w:tcPr>
            <w:tcW w:w="746" w:type="pct"/>
            <w:tcBorders>
              <w:tl2br w:val="nil"/>
              <w:tr2bl w:val="nil"/>
            </w:tcBorders>
            <w:shd w:val="clear" w:color="auto" w:fill="auto"/>
            <w:vAlign w:val="center"/>
          </w:tcPr>
          <w:p w14:paraId="2EB3F27F">
            <w:pPr>
              <w:widowControl/>
              <w:spacing w:line="240" w:lineRule="auto"/>
              <w:ind w:firstLine="0" w:firstLineChars="0"/>
              <w:jc w:val="center"/>
              <w:textAlignment w:val="center"/>
              <w:rPr>
                <w:color w:val="auto"/>
                <w:sz w:val="21"/>
                <w:szCs w:val="21"/>
              </w:rPr>
            </w:pPr>
            <w:r>
              <w:rPr>
                <w:color w:val="auto"/>
                <w:sz w:val="21"/>
                <w:szCs w:val="21"/>
              </w:rPr>
              <w:t>1</w:t>
            </w:r>
          </w:p>
        </w:tc>
        <w:tc>
          <w:tcPr>
            <w:tcW w:w="746" w:type="pct"/>
            <w:tcBorders>
              <w:tl2br w:val="nil"/>
              <w:tr2bl w:val="nil"/>
            </w:tcBorders>
            <w:shd w:val="clear" w:color="auto" w:fill="auto"/>
            <w:vAlign w:val="center"/>
          </w:tcPr>
          <w:p w14:paraId="04430646">
            <w:pPr>
              <w:widowControl/>
              <w:spacing w:line="240" w:lineRule="auto"/>
              <w:ind w:firstLine="0" w:firstLineChars="0"/>
              <w:jc w:val="center"/>
              <w:textAlignment w:val="center"/>
              <w:rPr>
                <w:color w:val="auto"/>
                <w:sz w:val="21"/>
                <w:szCs w:val="21"/>
              </w:rPr>
            </w:pPr>
          </w:p>
        </w:tc>
      </w:tr>
      <w:tr w14:paraId="79B376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5C50647A">
            <w:pPr>
              <w:widowControl/>
              <w:spacing w:line="240" w:lineRule="auto"/>
              <w:ind w:firstLine="0" w:firstLineChars="0"/>
              <w:jc w:val="center"/>
              <w:textAlignment w:val="center"/>
              <w:rPr>
                <w:color w:val="auto"/>
                <w:sz w:val="21"/>
                <w:szCs w:val="21"/>
              </w:rPr>
            </w:pPr>
            <w:r>
              <w:rPr>
                <w:color w:val="auto"/>
                <w:sz w:val="21"/>
                <w:szCs w:val="21"/>
              </w:rPr>
              <w:t>10</w:t>
            </w:r>
          </w:p>
        </w:tc>
        <w:tc>
          <w:tcPr>
            <w:tcW w:w="1677" w:type="pct"/>
            <w:tcBorders>
              <w:tl2br w:val="nil"/>
              <w:tr2bl w:val="nil"/>
            </w:tcBorders>
            <w:shd w:val="clear" w:color="auto" w:fill="auto"/>
            <w:noWrap/>
            <w:vAlign w:val="center"/>
          </w:tcPr>
          <w:p w14:paraId="7331D5D1">
            <w:pPr>
              <w:widowControl/>
              <w:spacing w:line="240" w:lineRule="auto"/>
              <w:ind w:firstLine="0" w:firstLineChars="0"/>
              <w:jc w:val="center"/>
              <w:textAlignment w:val="center"/>
              <w:rPr>
                <w:color w:val="auto"/>
                <w:sz w:val="21"/>
                <w:szCs w:val="21"/>
              </w:rPr>
            </w:pPr>
            <w:r>
              <w:rPr>
                <w:color w:val="auto"/>
                <w:sz w:val="21"/>
                <w:szCs w:val="21"/>
              </w:rPr>
              <w:t>非建设用地</w:t>
            </w:r>
          </w:p>
        </w:tc>
        <w:tc>
          <w:tcPr>
            <w:tcW w:w="503" w:type="pct"/>
            <w:tcBorders>
              <w:tl2br w:val="nil"/>
              <w:tr2bl w:val="nil"/>
            </w:tcBorders>
            <w:shd w:val="clear" w:color="auto" w:fill="auto"/>
            <w:noWrap/>
            <w:vAlign w:val="center"/>
          </w:tcPr>
          <w:p w14:paraId="7DC1D788">
            <w:pPr>
              <w:widowControl/>
              <w:spacing w:line="240" w:lineRule="auto"/>
              <w:ind w:firstLine="0" w:firstLineChars="0"/>
              <w:jc w:val="center"/>
              <w:textAlignment w:val="center"/>
              <w:rPr>
                <w:color w:val="auto"/>
                <w:sz w:val="21"/>
                <w:szCs w:val="21"/>
              </w:rPr>
            </w:pPr>
            <w:r>
              <w:rPr>
                <w:color w:val="auto"/>
                <w:sz w:val="21"/>
                <w:szCs w:val="21"/>
              </w:rPr>
              <w:t>E</w:t>
            </w:r>
          </w:p>
        </w:tc>
        <w:tc>
          <w:tcPr>
            <w:tcW w:w="708" w:type="pct"/>
            <w:tcBorders>
              <w:tl2br w:val="nil"/>
              <w:tr2bl w:val="nil"/>
            </w:tcBorders>
            <w:shd w:val="clear" w:color="auto" w:fill="auto"/>
            <w:noWrap/>
            <w:vAlign w:val="center"/>
          </w:tcPr>
          <w:p w14:paraId="676CF6B7">
            <w:pPr>
              <w:widowControl/>
              <w:spacing w:line="240" w:lineRule="auto"/>
              <w:ind w:firstLine="0" w:firstLineChars="0"/>
              <w:jc w:val="center"/>
              <w:textAlignment w:val="center"/>
              <w:rPr>
                <w:color w:val="auto"/>
                <w:sz w:val="21"/>
                <w:szCs w:val="21"/>
              </w:rPr>
            </w:pPr>
            <w:r>
              <w:rPr>
                <w:color w:val="auto"/>
                <w:sz w:val="21"/>
                <w:szCs w:val="21"/>
              </w:rPr>
              <w:t>6.18</w:t>
            </w:r>
          </w:p>
        </w:tc>
        <w:tc>
          <w:tcPr>
            <w:tcW w:w="746" w:type="pct"/>
            <w:tcBorders>
              <w:tl2br w:val="nil"/>
              <w:tr2bl w:val="nil"/>
            </w:tcBorders>
            <w:shd w:val="clear" w:color="auto" w:fill="auto"/>
            <w:noWrap/>
            <w:vAlign w:val="center"/>
          </w:tcPr>
          <w:p w14:paraId="79337AD5">
            <w:pPr>
              <w:widowControl/>
              <w:spacing w:line="240" w:lineRule="auto"/>
              <w:ind w:firstLine="0" w:firstLineChars="0"/>
              <w:jc w:val="center"/>
              <w:textAlignment w:val="center"/>
              <w:rPr>
                <w:color w:val="auto"/>
                <w:sz w:val="21"/>
                <w:szCs w:val="21"/>
              </w:rPr>
            </w:pPr>
          </w:p>
        </w:tc>
        <w:tc>
          <w:tcPr>
            <w:tcW w:w="746" w:type="pct"/>
            <w:tcBorders>
              <w:tl2br w:val="nil"/>
              <w:tr2bl w:val="nil"/>
            </w:tcBorders>
            <w:shd w:val="clear" w:color="auto" w:fill="auto"/>
            <w:noWrap/>
            <w:vAlign w:val="center"/>
          </w:tcPr>
          <w:p w14:paraId="35911805">
            <w:pPr>
              <w:widowControl/>
              <w:spacing w:line="240" w:lineRule="auto"/>
              <w:ind w:firstLine="0" w:firstLineChars="0"/>
              <w:jc w:val="center"/>
              <w:textAlignment w:val="center"/>
              <w:rPr>
                <w:color w:val="auto"/>
                <w:sz w:val="21"/>
                <w:szCs w:val="21"/>
              </w:rPr>
            </w:pPr>
          </w:p>
        </w:tc>
      </w:tr>
      <w:tr w14:paraId="490D1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9" w:type="pct"/>
            <w:tcBorders>
              <w:tl2br w:val="nil"/>
              <w:tr2bl w:val="nil"/>
            </w:tcBorders>
            <w:shd w:val="clear" w:color="auto" w:fill="auto"/>
            <w:noWrap/>
            <w:vAlign w:val="center"/>
          </w:tcPr>
          <w:p w14:paraId="03DD0A4D">
            <w:pPr>
              <w:widowControl/>
              <w:spacing w:line="240" w:lineRule="auto"/>
              <w:ind w:firstLine="0" w:firstLineChars="0"/>
              <w:jc w:val="center"/>
              <w:textAlignment w:val="center"/>
              <w:rPr>
                <w:color w:val="auto"/>
                <w:sz w:val="21"/>
                <w:szCs w:val="21"/>
              </w:rPr>
            </w:pPr>
            <w:r>
              <w:rPr>
                <w:color w:val="auto"/>
                <w:sz w:val="21"/>
                <w:szCs w:val="21"/>
              </w:rPr>
              <w:t>合计</w:t>
            </w:r>
          </w:p>
        </w:tc>
        <w:tc>
          <w:tcPr>
            <w:tcW w:w="1677" w:type="pct"/>
            <w:tcBorders>
              <w:tl2br w:val="nil"/>
              <w:tr2bl w:val="nil"/>
            </w:tcBorders>
            <w:shd w:val="clear" w:color="auto" w:fill="auto"/>
            <w:vAlign w:val="center"/>
          </w:tcPr>
          <w:p w14:paraId="1DC395ED">
            <w:pPr>
              <w:widowControl/>
              <w:spacing w:line="240" w:lineRule="auto"/>
              <w:ind w:firstLine="0" w:firstLineChars="0"/>
              <w:jc w:val="center"/>
              <w:textAlignment w:val="center"/>
              <w:rPr>
                <w:color w:val="auto"/>
                <w:sz w:val="21"/>
                <w:szCs w:val="21"/>
              </w:rPr>
            </w:pPr>
            <w:r>
              <w:rPr>
                <w:color w:val="auto"/>
                <w:sz w:val="21"/>
                <w:szCs w:val="21"/>
              </w:rPr>
              <w:t>规划范围总面积</w:t>
            </w:r>
          </w:p>
        </w:tc>
        <w:tc>
          <w:tcPr>
            <w:tcW w:w="503" w:type="pct"/>
            <w:tcBorders>
              <w:tl2br w:val="nil"/>
              <w:tr2bl w:val="nil"/>
            </w:tcBorders>
            <w:shd w:val="clear" w:color="auto" w:fill="auto"/>
            <w:vAlign w:val="center"/>
          </w:tcPr>
          <w:p w14:paraId="16B44F32">
            <w:pPr>
              <w:widowControl/>
              <w:spacing w:line="240" w:lineRule="auto"/>
              <w:ind w:firstLine="0" w:firstLineChars="0"/>
              <w:jc w:val="center"/>
              <w:textAlignment w:val="center"/>
              <w:rPr>
                <w:color w:val="auto"/>
                <w:sz w:val="21"/>
                <w:szCs w:val="21"/>
              </w:rPr>
            </w:pPr>
          </w:p>
        </w:tc>
        <w:tc>
          <w:tcPr>
            <w:tcW w:w="708" w:type="pct"/>
            <w:tcBorders>
              <w:tl2br w:val="nil"/>
              <w:tr2bl w:val="nil"/>
            </w:tcBorders>
            <w:shd w:val="clear" w:color="auto" w:fill="auto"/>
            <w:vAlign w:val="center"/>
          </w:tcPr>
          <w:p w14:paraId="044513F8">
            <w:pPr>
              <w:widowControl/>
              <w:spacing w:line="240" w:lineRule="auto"/>
              <w:ind w:firstLine="0" w:firstLineChars="0"/>
              <w:jc w:val="center"/>
              <w:textAlignment w:val="center"/>
              <w:rPr>
                <w:color w:val="auto"/>
                <w:sz w:val="21"/>
                <w:szCs w:val="21"/>
              </w:rPr>
            </w:pPr>
            <w:r>
              <w:rPr>
                <w:color w:val="auto"/>
                <w:sz w:val="21"/>
                <w:szCs w:val="21"/>
              </w:rPr>
              <w:t>897.92</w:t>
            </w:r>
          </w:p>
        </w:tc>
        <w:tc>
          <w:tcPr>
            <w:tcW w:w="746" w:type="pct"/>
            <w:tcBorders>
              <w:tl2br w:val="nil"/>
              <w:tr2bl w:val="nil"/>
            </w:tcBorders>
            <w:shd w:val="clear" w:color="auto" w:fill="auto"/>
            <w:vAlign w:val="center"/>
          </w:tcPr>
          <w:p w14:paraId="1E5E4F9D">
            <w:pPr>
              <w:widowControl/>
              <w:spacing w:line="240" w:lineRule="auto"/>
              <w:ind w:firstLine="0" w:firstLineChars="0"/>
              <w:jc w:val="center"/>
              <w:textAlignment w:val="center"/>
              <w:rPr>
                <w:color w:val="auto"/>
                <w:sz w:val="21"/>
                <w:szCs w:val="21"/>
              </w:rPr>
            </w:pPr>
          </w:p>
        </w:tc>
        <w:tc>
          <w:tcPr>
            <w:tcW w:w="746" w:type="pct"/>
            <w:tcBorders>
              <w:tl2br w:val="nil"/>
              <w:tr2bl w:val="nil"/>
            </w:tcBorders>
            <w:shd w:val="clear" w:color="auto" w:fill="auto"/>
            <w:vAlign w:val="center"/>
          </w:tcPr>
          <w:p w14:paraId="31D0E4FD">
            <w:pPr>
              <w:widowControl/>
              <w:spacing w:line="240" w:lineRule="auto"/>
              <w:ind w:firstLine="0" w:firstLineChars="0"/>
              <w:jc w:val="center"/>
              <w:textAlignment w:val="center"/>
              <w:rPr>
                <w:color w:val="auto"/>
                <w:sz w:val="21"/>
                <w:szCs w:val="21"/>
              </w:rPr>
            </w:pPr>
          </w:p>
        </w:tc>
      </w:tr>
    </w:tbl>
    <w:p w14:paraId="3A6D4FE5">
      <w:pPr>
        <w:topLinePunct/>
        <w:ind w:firstLine="0" w:firstLineChars="0"/>
        <w:jc w:val="left"/>
        <w:rPr>
          <w:b/>
          <w:bCs/>
          <w:color w:val="auto"/>
          <w:kern w:val="0"/>
          <w:lang w:bidi="en-US"/>
        </w:rPr>
      </w:pPr>
      <w:r>
        <w:rPr>
          <w:b/>
          <w:bCs/>
          <w:color w:val="auto"/>
          <w:kern w:val="0"/>
          <w:lang w:bidi="en-US"/>
        </w:rPr>
        <w:t>表4.1-</w:t>
      </w:r>
      <w:r>
        <w:rPr>
          <w:rFonts w:hint="eastAsia"/>
          <w:b/>
          <w:bCs/>
          <w:color w:val="auto"/>
          <w:kern w:val="0"/>
          <w:lang w:bidi="en-US"/>
        </w:rPr>
        <w:t>4</w:t>
      </w:r>
      <w:r>
        <w:rPr>
          <w:b/>
          <w:bCs/>
          <w:color w:val="auto"/>
          <w:kern w:val="0"/>
          <w:lang w:bidi="en-US"/>
        </w:rPr>
        <w:t xml:space="preserve">                 九龙工业园区C区用地情况</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27"/>
        <w:gridCol w:w="3271"/>
        <w:gridCol w:w="977"/>
        <w:gridCol w:w="1207"/>
        <w:gridCol w:w="1315"/>
        <w:gridCol w:w="1315"/>
      </w:tblGrid>
      <w:tr w14:paraId="3B5B73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564" w:type="pct"/>
            <w:tcBorders>
              <w:tl2br w:val="nil"/>
              <w:tr2bl w:val="nil"/>
            </w:tcBorders>
            <w:shd w:val="clear" w:color="auto" w:fill="auto"/>
            <w:noWrap/>
            <w:vAlign w:val="center"/>
          </w:tcPr>
          <w:p w14:paraId="51C5D115">
            <w:pPr>
              <w:widowControl/>
              <w:spacing w:line="240" w:lineRule="auto"/>
              <w:ind w:firstLine="0" w:firstLineChars="0"/>
              <w:jc w:val="center"/>
              <w:textAlignment w:val="center"/>
              <w:rPr>
                <w:color w:val="auto"/>
                <w:sz w:val="21"/>
                <w:szCs w:val="21"/>
              </w:rPr>
            </w:pPr>
            <w:r>
              <w:rPr>
                <w:color w:val="auto"/>
                <w:sz w:val="21"/>
                <w:szCs w:val="21"/>
              </w:rPr>
              <w:t>序号</w:t>
            </w:r>
          </w:p>
        </w:tc>
        <w:tc>
          <w:tcPr>
            <w:tcW w:w="1794" w:type="pct"/>
            <w:tcBorders>
              <w:tl2br w:val="nil"/>
              <w:tr2bl w:val="nil"/>
            </w:tcBorders>
            <w:shd w:val="clear" w:color="auto" w:fill="auto"/>
            <w:vAlign w:val="center"/>
          </w:tcPr>
          <w:p w14:paraId="57A13DCC">
            <w:pPr>
              <w:widowControl/>
              <w:spacing w:line="240" w:lineRule="auto"/>
              <w:ind w:firstLine="0" w:firstLineChars="0"/>
              <w:jc w:val="center"/>
              <w:textAlignment w:val="center"/>
              <w:rPr>
                <w:color w:val="auto"/>
                <w:sz w:val="21"/>
                <w:szCs w:val="21"/>
              </w:rPr>
            </w:pPr>
            <w:r>
              <w:rPr>
                <w:color w:val="auto"/>
                <w:sz w:val="21"/>
                <w:szCs w:val="21"/>
              </w:rPr>
              <w:t>用地名称</w:t>
            </w:r>
          </w:p>
        </w:tc>
        <w:tc>
          <w:tcPr>
            <w:tcW w:w="535" w:type="pct"/>
            <w:tcBorders>
              <w:tl2br w:val="nil"/>
              <w:tr2bl w:val="nil"/>
            </w:tcBorders>
            <w:shd w:val="clear" w:color="auto" w:fill="auto"/>
            <w:vAlign w:val="center"/>
          </w:tcPr>
          <w:p w14:paraId="34DA4B00">
            <w:pPr>
              <w:widowControl/>
              <w:spacing w:line="240" w:lineRule="auto"/>
              <w:ind w:firstLine="0" w:firstLineChars="0"/>
              <w:jc w:val="center"/>
              <w:textAlignment w:val="center"/>
              <w:rPr>
                <w:color w:val="auto"/>
                <w:sz w:val="21"/>
                <w:szCs w:val="21"/>
              </w:rPr>
            </w:pPr>
            <w:r>
              <w:rPr>
                <w:color w:val="auto"/>
                <w:sz w:val="21"/>
                <w:szCs w:val="21"/>
              </w:rPr>
              <w:t>用地代码</w:t>
            </w:r>
          </w:p>
        </w:tc>
        <w:tc>
          <w:tcPr>
            <w:tcW w:w="662" w:type="pct"/>
            <w:tcBorders>
              <w:tl2br w:val="nil"/>
              <w:tr2bl w:val="nil"/>
            </w:tcBorders>
            <w:shd w:val="clear" w:color="auto" w:fill="auto"/>
            <w:vAlign w:val="center"/>
          </w:tcPr>
          <w:p w14:paraId="363D3E8B">
            <w:pPr>
              <w:widowControl/>
              <w:spacing w:line="240" w:lineRule="auto"/>
              <w:ind w:firstLine="0" w:firstLineChars="0"/>
              <w:jc w:val="center"/>
              <w:textAlignment w:val="center"/>
              <w:rPr>
                <w:color w:val="auto"/>
                <w:sz w:val="21"/>
                <w:szCs w:val="21"/>
              </w:rPr>
            </w:pPr>
            <w:r>
              <w:rPr>
                <w:color w:val="auto"/>
                <w:sz w:val="21"/>
                <w:szCs w:val="21"/>
              </w:rPr>
              <w:t>面积</w:t>
            </w:r>
          </w:p>
          <w:p w14:paraId="681CC087">
            <w:pPr>
              <w:widowControl/>
              <w:spacing w:line="240" w:lineRule="auto"/>
              <w:ind w:firstLine="0" w:firstLineChars="0"/>
              <w:jc w:val="center"/>
              <w:textAlignment w:val="center"/>
              <w:rPr>
                <w:color w:val="auto"/>
                <w:sz w:val="21"/>
                <w:szCs w:val="21"/>
              </w:rPr>
            </w:pPr>
            <w:r>
              <w:rPr>
                <w:color w:val="auto"/>
                <w:sz w:val="21"/>
                <w:szCs w:val="21"/>
              </w:rPr>
              <w:t>（公顷）</w:t>
            </w:r>
          </w:p>
        </w:tc>
        <w:tc>
          <w:tcPr>
            <w:tcW w:w="721" w:type="pct"/>
            <w:tcBorders>
              <w:tl2br w:val="nil"/>
              <w:tr2bl w:val="nil"/>
            </w:tcBorders>
            <w:shd w:val="clear" w:color="auto" w:fill="auto"/>
            <w:vAlign w:val="center"/>
          </w:tcPr>
          <w:p w14:paraId="25D938E5">
            <w:pPr>
              <w:widowControl/>
              <w:spacing w:line="240" w:lineRule="auto"/>
              <w:ind w:firstLine="0" w:firstLineChars="0"/>
              <w:jc w:val="center"/>
              <w:textAlignment w:val="center"/>
              <w:rPr>
                <w:color w:val="auto"/>
                <w:sz w:val="21"/>
                <w:szCs w:val="21"/>
              </w:rPr>
            </w:pPr>
            <w:r>
              <w:rPr>
                <w:color w:val="auto"/>
                <w:sz w:val="21"/>
                <w:szCs w:val="21"/>
              </w:rPr>
              <w:t>占城市建设用地（%）</w:t>
            </w:r>
          </w:p>
        </w:tc>
        <w:tc>
          <w:tcPr>
            <w:tcW w:w="721" w:type="pct"/>
            <w:tcBorders>
              <w:tl2br w:val="nil"/>
              <w:tr2bl w:val="nil"/>
            </w:tcBorders>
            <w:shd w:val="clear" w:color="auto" w:fill="auto"/>
            <w:vAlign w:val="center"/>
          </w:tcPr>
          <w:p w14:paraId="41D050E1">
            <w:pPr>
              <w:widowControl/>
              <w:spacing w:line="240" w:lineRule="auto"/>
              <w:ind w:firstLine="0" w:firstLineChars="0"/>
              <w:jc w:val="center"/>
              <w:textAlignment w:val="center"/>
              <w:rPr>
                <w:color w:val="auto"/>
                <w:sz w:val="21"/>
                <w:szCs w:val="21"/>
              </w:rPr>
            </w:pPr>
            <w:r>
              <w:rPr>
                <w:color w:val="auto"/>
                <w:sz w:val="21"/>
                <w:szCs w:val="21"/>
              </w:rPr>
              <w:t>备注</w:t>
            </w:r>
          </w:p>
        </w:tc>
      </w:tr>
      <w:tr w14:paraId="139FBE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3AFED75A">
            <w:pPr>
              <w:widowControl/>
              <w:spacing w:line="240" w:lineRule="auto"/>
              <w:ind w:firstLine="0" w:firstLineChars="0"/>
              <w:jc w:val="center"/>
              <w:textAlignment w:val="center"/>
              <w:rPr>
                <w:color w:val="auto"/>
                <w:sz w:val="21"/>
                <w:szCs w:val="21"/>
              </w:rPr>
            </w:pPr>
            <w:r>
              <w:rPr>
                <w:color w:val="auto"/>
                <w:sz w:val="21"/>
                <w:szCs w:val="21"/>
              </w:rPr>
              <w:t>1</w:t>
            </w:r>
          </w:p>
        </w:tc>
        <w:tc>
          <w:tcPr>
            <w:tcW w:w="1794" w:type="pct"/>
            <w:tcBorders>
              <w:tl2br w:val="nil"/>
              <w:tr2bl w:val="nil"/>
            </w:tcBorders>
            <w:shd w:val="clear" w:color="auto" w:fill="auto"/>
            <w:vAlign w:val="center"/>
          </w:tcPr>
          <w:p w14:paraId="23BF2097">
            <w:pPr>
              <w:widowControl/>
              <w:spacing w:line="240" w:lineRule="auto"/>
              <w:ind w:firstLine="0" w:firstLineChars="0"/>
              <w:jc w:val="center"/>
              <w:textAlignment w:val="center"/>
              <w:rPr>
                <w:color w:val="auto"/>
                <w:sz w:val="21"/>
                <w:szCs w:val="21"/>
              </w:rPr>
            </w:pPr>
            <w:r>
              <w:rPr>
                <w:color w:val="auto"/>
                <w:sz w:val="21"/>
                <w:szCs w:val="21"/>
              </w:rPr>
              <w:t>居住用地</w:t>
            </w:r>
          </w:p>
        </w:tc>
        <w:tc>
          <w:tcPr>
            <w:tcW w:w="535" w:type="pct"/>
            <w:tcBorders>
              <w:tl2br w:val="nil"/>
              <w:tr2bl w:val="nil"/>
            </w:tcBorders>
            <w:shd w:val="clear" w:color="auto" w:fill="auto"/>
            <w:vAlign w:val="center"/>
          </w:tcPr>
          <w:p w14:paraId="735C2BB5">
            <w:pPr>
              <w:widowControl/>
              <w:spacing w:line="240" w:lineRule="auto"/>
              <w:ind w:firstLine="0" w:firstLineChars="0"/>
              <w:jc w:val="center"/>
              <w:textAlignment w:val="center"/>
              <w:rPr>
                <w:color w:val="auto"/>
                <w:sz w:val="21"/>
                <w:szCs w:val="21"/>
              </w:rPr>
            </w:pPr>
            <w:r>
              <w:rPr>
                <w:color w:val="auto"/>
                <w:sz w:val="21"/>
                <w:szCs w:val="21"/>
              </w:rPr>
              <w:t>R</w:t>
            </w:r>
          </w:p>
        </w:tc>
        <w:tc>
          <w:tcPr>
            <w:tcW w:w="662" w:type="pct"/>
            <w:tcBorders>
              <w:tl2br w:val="nil"/>
              <w:tr2bl w:val="nil"/>
            </w:tcBorders>
            <w:shd w:val="clear" w:color="auto" w:fill="auto"/>
            <w:vAlign w:val="center"/>
          </w:tcPr>
          <w:p w14:paraId="2FC6CE6C">
            <w:pPr>
              <w:widowControl/>
              <w:spacing w:line="240" w:lineRule="auto"/>
              <w:ind w:firstLine="0" w:firstLineChars="0"/>
              <w:jc w:val="center"/>
              <w:textAlignment w:val="center"/>
              <w:rPr>
                <w:color w:val="auto"/>
                <w:sz w:val="21"/>
                <w:szCs w:val="21"/>
              </w:rPr>
            </w:pPr>
            <w:r>
              <w:rPr>
                <w:color w:val="auto"/>
                <w:sz w:val="21"/>
                <w:szCs w:val="21"/>
              </w:rPr>
              <w:t>123.27</w:t>
            </w:r>
          </w:p>
        </w:tc>
        <w:tc>
          <w:tcPr>
            <w:tcW w:w="721" w:type="pct"/>
            <w:tcBorders>
              <w:tl2br w:val="nil"/>
              <w:tr2bl w:val="nil"/>
            </w:tcBorders>
            <w:shd w:val="clear" w:color="auto" w:fill="auto"/>
            <w:vAlign w:val="center"/>
          </w:tcPr>
          <w:p w14:paraId="6253F292">
            <w:pPr>
              <w:widowControl/>
              <w:spacing w:line="240" w:lineRule="auto"/>
              <w:ind w:firstLine="0" w:firstLineChars="0"/>
              <w:jc w:val="center"/>
              <w:textAlignment w:val="center"/>
              <w:rPr>
                <w:color w:val="auto"/>
                <w:sz w:val="21"/>
                <w:szCs w:val="21"/>
              </w:rPr>
            </w:pPr>
            <w:r>
              <w:rPr>
                <w:color w:val="auto"/>
                <w:sz w:val="21"/>
                <w:szCs w:val="21"/>
              </w:rPr>
              <w:t>16.89%</w:t>
            </w:r>
          </w:p>
        </w:tc>
        <w:tc>
          <w:tcPr>
            <w:tcW w:w="721" w:type="pct"/>
            <w:tcBorders>
              <w:tl2br w:val="nil"/>
              <w:tr2bl w:val="nil"/>
            </w:tcBorders>
            <w:shd w:val="clear" w:color="auto" w:fill="auto"/>
            <w:vAlign w:val="center"/>
          </w:tcPr>
          <w:p w14:paraId="09CF04E3">
            <w:pPr>
              <w:widowControl/>
              <w:spacing w:line="240" w:lineRule="auto"/>
              <w:ind w:firstLine="0" w:firstLineChars="0"/>
              <w:jc w:val="center"/>
              <w:textAlignment w:val="center"/>
              <w:rPr>
                <w:color w:val="auto"/>
                <w:sz w:val="21"/>
                <w:szCs w:val="21"/>
              </w:rPr>
            </w:pPr>
            <w:r>
              <w:rPr>
                <w:color w:val="auto"/>
                <w:sz w:val="21"/>
                <w:szCs w:val="21"/>
              </w:rPr>
              <w:t>均为二类居住用地</w:t>
            </w:r>
          </w:p>
        </w:tc>
      </w:tr>
      <w:tr w14:paraId="2362DD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162CDAC7">
            <w:pPr>
              <w:widowControl/>
              <w:spacing w:line="240" w:lineRule="auto"/>
              <w:ind w:firstLine="0" w:firstLineChars="0"/>
              <w:jc w:val="center"/>
              <w:textAlignment w:val="center"/>
              <w:rPr>
                <w:color w:val="auto"/>
                <w:sz w:val="21"/>
                <w:szCs w:val="21"/>
              </w:rPr>
            </w:pPr>
            <w:r>
              <w:rPr>
                <w:color w:val="auto"/>
                <w:sz w:val="21"/>
                <w:szCs w:val="21"/>
              </w:rPr>
              <w:t>2</w:t>
            </w:r>
          </w:p>
        </w:tc>
        <w:tc>
          <w:tcPr>
            <w:tcW w:w="1794" w:type="pct"/>
            <w:tcBorders>
              <w:tl2br w:val="nil"/>
              <w:tr2bl w:val="nil"/>
            </w:tcBorders>
            <w:shd w:val="clear" w:color="auto" w:fill="auto"/>
            <w:vAlign w:val="center"/>
          </w:tcPr>
          <w:p w14:paraId="3EBEB601">
            <w:pPr>
              <w:widowControl/>
              <w:spacing w:line="240" w:lineRule="auto"/>
              <w:ind w:firstLine="0" w:firstLineChars="0"/>
              <w:jc w:val="center"/>
              <w:textAlignment w:val="center"/>
              <w:rPr>
                <w:color w:val="auto"/>
                <w:sz w:val="21"/>
                <w:szCs w:val="21"/>
              </w:rPr>
            </w:pPr>
            <w:r>
              <w:rPr>
                <w:color w:val="auto"/>
                <w:sz w:val="21"/>
                <w:szCs w:val="21"/>
              </w:rPr>
              <w:t>工业用地</w:t>
            </w:r>
          </w:p>
        </w:tc>
        <w:tc>
          <w:tcPr>
            <w:tcW w:w="535" w:type="pct"/>
            <w:tcBorders>
              <w:tl2br w:val="nil"/>
              <w:tr2bl w:val="nil"/>
            </w:tcBorders>
            <w:shd w:val="clear" w:color="auto" w:fill="auto"/>
            <w:vAlign w:val="center"/>
          </w:tcPr>
          <w:p w14:paraId="398C4BA5">
            <w:pPr>
              <w:widowControl/>
              <w:spacing w:line="240" w:lineRule="auto"/>
              <w:ind w:firstLine="0" w:firstLineChars="0"/>
              <w:jc w:val="center"/>
              <w:textAlignment w:val="center"/>
              <w:rPr>
                <w:color w:val="auto"/>
                <w:sz w:val="21"/>
                <w:szCs w:val="21"/>
              </w:rPr>
            </w:pPr>
            <w:r>
              <w:rPr>
                <w:color w:val="auto"/>
                <w:sz w:val="21"/>
                <w:szCs w:val="21"/>
              </w:rPr>
              <w:t>M</w:t>
            </w:r>
          </w:p>
        </w:tc>
        <w:tc>
          <w:tcPr>
            <w:tcW w:w="662" w:type="pct"/>
            <w:tcBorders>
              <w:tl2br w:val="nil"/>
              <w:tr2bl w:val="nil"/>
            </w:tcBorders>
            <w:shd w:val="clear" w:color="auto" w:fill="auto"/>
            <w:vAlign w:val="center"/>
          </w:tcPr>
          <w:p w14:paraId="7FA843F1">
            <w:pPr>
              <w:widowControl/>
              <w:spacing w:line="240" w:lineRule="auto"/>
              <w:ind w:firstLine="0" w:firstLineChars="0"/>
              <w:jc w:val="center"/>
              <w:textAlignment w:val="center"/>
              <w:rPr>
                <w:color w:val="auto"/>
                <w:sz w:val="21"/>
                <w:szCs w:val="21"/>
              </w:rPr>
            </w:pPr>
            <w:r>
              <w:rPr>
                <w:color w:val="auto"/>
                <w:sz w:val="21"/>
                <w:szCs w:val="21"/>
              </w:rPr>
              <w:t>215.5</w:t>
            </w:r>
          </w:p>
        </w:tc>
        <w:tc>
          <w:tcPr>
            <w:tcW w:w="721" w:type="pct"/>
            <w:tcBorders>
              <w:tl2br w:val="nil"/>
              <w:tr2bl w:val="nil"/>
            </w:tcBorders>
            <w:shd w:val="clear" w:color="auto" w:fill="auto"/>
            <w:vAlign w:val="center"/>
          </w:tcPr>
          <w:p w14:paraId="4B243713">
            <w:pPr>
              <w:widowControl/>
              <w:spacing w:line="240" w:lineRule="auto"/>
              <w:ind w:firstLine="0" w:firstLineChars="0"/>
              <w:jc w:val="center"/>
              <w:textAlignment w:val="center"/>
              <w:rPr>
                <w:color w:val="auto"/>
                <w:sz w:val="21"/>
                <w:szCs w:val="21"/>
              </w:rPr>
            </w:pPr>
            <w:r>
              <w:rPr>
                <w:color w:val="auto"/>
                <w:sz w:val="21"/>
                <w:szCs w:val="21"/>
              </w:rPr>
              <w:t>29.53%</w:t>
            </w:r>
          </w:p>
        </w:tc>
        <w:tc>
          <w:tcPr>
            <w:tcW w:w="721" w:type="pct"/>
            <w:tcBorders>
              <w:tl2br w:val="nil"/>
              <w:tr2bl w:val="nil"/>
            </w:tcBorders>
            <w:shd w:val="clear" w:color="auto" w:fill="auto"/>
            <w:vAlign w:val="center"/>
          </w:tcPr>
          <w:p w14:paraId="06940D67">
            <w:pPr>
              <w:widowControl/>
              <w:spacing w:line="240" w:lineRule="auto"/>
              <w:ind w:firstLine="0" w:firstLineChars="0"/>
              <w:textAlignment w:val="center"/>
              <w:rPr>
                <w:color w:val="auto"/>
                <w:sz w:val="21"/>
                <w:szCs w:val="21"/>
              </w:rPr>
            </w:pPr>
            <w:r>
              <w:rPr>
                <w:color w:val="auto"/>
                <w:sz w:val="21"/>
                <w:szCs w:val="21"/>
              </w:rPr>
              <w:t>M1=34.97</w:t>
            </w:r>
          </w:p>
          <w:p w14:paraId="28704CE1">
            <w:pPr>
              <w:widowControl/>
              <w:spacing w:line="240" w:lineRule="auto"/>
              <w:ind w:firstLine="0" w:firstLineChars="0"/>
              <w:textAlignment w:val="center"/>
              <w:rPr>
                <w:color w:val="auto"/>
                <w:sz w:val="21"/>
                <w:szCs w:val="21"/>
              </w:rPr>
            </w:pPr>
            <w:r>
              <w:rPr>
                <w:color w:val="auto"/>
                <w:sz w:val="21"/>
                <w:szCs w:val="21"/>
              </w:rPr>
              <w:t>M2=180.53</w:t>
            </w:r>
          </w:p>
        </w:tc>
      </w:tr>
      <w:tr w14:paraId="725C9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70BCB71F">
            <w:pPr>
              <w:widowControl/>
              <w:spacing w:line="240" w:lineRule="auto"/>
              <w:ind w:firstLine="0" w:firstLineChars="0"/>
              <w:jc w:val="center"/>
              <w:textAlignment w:val="center"/>
              <w:rPr>
                <w:color w:val="auto"/>
                <w:sz w:val="21"/>
                <w:szCs w:val="21"/>
              </w:rPr>
            </w:pPr>
            <w:r>
              <w:rPr>
                <w:color w:val="auto"/>
                <w:sz w:val="21"/>
                <w:szCs w:val="21"/>
              </w:rPr>
              <w:t>3</w:t>
            </w:r>
          </w:p>
        </w:tc>
        <w:tc>
          <w:tcPr>
            <w:tcW w:w="1794" w:type="pct"/>
            <w:tcBorders>
              <w:tl2br w:val="nil"/>
              <w:tr2bl w:val="nil"/>
            </w:tcBorders>
            <w:shd w:val="clear" w:color="auto" w:fill="auto"/>
            <w:vAlign w:val="center"/>
          </w:tcPr>
          <w:p w14:paraId="2146F16C">
            <w:pPr>
              <w:widowControl/>
              <w:spacing w:line="240" w:lineRule="auto"/>
              <w:ind w:firstLine="0" w:firstLineChars="0"/>
              <w:jc w:val="center"/>
              <w:textAlignment w:val="center"/>
              <w:rPr>
                <w:color w:val="auto"/>
                <w:sz w:val="21"/>
                <w:szCs w:val="21"/>
              </w:rPr>
            </w:pPr>
            <w:r>
              <w:rPr>
                <w:color w:val="auto"/>
                <w:sz w:val="21"/>
                <w:szCs w:val="21"/>
              </w:rPr>
              <w:t>公共管理与公共服务用地</w:t>
            </w:r>
          </w:p>
        </w:tc>
        <w:tc>
          <w:tcPr>
            <w:tcW w:w="535" w:type="pct"/>
            <w:tcBorders>
              <w:tl2br w:val="nil"/>
              <w:tr2bl w:val="nil"/>
            </w:tcBorders>
            <w:shd w:val="clear" w:color="auto" w:fill="auto"/>
            <w:vAlign w:val="center"/>
          </w:tcPr>
          <w:p w14:paraId="4BB1A176">
            <w:pPr>
              <w:widowControl/>
              <w:spacing w:line="240" w:lineRule="auto"/>
              <w:ind w:firstLine="0" w:firstLineChars="0"/>
              <w:jc w:val="center"/>
              <w:textAlignment w:val="center"/>
              <w:rPr>
                <w:color w:val="auto"/>
                <w:sz w:val="21"/>
                <w:szCs w:val="21"/>
              </w:rPr>
            </w:pPr>
            <w:r>
              <w:rPr>
                <w:color w:val="auto"/>
                <w:sz w:val="21"/>
                <w:szCs w:val="21"/>
              </w:rPr>
              <w:t>A</w:t>
            </w:r>
          </w:p>
        </w:tc>
        <w:tc>
          <w:tcPr>
            <w:tcW w:w="662" w:type="pct"/>
            <w:tcBorders>
              <w:tl2br w:val="nil"/>
              <w:tr2bl w:val="nil"/>
            </w:tcBorders>
            <w:shd w:val="clear" w:color="auto" w:fill="auto"/>
            <w:vAlign w:val="center"/>
          </w:tcPr>
          <w:p w14:paraId="2C910F61">
            <w:pPr>
              <w:widowControl/>
              <w:spacing w:line="240" w:lineRule="auto"/>
              <w:ind w:firstLine="0" w:firstLineChars="0"/>
              <w:jc w:val="center"/>
              <w:textAlignment w:val="center"/>
              <w:rPr>
                <w:color w:val="auto"/>
                <w:sz w:val="21"/>
                <w:szCs w:val="21"/>
              </w:rPr>
            </w:pPr>
            <w:r>
              <w:rPr>
                <w:color w:val="auto"/>
                <w:sz w:val="21"/>
                <w:szCs w:val="21"/>
              </w:rPr>
              <w:t>47.42</w:t>
            </w:r>
          </w:p>
        </w:tc>
        <w:tc>
          <w:tcPr>
            <w:tcW w:w="721" w:type="pct"/>
            <w:tcBorders>
              <w:tl2br w:val="nil"/>
              <w:tr2bl w:val="nil"/>
            </w:tcBorders>
            <w:shd w:val="clear" w:color="auto" w:fill="auto"/>
            <w:vAlign w:val="center"/>
          </w:tcPr>
          <w:p w14:paraId="32C7F6AC">
            <w:pPr>
              <w:widowControl/>
              <w:spacing w:line="240" w:lineRule="auto"/>
              <w:ind w:firstLine="0" w:firstLineChars="0"/>
              <w:jc w:val="center"/>
              <w:textAlignment w:val="center"/>
              <w:rPr>
                <w:color w:val="auto"/>
                <w:sz w:val="21"/>
                <w:szCs w:val="21"/>
              </w:rPr>
            </w:pPr>
            <w:r>
              <w:rPr>
                <w:color w:val="auto"/>
                <w:sz w:val="21"/>
                <w:szCs w:val="21"/>
              </w:rPr>
              <w:t>6.50%</w:t>
            </w:r>
          </w:p>
        </w:tc>
        <w:tc>
          <w:tcPr>
            <w:tcW w:w="721" w:type="pct"/>
            <w:tcBorders>
              <w:tl2br w:val="nil"/>
              <w:tr2bl w:val="nil"/>
            </w:tcBorders>
            <w:shd w:val="clear" w:color="auto" w:fill="auto"/>
            <w:vAlign w:val="center"/>
          </w:tcPr>
          <w:p w14:paraId="02393B79">
            <w:pPr>
              <w:widowControl/>
              <w:spacing w:line="240" w:lineRule="auto"/>
              <w:ind w:firstLine="0" w:firstLineChars="0"/>
              <w:jc w:val="center"/>
              <w:textAlignment w:val="center"/>
              <w:rPr>
                <w:color w:val="auto"/>
                <w:sz w:val="21"/>
                <w:szCs w:val="21"/>
              </w:rPr>
            </w:pPr>
          </w:p>
        </w:tc>
      </w:tr>
      <w:tr w14:paraId="4BC45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71D02FF4">
            <w:pPr>
              <w:widowControl/>
              <w:spacing w:line="240" w:lineRule="auto"/>
              <w:ind w:firstLine="0" w:firstLineChars="0"/>
              <w:jc w:val="center"/>
              <w:textAlignment w:val="center"/>
              <w:rPr>
                <w:color w:val="auto"/>
                <w:sz w:val="21"/>
                <w:szCs w:val="21"/>
              </w:rPr>
            </w:pPr>
            <w:r>
              <w:rPr>
                <w:color w:val="auto"/>
                <w:sz w:val="21"/>
                <w:szCs w:val="21"/>
              </w:rPr>
              <w:t>4</w:t>
            </w:r>
          </w:p>
        </w:tc>
        <w:tc>
          <w:tcPr>
            <w:tcW w:w="1794" w:type="pct"/>
            <w:tcBorders>
              <w:tl2br w:val="nil"/>
              <w:tr2bl w:val="nil"/>
            </w:tcBorders>
            <w:shd w:val="clear" w:color="auto" w:fill="auto"/>
            <w:vAlign w:val="center"/>
          </w:tcPr>
          <w:p w14:paraId="44BD9C9C">
            <w:pPr>
              <w:widowControl/>
              <w:spacing w:line="240" w:lineRule="auto"/>
              <w:ind w:firstLine="0" w:firstLineChars="0"/>
              <w:jc w:val="center"/>
              <w:textAlignment w:val="center"/>
              <w:rPr>
                <w:color w:val="auto"/>
                <w:sz w:val="21"/>
                <w:szCs w:val="21"/>
              </w:rPr>
            </w:pPr>
            <w:r>
              <w:rPr>
                <w:color w:val="auto"/>
                <w:sz w:val="21"/>
                <w:szCs w:val="21"/>
              </w:rPr>
              <w:t>商业服务业设施用地</w:t>
            </w:r>
          </w:p>
        </w:tc>
        <w:tc>
          <w:tcPr>
            <w:tcW w:w="535" w:type="pct"/>
            <w:tcBorders>
              <w:tl2br w:val="nil"/>
              <w:tr2bl w:val="nil"/>
            </w:tcBorders>
            <w:shd w:val="clear" w:color="auto" w:fill="auto"/>
            <w:vAlign w:val="center"/>
          </w:tcPr>
          <w:p w14:paraId="5CC2BBBB">
            <w:pPr>
              <w:widowControl/>
              <w:spacing w:line="240" w:lineRule="auto"/>
              <w:ind w:firstLine="0" w:firstLineChars="0"/>
              <w:jc w:val="center"/>
              <w:textAlignment w:val="center"/>
              <w:rPr>
                <w:color w:val="auto"/>
                <w:sz w:val="21"/>
                <w:szCs w:val="21"/>
              </w:rPr>
            </w:pPr>
            <w:r>
              <w:rPr>
                <w:color w:val="auto"/>
                <w:sz w:val="21"/>
                <w:szCs w:val="21"/>
              </w:rPr>
              <w:t>B</w:t>
            </w:r>
          </w:p>
        </w:tc>
        <w:tc>
          <w:tcPr>
            <w:tcW w:w="662" w:type="pct"/>
            <w:tcBorders>
              <w:tl2br w:val="nil"/>
              <w:tr2bl w:val="nil"/>
            </w:tcBorders>
            <w:shd w:val="clear" w:color="auto" w:fill="auto"/>
            <w:vAlign w:val="center"/>
          </w:tcPr>
          <w:p w14:paraId="6067B6D2">
            <w:pPr>
              <w:widowControl/>
              <w:spacing w:line="240" w:lineRule="auto"/>
              <w:ind w:firstLine="0" w:firstLineChars="0"/>
              <w:jc w:val="center"/>
              <w:textAlignment w:val="center"/>
              <w:rPr>
                <w:color w:val="auto"/>
                <w:sz w:val="21"/>
                <w:szCs w:val="21"/>
              </w:rPr>
            </w:pPr>
            <w:r>
              <w:rPr>
                <w:color w:val="auto"/>
                <w:sz w:val="21"/>
                <w:szCs w:val="21"/>
              </w:rPr>
              <w:t>96.05</w:t>
            </w:r>
          </w:p>
        </w:tc>
        <w:tc>
          <w:tcPr>
            <w:tcW w:w="721" w:type="pct"/>
            <w:tcBorders>
              <w:tl2br w:val="nil"/>
              <w:tr2bl w:val="nil"/>
            </w:tcBorders>
            <w:shd w:val="clear" w:color="auto" w:fill="auto"/>
            <w:vAlign w:val="center"/>
          </w:tcPr>
          <w:p w14:paraId="0965ED6B">
            <w:pPr>
              <w:widowControl/>
              <w:spacing w:line="240" w:lineRule="auto"/>
              <w:ind w:firstLine="0" w:firstLineChars="0"/>
              <w:jc w:val="center"/>
              <w:textAlignment w:val="center"/>
              <w:rPr>
                <w:color w:val="auto"/>
                <w:sz w:val="21"/>
                <w:szCs w:val="21"/>
              </w:rPr>
            </w:pPr>
            <w:r>
              <w:rPr>
                <w:color w:val="auto"/>
                <w:sz w:val="21"/>
                <w:szCs w:val="21"/>
              </w:rPr>
              <w:t>13.16%</w:t>
            </w:r>
          </w:p>
        </w:tc>
        <w:tc>
          <w:tcPr>
            <w:tcW w:w="721" w:type="pct"/>
            <w:tcBorders>
              <w:tl2br w:val="nil"/>
              <w:tr2bl w:val="nil"/>
            </w:tcBorders>
            <w:shd w:val="clear" w:color="auto" w:fill="auto"/>
            <w:vAlign w:val="center"/>
          </w:tcPr>
          <w:p w14:paraId="6700703A">
            <w:pPr>
              <w:widowControl/>
              <w:spacing w:line="240" w:lineRule="auto"/>
              <w:ind w:firstLine="0" w:firstLineChars="0"/>
              <w:jc w:val="center"/>
              <w:textAlignment w:val="center"/>
              <w:rPr>
                <w:color w:val="auto"/>
                <w:sz w:val="21"/>
                <w:szCs w:val="21"/>
              </w:rPr>
            </w:pPr>
          </w:p>
        </w:tc>
      </w:tr>
      <w:tr w14:paraId="12A9AF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730ADF7B">
            <w:pPr>
              <w:widowControl/>
              <w:spacing w:line="240" w:lineRule="auto"/>
              <w:ind w:firstLine="0" w:firstLineChars="0"/>
              <w:jc w:val="center"/>
              <w:textAlignment w:val="center"/>
              <w:rPr>
                <w:color w:val="auto"/>
                <w:sz w:val="21"/>
                <w:szCs w:val="21"/>
              </w:rPr>
            </w:pPr>
            <w:r>
              <w:rPr>
                <w:color w:val="auto"/>
                <w:sz w:val="21"/>
                <w:szCs w:val="21"/>
              </w:rPr>
              <w:t>5</w:t>
            </w:r>
          </w:p>
        </w:tc>
        <w:tc>
          <w:tcPr>
            <w:tcW w:w="1794" w:type="pct"/>
            <w:tcBorders>
              <w:tl2br w:val="nil"/>
              <w:tr2bl w:val="nil"/>
            </w:tcBorders>
            <w:shd w:val="clear" w:color="auto" w:fill="auto"/>
            <w:vAlign w:val="center"/>
          </w:tcPr>
          <w:p w14:paraId="4DFD0F3B">
            <w:pPr>
              <w:widowControl/>
              <w:spacing w:line="240" w:lineRule="auto"/>
              <w:ind w:firstLine="0" w:firstLineChars="0"/>
              <w:jc w:val="center"/>
              <w:textAlignment w:val="center"/>
              <w:rPr>
                <w:color w:val="auto"/>
                <w:sz w:val="21"/>
                <w:szCs w:val="21"/>
              </w:rPr>
            </w:pPr>
            <w:r>
              <w:rPr>
                <w:color w:val="auto"/>
                <w:sz w:val="21"/>
                <w:szCs w:val="21"/>
              </w:rPr>
              <w:t>道路与交通设施用地</w:t>
            </w:r>
          </w:p>
        </w:tc>
        <w:tc>
          <w:tcPr>
            <w:tcW w:w="535" w:type="pct"/>
            <w:tcBorders>
              <w:tl2br w:val="nil"/>
              <w:tr2bl w:val="nil"/>
            </w:tcBorders>
            <w:shd w:val="clear" w:color="auto" w:fill="auto"/>
            <w:vAlign w:val="center"/>
          </w:tcPr>
          <w:p w14:paraId="2E1AB30D">
            <w:pPr>
              <w:widowControl/>
              <w:spacing w:line="240" w:lineRule="auto"/>
              <w:ind w:firstLine="0" w:firstLineChars="0"/>
              <w:jc w:val="center"/>
              <w:textAlignment w:val="center"/>
              <w:rPr>
                <w:color w:val="auto"/>
                <w:sz w:val="21"/>
                <w:szCs w:val="21"/>
              </w:rPr>
            </w:pPr>
            <w:r>
              <w:rPr>
                <w:color w:val="auto"/>
                <w:sz w:val="21"/>
                <w:szCs w:val="21"/>
              </w:rPr>
              <w:t>S</w:t>
            </w:r>
          </w:p>
        </w:tc>
        <w:tc>
          <w:tcPr>
            <w:tcW w:w="662" w:type="pct"/>
            <w:tcBorders>
              <w:tl2br w:val="nil"/>
              <w:tr2bl w:val="nil"/>
            </w:tcBorders>
            <w:shd w:val="clear" w:color="auto" w:fill="auto"/>
            <w:vAlign w:val="center"/>
          </w:tcPr>
          <w:p w14:paraId="2107DECB">
            <w:pPr>
              <w:widowControl/>
              <w:spacing w:line="240" w:lineRule="auto"/>
              <w:ind w:firstLine="0" w:firstLineChars="0"/>
              <w:jc w:val="center"/>
              <w:textAlignment w:val="center"/>
              <w:rPr>
                <w:color w:val="auto"/>
                <w:sz w:val="21"/>
                <w:szCs w:val="21"/>
              </w:rPr>
            </w:pPr>
            <w:r>
              <w:rPr>
                <w:color w:val="auto"/>
                <w:sz w:val="21"/>
                <w:szCs w:val="21"/>
              </w:rPr>
              <w:t>149.72</w:t>
            </w:r>
          </w:p>
        </w:tc>
        <w:tc>
          <w:tcPr>
            <w:tcW w:w="721" w:type="pct"/>
            <w:tcBorders>
              <w:tl2br w:val="nil"/>
              <w:tr2bl w:val="nil"/>
            </w:tcBorders>
            <w:shd w:val="clear" w:color="auto" w:fill="auto"/>
            <w:vAlign w:val="center"/>
          </w:tcPr>
          <w:p w14:paraId="30E75492">
            <w:pPr>
              <w:widowControl/>
              <w:spacing w:line="240" w:lineRule="auto"/>
              <w:ind w:firstLine="0" w:firstLineChars="0"/>
              <w:jc w:val="center"/>
              <w:textAlignment w:val="center"/>
              <w:rPr>
                <w:color w:val="auto"/>
                <w:sz w:val="21"/>
                <w:szCs w:val="21"/>
              </w:rPr>
            </w:pPr>
            <w:r>
              <w:rPr>
                <w:color w:val="auto"/>
                <w:sz w:val="21"/>
                <w:szCs w:val="21"/>
              </w:rPr>
              <w:t>20.52%</w:t>
            </w:r>
          </w:p>
        </w:tc>
        <w:tc>
          <w:tcPr>
            <w:tcW w:w="721" w:type="pct"/>
            <w:tcBorders>
              <w:tl2br w:val="nil"/>
              <w:tr2bl w:val="nil"/>
            </w:tcBorders>
            <w:shd w:val="clear" w:color="auto" w:fill="auto"/>
            <w:vAlign w:val="center"/>
          </w:tcPr>
          <w:p w14:paraId="5FA435B1">
            <w:pPr>
              <w:widowControl/>
              <w:spacing w:line="240" w:lineRule="auto"/>
              <w:ind w:firstLine="0" w:firstLineChars="0"/>
              <w:jc w:val="center"/>
              <w:textAlignment w:val="center"/>
              <w:rPr>
                <w:color w:val="auto"/>
                <w:sz w:val="21"/>
                <w:szCs w:val="21"/>
              </w:rPr>
            </w:pPr>
          </w:p>
        </w:tc>
      </w:tr>
      <w:tr w14:paraId="2D465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498EA220">
            <w:pPr>
              <w:widowControl/>
              <w:spacing w:line="240" w:lineRule="auto"/>
              <w:ind w:firstLine="0" w:firstLineChars="0"/>
              <w:jc w:val="center"/>
              <w:textAlignment w:val="center"/>
              <w:rPr>
                <w:color w:val="auto"/>
                <w:sz w:val="21"/>
                <w:szCs w:val="21"/>
              </w:rPr>
            </w:pPr>
            <w:r>
              <w:rPr>
                <w:color w:val="auto"/>
                <w:sz w:val="21"/>
                <w:szCs w:val="21"/>
              </w:rPr>
              <w:t>6</w:t>
            </w:r>
          </w:p>
        </w:tc>
        <w:tc>
          <w:tcPr>
            <w:tcW w:w="1794" w:type="pct"/>
            <w:tcBorders>
              <w:tl2br w:val="nil"/>
              <w:tr2bl w:val="nil"/>
            </w:tcBorders>
            <w:shd w:val="clear" w:color="auto" w:fill="auto"/>
            <w:vAlign w:val="center"/>
          </w:tcPr>
          <w:p w14:paraId="380CFC6E">
            <w:pPr>
              <w:widowControl/>
              <w:spacing w:line="240" w:lineRule="auto"/>
              <w:ind w:firstLine="0" w:firstLineChars="0"/>
              <w:jc w:val="center"/>
              <w:textAlignment w:val="center"/>
              <w:rPr>
                <w:color w:val="auto"/>
                <w:sz w:val="21"/>
                <w:szCs w:val="21"/>
              </w:rPr>
            </w:pPr>
            <w:r>
              <w:rPr>
                <w:color w:val="auto"/>
                <w:sz w:val="21"/>
                <w:szCs w:val="21"/>
              </w:rPr>
              <w:t>公用设施用地</w:t>
            </w:r>
          </w:p>
        </w:tc>
        <w:tc>
          <w:tcPr>
            <w:tcW w:w="535" w:type="pct"/>
            <w:tcBorders>
              <w:tl2br w:val="nil"/>
              <w:tr2bl w:val="nil"/>
            </w:tcBorders>
            <w:shd w:val="clear" w:color="auto" w:fill="auto"/>
            <w:vAlign w:val="center"/>
          </w:tcPr>
          <w:p w14:paraId="71027200">
            <w:pPr>
              <w:widowControl/>
              <w:spacing w:line="240" w:lineRule="auto"/>
              <w:ind w:firstLine="0" w:firstLineChars="0"/>
              <w:jc w:val="center"/>
              <w:textAlignment w:val="center"/>
              <w:rPr>
                <w:color w:val="auto"/>
                <w:sz w:val="21"/>
                <w:szCs w:val="21"/>
              </w:rPr>
            </w:pPr>
            <w:r>
              <w:rPr>
                <w:color w:val="auto"/>
                <w:sz w:val="21"/>
                <w:szCs w:val="21"/>
              </w:rPr>
              <w:t>U</w:t>
            </w:r>
          </w:p>
        </w:tc>
        <w:tc>
          <w:tcPr>
            <w:tcW w:w="662" w:type="pct"/>
            <w:tcBorders>
              <w:tl2br w:val="nil"/>
              <w:tr2bl w:val="nil"/>
            </w:tcBorders>
            <w:shd w:val="clear" w:color="auto" w:fill="auto"/>
            <w:vAlign w:val="center"/>
          </w:tcPr>
          <w:p w14:paraId="6B2DB93E">
            <w:pPr>
              <w:widowControl/>
              <w:spacing w:line="240" w:lineRule="auto"/>
              <w:ind w:firstLine="0" w:firstLineChars="0"/>
              <w:jc w:val="center"/>
              <w:textAlignment w:val="center"/>
              <w:rPr>
                <w:color w:val="auto"/>
                <w:sz w:val="21"/>
                <w:szCs w:val="21"/>
              </w:rPr>
            </w:pPr>
            <w:r>
              <w:rPr>
                <w:color w:val="auto"/>
                <w:sz w:val="21"/>
                <w:szCs w:val="21"/>
              </w:rPr>
              <w:t>17.74</w:t>
            </w:r>
          </w:p>
        </w:tc>
        <w:tc>
          <w:tcPr>
            <w:tcW w:w="721" w:type="pct"/>
            <w:tcBorders>
              <w:tl2br w:val="nil"/>
              <w:tr2bl w:val="nil"/>
            </w:tcBorders>
            <w:shd w:val="clear" w:color="auto" w:fill="auto"/>
            <w:vAlign w:val="center"/>
          </w:tcPr>
          <w:p w14:paraId="050F5FAF">
            <w:pPr>
              <w:widowControl/>
              <w:spacing w:line="240" w:lineRule="auto"/>
              <w:ind w:firstLine="0" w:firstLineChars="0"/>
              <w:jc w:val="center"/>
              <w:textAlignment w:val="center"/>
              <w:rPr>
                <w:color w:val="auto"/>
                <w:sz w:val="21"/>
                <w:szCs w:val="21"/>
              </w:rPr>
            </w:pPr>
            <w:r>
              <w:rPr>
                <w:color w:val="auto"/>
                <w:sz w:val="21"/>
                <w:szCs w:val="21"/>
              </w:rPr>
              <w:t>2.43%</w:t>
            </w:r>
          </w:p>
        </w:tc>
        <w:tc>
          <w:tcPr>
            <w:tcW w:w="721" w:type="pct"/>
            <w:tcBorders>
              <w:tl2br w:val="nil"/>
              <w:tr2bl w:val="nil"/>
            </w:tcBorders>
            <w:shd w:val="clear" w:color="auto" w:fill="auto"/>
            <w:vAlign w:val="center"/>
          </w:tcPr>
          <w:p w14:paraId="3ABBBC08">
            <w:pPr>
              <w:widowControl/>
              <w:spacing w:line="240" w:lineRule="auto"/>
              <w:ind w:firstLine="0" w:firstLineChars="0"/>
              <w:jc w:val="center"/>
              <w:textAlignment w:val="center"/>
              <w:rPr>
                <w:color w:val="auto"/>
                <w:sz w:val="21"/>
                <w:szCs w:val="21"/>
              </w:rPr>
            </w:pPr>
          </w:p>
        </w:tc>
      </w:tr>
      <w:tr w14:paraId="7BDAB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76406AFA">
            <w:pPr>
              <w:widowControl/>
              <w:spacing w:line="240" w:lineRule="auto"/>
              <w:ind w:firstLine="0" w:firstLineChars="0"/>
              <w:jc w:val="center"/>
              <w:textAlignment w:val="center"/>
              <w:rPr>
                <w:color w:val="auto"/>
                <w:sz w:val="21"/>
                <w:szCs w:val="21"/>
              </w:rPr>
            </w:pPr>
            <w:r>
              <w:rPr>
                <w:color w:val="auto"/>
                <w:sz w:val="21"/>
                <w:szCs w:val="21"/>
              </w:rPr>
              <w:t>7</w:t>
            </w:r>
          </w:p>
        </w:tc>
        <w:tc>
          <w:tcPr>
            <w:tcW w:w="1794" w:type="pct"/>
            <w:tcBorders>
              <w:tl2br w:val="nil"/>
              <w:tr2bl w:val="nil"/>
            </w:tcBorders>
            <w:shd w:val="clear" w:color="auto" w:fill="auto"/>
            <w:vAlign w:val="center"/>
          </w:tcPr>
          <w:p w14:paraId="611597D4">
            <w:pPr>
              <w:widowControl/>
              <w:spacing w:line="240" w:lineRule="auto"/>
              <w:ind w:firstLine="0" w:firstLineChars="0"/>
              <w:jc w:val="center"/>
              <w:textAlignment w:val="center"/>
              <w:rPr>
                <w:color w:val="auto"/>
                <w:sz w:val="21"/>
                <w:szCs w:val="21"/>
              </w:rPr>
            </w:pPr>
            <w:r>
              <w:rPr>
                <w:color w:val="auto"/>
                <w:sz w:val="21"/>
                <w:szCs w:val="21"/>
              </w:rPr>
              <w:t>绿地与广场用地</w:t>
            </w:r>
          </w:p>
        </w:tc>
        <w:tc>
          <w:tcPr>
            <w:tcW w:w="535" w:type="pct"/>
            <w:tcBorders>
              <w:tl2br w:val="nil"/>
              <w:tr2bl w:val="nil"/>
            </w:tcBorders>
            <w:shd w:val="clear" w:color="auto" w:fill="auto"/>
            <w:vAlign w:val="center"/>
          </w:tcPr>
          <w:p w14:paraId="1F4CF4E1">
            <w:pPr>
              <w:widowControl/>
              <w:spacing w:line="240" w:lineRule="auto"/>
              <w:ind w:firstLine="0" w:firstLineChars="0"/>
              <w:jc w:val="center"/>
              <w:textAlignment w:val="center"/>
              <w:rPr>
                <w:color w:val="auto"/>
                <w:sz w:val="21"/>
                <w:szCs w:val="21"/>
              </w:rPr>
            </w:pPr>
            <w:r>
              <w:rPr>
                <w:color w:val="auto"/>
                <w:sz w:val="21"/>
                <w:szCs w:val="21"/>
              </w:rPr>
              <w:t>G</w:t>
            </w:r>
          </w:p>
        </w:tc>
        <w:tc>
          <w:tcPr>
            <w:tcW w:w="662" w:type="pct"/>
            <w:tcBorders>
              <w:tl2br w:val="nil"/>
              <w:tr2bl w:val="nil"/>
            </w:tcBorders>
            <w:shd w:val="clear" w:color="auto" w:fill="auto"/>
            <w:vAlign w:val="center"/>
          </w:tcPr>
          <w:p w14:paraId="7C325474">
            <w:pPr>
              <w:widowControl/>
              <w:spacing w:line="240" w:lineRule="auto"/>
              <w:ind w:firstLine="0" w:firstLineChars="0"/>
              <w:jc w:val="center"/>
              <w:textAlignment w:val="center"/>
              <w:rPr>
                <w:color w:val="auto"/>
                <w:sz w:val="21"/>
                <w:szCs w:val="21"/>
              </w:rPr>
            </w:pPr>
            <w:r>
              <w:rPr>
                <w:color w:val="auto"/>
                <w:sz w:val="21"/>
                <w:szCs w:val="21"/>
              </w:rPr>
              <w:t>79.96</w:t>
            </w:r>
          </w:p>
        </w:tc>
        <w:tc>
          <w:tcPr>
            <w:tcW w:w="721" w:type="pct"/>
            <w:tcBorders>
              <w:tl2br w:val="nil"/>
              <w:tr2bl w:val="nil"/>
            </w:tcBorders>
            <w:shd w:val="clear" w:color="auto" w:fill="auto"/>
            <w:vAlign w:val="center"/>
          </w:tcPr>
          <w:p w14:paraId="3DEAECDE">
            <w:pPr>
              <w:widowControl/>
              <w:spacing w:line="240" w:lineRule="auto"/>
              <w:ind w:firstLine="0" w:firstLineChars="0"/>
              <w:jc w:val="center"/>
              <w:textAlignment w:val="center"/>
              <w:rPr>
                <w:color w:val="auto"/>
                <w:sz w:val="21"/>
                <w:szCs w:val="21"/>
              </w:rPr>
            </w:pPr>
            <w:r>
              <w:rPr>
                <w:color w:val="auto"/>
                <w:sz w:val="21"/>
                <w:szCs w:val="21"/>
              </w:rPr>
              <w:t>10.96%</w:t>
            </w:r>
          </w:p>
        </w:tc>
        <w:tc>
          <w:tcPr>
            <w:tcW w:w="721" w:type="pct"/>
            <w:tcBorders>
              <w:tl2br w:val="nil"/>
              <w:tr2bl w:val="nil"/>
            </w:tcBorders>
            <w:shd w:val="clear" w:color="auto" w:fill="auto"/>
            <w:vAlign w:val="center"/>
          </w:tcPr>
          <w:p w14:paraId="21028281">
            <w:pPr>
              <w:widowControl/>
              <w:spacing w:line="240" w:lineRule="auto"/>
              <w:ind w:firstLine="0" w:firstLineChars="0"/>
              <w:jc w:val="center"/>
              <w:textAlignment w:val="center"/>
              <w:rPr>
                <w:color w:val="auto"/>
                <w:sz w:val="21"/>
                <w:szCs w:val="21"/>
              </w:rPr>
            </w:pPr>
          </w:p>
        </w:tc>
      </w:tr>
      <w:tr w14:paraId="4C35BE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noWrap/>
            <w:vAlign w:val="center"/>
          </w:tcPr>
          <w:p w14:paraId="2E22417F">
            <w:pPr>
              <w:widowControl/>
              <w:spacing w:line="240" w:lineRule="auto"/>
              <w:ind w:firstLine="0" w:firstLineChars="0"/>
              <w:jc w:val="center"/>
              <w:textAlignment w:val="center"/>
              <w:rPr>
                <w:color w:val="auto"/>
                <w:sz w:val="21"/>
                <w:szCs w:val="21"/>
              </w:rPr>
            </w:pPr>
            <w:r>
              <w:rPr>
                <w:color w:val="auto"/>
                <w:sz w:val="21"/>
                <w:szCs w:val="21"/>
              </w:rPr>
              <w:t>8</w:t>
            </w:r>
          </w:p>
        </w:tc>
        <w:tc>
          <w:tcPr>
            <w:tcW w:w="1794" w:type="pct"/>
            <w:tcBorders>
              <w:tl2br w:val="nil"/>
              <w:tr2bl w:val="nil"/>
            </w:tcBorders>
            <w:shd w:val="clear" w:color="auto" w:fill="auto"/>
            <w:vAlign w:val="center"/>
          </w:tcPr>
          <w:p w14:paraId="4078A15C">
            <w:pPr>
              <w:widowControl/>
              <w:spacing w:line="240" w:lineRule="auto"/>
              <w:ind w:firstLine="0" w:firstLineChars="0"/>
              <w:jc w:val="center"/>
              <w:textAlignment w:val="center"/>
              <w:rPr>
                <w:color w:val="auto"/>
                <w:sz w:val="21"/>
                <w:szCs w:val="21"/>
              </w:rPr>
            </w:pPr>
            <w:r>
              <w:rPr>
                <w:color w:val="auto"/>
                <w:sz w:val="21"/>
                <w:szCs w:val="21"/>
              </w:rPr>
              <w:t>总建设用地</w:t>
            </w:r>
          </w:p>
        </w:tc>
        <w:tc>
          <w:tcPr>
            <w:tcW w:w="535" w:type="pct"/>
            <w:tcBorders>
              <w:tl2br w:val="nil"/>
              <w:tr2bl w:val="nil"/>
            </w:tcBorders>
            <w:shd w:val="clear" w:color="auto" w:fill="auto"/>
            <w:vAlign w:val="center"/>
          </w:tcPr>
          <w:p w14:paraId="0E4A6AD2">
            <w:pPr>
              <w:widowControl/>
              <w:spacing w:line="240" w:lineRule="auto"/>
              <w:ind w:firstLine="0" w:firstLineChars="0"/>
              <w:jc w:val="center"/>
              <w:textAlignment w:val="center"/>
              <w:rPr>
                <w:color w:val="auto"/>
                <w:sz w:val="21"/>
                <w:szCs w:val="21"/>
              </w:rPr>
            </w:pPr>
          </w:p>
        </w:tc>
        <w:tc>
          <w:tcPr>
            <w:tcW w:w="662" w:type="pct"/>
            <w:tcBorders>
              <w:tl2br w:val="nil"/>
              <w:tr2bl w:val="nil"/>
            </w:tcBorders>
            <w:shd w:val="clear" w:color="auto" w:fill="auto"/>
            <w:vAlign w:val="center"/>
          </w:tcPr>
          <w:p w14:paraId="0BC4973C">
            <w:pPr>
              <w:widowControl/>
              <w:spacing w:line="240" w:lineRule="auto"/>
              <w:ind w:firstLine="0" w:firstLineChars="0"/>
              <w:jc w:val="center"/>
              <w:textAlignment w:val="center"/>
              <w:rPr>
                <w:color w:val="auto"/>
                <w:sz w:val="21"/>
                <w:szCs w:val="21"/>
              </w:rPr>
            </w:pPr>
            <w:r>
              <w:rPr>
                <w:color w:val="auto"/>
                <w:sz w:val="21"/>
                <w:szCs w:val="21"/>
              </w:rPr>
              <w:t>729.66</w:t>
            </w:r>
          </w:p>
        </w:tc>
        <w:tc>
          <w:tcPr>
            <w:tcW w:w="721" w:type="pct"/>
            <w:tcBorders>
              <w:tl2br w:val="nil"/>
              <w:tr2bl w:val="nil"/>
            </w:tcBorders>
            <w:shd w:val="clear" w:color="auto" w:fill="auto"/>
            <w:vAlign w:val="center"/>
          </w:tcPr>
          <w:p w14:paraId="0DFCDB4E">
            <w:pPr>
              <w:widowControl/>
              <w:spacing w:line="240" w:lineRule="auto"/>
              <w:ind w:firstLine="0" w:firstLineChars="0"/>
              <w:jc w:val="center"/>
              <w:textAlignment w:val="center"/>
              <w:rPr>
                <w:color w:val="auto"/>
                <w:sz w:val="21"/>
                <w:szCs w:val="21"/>
              </w:rPr>
            </w:pPr>
            <w:r>
              <w:rPr>
                <w:color w:val="auto"/>
                <w:sz w:val="21"/>
                <w:szCs w:val="21"/>
              </w:rPr>
              <w:t>100.00%</w:t>
            </w:r>
          </w:p>
        </w:tc>
        <w:tc>
          <w:tcPr>
            <w:tcW w:w="721" w:type="pct"/>
            <w:tcBorders>
              <w:tl2br w:val="nil"/>
              <w:tr2bl w:val="nil"/>
            </w:tcBorders>
            <w:shd w:val="clear" w:color="auto" w:fill="auto"/>
            <w:vAlign w:val="center"/>
          </w:tcPr>
          <w:p w14:paraId="20809421">
            <w:pPr>
              <w:widowControl/>
              <w:spacing w:line="240" w:lineRule="auto"/>
              <w:ind w:firstLine="0" w:firstLineChars="0"/>
              <w:jc w:val="center"/>
              <w:textAlignment w:val="center"/>
              <w:rPr>
                <w:color w:val="auto"/>
                <w:sz w:val="21"/>
                <w:szCs w:val="21"/>
              </w:rPr>
            </w:pPr>
          </w:p>
        </w:tc>
      </w:tr>
      <w:tr w14:paraId="1132F8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64" w:type="pct"/>
            <w:tcBorders>
              <w:tl2br w:val="nil"/>
              <w:tr2bl w:val="nil"/>
            </w:tcBorders>
            <w:shd w:val="clear" w:color="auto" w:fill="auto"/>
            <w:vAlign w:val="center"/>
          </w:tcPr>
          <w:p w14:paraId="2AAC9F0D">
            <w:pPr>
              <w:widowControl/>
              <w:spacing w:line="240" w:lineRule="auto"/>
              <w:ind w:firstLine="0" w:firstLineChars="0"/>
              <w:jc w:val="center"/>
              <w:textAlignment w:val="center"/>
              <w:rPr>
                <w:color w:val="auto"/>
                <w:sz w:val="21"/>
                <w:szCs w:val="21"/>
              </w:rPr>
            </w:pPr>
            <w:r>
              <w:rPr>
                <w:color w:val="auto"/>
                <w:sz w:val="21"/>
                <w:szCs w:val="21"/>
              </w:rPr>
              <w:t>9</w:t>
            </w:r>
          </w:p>
        </w:tc>
        <w:tc>
          <w:tcPr>
            <w:tcW w:w="1794" w:type="pct"/>
            <w:tcBorders>
              <w:tl2br w:val="nil"/>
              <w:tr2bl w:val="nil"/>
            </w:tcBorders>
            <w:shd w:val="clear" w:color="auto" w:fill="auto"/>
            <w:vAlign w:val="center"/>
          </w:tcPr>
          <w:p w14:paraId="3109AF93">
            <w:pPr>
              <w:widowControl/>
              <w:spacing w:line="240" w:lineRule="auto"/>
              <w:ind w:firstLine="0" w:firstLineChars="0"/>
              <w:jc w:val="center"/>
              <w:textAlignment w:val="center"/>
              <w:rPr>
                <w:color w:val="auto"/>
                <w:sz w:val="21"/>
                <w:szCs w:val="21"/>
              </w:rPr>
            </w:pPr>
            <w:r>
              <w:rPr>
                <w:color w:val="auto"/>
                <w:sz w:val="21"/>
                <w:szCs w:val="21"/>
              </w:rPr>
              <w:t>非建设用地</w:t>
            </w:r>
          </w:p>
        </w:tc>
        <w:tc>
          <w:tcPr>
            <w:tcW w:w="535" w:type="pct"/>
            <w:tcBorders>
              <w:tl2br w:val="nil"/>
              <w:tr2bl w:val="nil"/>
            </w:tcBorders>
            <w:shd w:val="clear" w:color="auto" w:fill="auto"/>
            <w:vAlign w:val="center"/>
          </w:tcPr>
          <w:p w14:paraId="40ED62A9">
            <w:pPr>
              <w:widowControl/>
              <w:spacing w:line="240" w:lineRule="auto"/>
              <w:ind w:firstLine="0" w:firstLineChars="0"/>
              <w:jc w:val="center"/>
              <w:textAlignment w:val="center"/>
              <w:rPr>
                <w:color w:val="auto"/>
                <w:sz w:val="21"/>
                <w:szCs w:val="21"/>
              </w:rPr>
            </w:pPr>
            <w:r>
              <w:rPr>
                <w:color w:val="auto"/>
                <w:sz w:val="21"/>
                <w:szCs w:val="21"/>
              </w:rPr>
              <w:t>E</w:t>
            </w:r>
          </w:p>
        </w:tc>
        <w:tc>
          <w:tcPr>
            <w:tcW w:w="662" w:type="pct"/>
            <w:tcBorders>
              <w:tl2br w:val="nil"/>
              <w:tr2bl w:val="nil"/>
            </w:tcBorders>
            <w:shd w:val="clear" w:color="auto" w:fill="auto"/>
            <w:vAlign w:val="center"/>
          </w:tcPr>
          <w:p w14:paraId="5AD48693">
            <w:pPr>
              <w:widowControl/>
              <w:spacing w:line="240" w:lineRule="auto"/>
              <w:ind w:firstLine="0" w:firstLineChars="0"/>
              <w:jc w:val="center"/>
              <w:textAlignment w:val="center"/>
              <w:rPr>
                <w:color w:val="auto"/>
                <w:sz w:val="21"/>
                <w:szCs w:val="21"/>
              </w:rPr>
            </w:pPr>
            <w:r>
              <w:rPr>
                <w:color w:val="auto"/>
                <w:sz w:val="21"/>
                <w:szCs w:val="21"/>
              </w:rPr>
              <w:t>67.44</w:t>
            </w:r>
          </w:p>
        </w:tc>
        <w:tc>
          <w:tcPr>
            <w:tcW w:w="721" w:type="pct"/>
            <w:tcBorders>
              <w:tl2br w:val="nil"/>
              <w:tr2bl w:val="nil"/>
            </w:tcBorders>
            <w:shd w:val="clear" w:color="auto" w:fill="auto"/>
            <w:vAlign w:val="center"/>
          </w:tcPr>
          <w:p w14:paraId="445F1CB4">
            <w:pPr>
              <w:widowControl/>
              <w:spacing w:line="240" w:lineRule="auto"/>
              <w:ind w:firstLine="0" w:firstLineChars="0"/>
              <w:jc w:val="center"/>
              <w:textAlignment w:val="center"/>
              <w:rPr>
                <w:color w:val="auto"/>
                <w:sz w:val="21"/>
                <w:szCs w:val="21"/>
              </w:rPr>
            </w:pPr>
          </w:p>
        </w:tc>
        <w:tc>
          <w:tcPr>
            <w:tcW w:w="721" w:type="pct"/>
            <w:tcBorders>
              <w:tl2br w:val="nil"/>
              <w:tr2bl w:val="nil"/>
            </w:tcBorders>
            <w:shd w:val="clear" w:color="auto" w:fill="auto"/>
            <w:vAlign w:val="center"/>
          </w:tcPr>
          <w:p w14:paraId="2DD07373">
            <w:pPr>
              <w:widowControl/>
              <w:spacing w:line="240" w:lineRule="auto"/>
              <w:ind w:firstLine="0" w:firstLineChars="0"/>
              <w:jc w:val="center"/>
              <w:textAlignment w:val="center"/>
              <w:rPr>
                <w:color w:val="auto"/>
                <w:sz w:val="21"/>
                <w:szCs w:val="21"/>
              </w:rPr>
            </w:pPr>
          </w:p>
        </w:tc>
      </w:tr>
      <w:tr w14:paraId="2BD14A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64" w:type="pct"/>
            <w:tcBorders>
              <w:tl2br w:val="nil"/>
              <w:tr2bl w:val="nil"/>
            </w:tcBorders>
            <w:shd w:val="clear" w:color="auto" w:fill="auto"/>
            <w:noWrap/>
            <w:vAlign w:val="center"/>
          </w:tcPr>
          <w:p w14:paraId="105FF15A">
            <w:pPr>
              <w:widowControl/>
              <w:spacing w:line="240" w:lineRule="auto"/>
              <w:ind w:firstLine="0" w:firstLineChars="0"/>
              <w:jc w:val="center"/>
              <w:textAlignment w:val="center"/>
              <w:rPr>
                <w:color w:val="auto"/>
                <w:sz w:val="21"/>
                <w:szCs w:val="21"/>
              </w:rPr>
            </w:pPr>
            <w:r>
              <w:rPr>
                <w:color w:val="auto"/>
                <w:sz w:val="21"/>
                <w:szCs w:val="21"/>
              </w:rPr>
              <w:t>合计</w:t>
            </w:r>
          </w:p>
        </w:tc>
        <w:tc>
          <w:tcPr>
            <w:tcW w:w="2330" w:type="pct"/>
            <w:gridSpan w:val="2"/>
            <w:tcBorders>
              <w:tl2br w:val="nil"/>
              <w:tr2bl w:val="nil"/>
            </w:tcBorders>
            <w:shd w:val="clear" w:color="auto" w:fill="auto"/>
            <w:noWrap/>
            <w:vAlign w:val="center"/>
          </w:tcPr>
          <w:p w14:paraId="13970A33">
            <w:pPr>
              <w:widowControl/>
              <w:spacing w:line="240" w:lineRule="auto"/>
              <w:ind w:firstLine="0" w:firstLineChars="0"/>
              <w:jc w:val="center"/>
              <w:textAlignment w:val="center"/>
              <w:rPr>
                <w:color w:val="auto"/>
                <w:sz w:val="21"/>
                <w:szCs w:val="21"/>
              </w:rPr>
            </w:pPr>
            <w:r>
              <w:rPr>
                <w:color w:val="auto"/>
                <w:sz w:val="21"/>
                <w:szCs w:val="21"/>
              </w:rPr>
              <w:t>规划范围总面积</w:t>
            </w:r>
          </w:p>
        </w:tc>
        <w:tc>
          <w:tcPr>
            <w:tcW w:w="662" w:type="pct"/>
            <w:tcBorders>
              <w:tl2br w:val="nil"/>
              <w:tr2bl w:val="nil"/>
            </w:tcBorders>
            <w:shd w:val="clear" w:color="auto" w:fill="auto"/>
            <w:noWrap/>
            <w:vAlign w:val="center"/>
          </w:tcPr>
          <w:p w14:paraId="00E162E2">
            <w:pPr>
              <w:widowControl/>
              <w:spacing w:line="240" w:lineRule="auto"/>
              <w:ind w:firstLine="0" w:firstLineChars="0"/>
              <w:jc w:val="center"/>
              <w:textAlignment w:val="center"/>
              <w:rPr>
                <w:color w:val="auto"/>
                <w:sz w:val="21"/>
                <w:szCs w:val="21"/>
              </w:rPr>
            </w:pPr>
            <w:r>
              <w:rPr>
                <w:color w:val="auto"/>
                <w:sz w:val="21"/>
                <w:szCs w:val="21"/>
              </w:rPr>
              <w:t>797.1</w:t>
            </w:r>
          </w:p>
        </w:tc>
        <w:tc>
          <w:tcPr>
            <w:tcW w:w="721" w:type="pct"/>
            <w:tcBorders>
              <w:tl2br w:val="nil"/>
              <w:tr2bl w:val="nil"/>
            </w:tcBorders>
            <w:shd w:val="clear" w:color="auto" w:fill="auto"/>
            <w:vAlign w:val="center"/>
          </w:tcPr>
          <w:p w14:paraId="4EEDE6A6">
            <w:pPr>
              <w:widowControl/>
              <w:spacing w:line="240" w:lineRule="auto"/>
              <w:ind w:firstLine="0" w:firstLineChars="0"/>
              <w:jc w:val="center"/>
              <w:textAlignment w:val="center"/>
              <w:rPr>
                <w:color w:val="auto"/>
                <w:sz w:val="21"/>
                <w:szCs w:val="21"/>
              </w:rPr>
            </w:pPr>
          </w:p>
        </w:tc>
        <w:tc>
          <w:tcPr>
            <w:tcW w:w="721" w:type="pct"/>
            <w:tcBorders>
              <w:tl2br w:val="nil"/>
              <w:tr2bl w:val="nil"/>
            </w:tcBorders>
            <w:shd w:val="clear" w:color="auto" w:fill="auto"/>
            <w:vAlign w:val="center"/>
          </w:tcPr>
          <w:p w14:paraId="28586092">
            <w:pPr>
              <w:widowControl/>
              <w:spacing w:line="240" w:lineRule="auto"/>
              <w:ind w:firstLine="0" w:firstLineChars="0"/>
              <w:jc w:val="center"/>
              <w:textAlignment w:val="center"/>
              <w:rPr>
                <w:color w:val="auto"/>
                <w:sz w:val="21"/>
                <w:szCs w:val="21"/>
              </w:rPr>
            </w:pPr>
          </w:p>
        </w:tc>
      </w:tr>
    </w:tbl>
    <w:p w14:paraId="7390D6BA">
      <w:pPr>
        <w:ind w:firstLine="480"/>
        <w:rPr>
          <w:color w:val="auto"/>
        </w:rPr>
      </w:pPr>
      <w:r>
        <w:rPr>
          <w:color w:val="auto"/>
        </w:rPr>
        <w:t>（2）园区人口情况</w:t>
      </w:r>
    </w:p>
    <w:p w14:paraId="59BD687C">
      <w:pPr>
        <w:ind w:firstLine="480"/>
        <w:rPr>
          <w:color w:val="auto"/>
        </w:rPr>
      </w:pPr>
      <w:r>
        <w:rPr>
          <w:color w:val="auto"/>
        </w:rPr>
        <w:t>根据九龙工业园区管理委员会提供资料显示，园区现状共11.85万人，其中A区约4.58万人，B区约4.30万人，C区约2.97万人。</w:t>
      </w:r>
    </w:p>
    <w:p w14:paraId="7320D6BA">
      <w:pPr>
        <w:ind w:firstLine="480"/>
        <w:rPr>
          <w:color w:val="auto"/>
        </w:rPr>
      </w:pPr>
      <w:r>
        <w:rPr>
          <w:color w:val="auto"/>
        </w:rPr>
        <w:t>根据《重庆市九龙坡区国民经济和社会发展第十四个五年规划和二〇三五年远景目标纲要》，结合近年来常住人口变化趋势，预测2019～2025年常住城镇人口年增长率为2.5~3.0%，本次人口增长率取3.0%。</w:t>
      </w:r>
    </w:p>
    <w:p w14:paraId="2E60A5EB">
      <w:pPr>
        <w:snapToGrid w:val="0"/>
        <w:spacing w:line="560" w:lineRule="exact"/>
        <w:ind w:firstLine="0" w:firstLineChars="0"/>
        <w:rPr>
          <w:b/>
          <w:bCs/>
          <w:color w:val="auto"/>
        </w:rPr>
      </w:pPr>
      <w:r>
        <w:rPr>
          <w:b/>
          <w:bCs/>
          <w:color w:val="auto"/>
        </w:rPr>
        <w:t>表4.1-</w:t>
      </w:r>
      <w:r>
        <w:rPr>
          <w:rFonts w:hint="eastAsia"/>
          <w:b/>
          <w:bCs/>
          <w:color w:val="auto"/>
        </w:rPr>
        <w:t>5</w:t>
      </w:r>
      <w:r>
        <w:rPr>
          <w:b/>
          <w:bCs/>
          <w:color w:val="auto"/>
        </w:rPr>
        <w:t xml:space="preserve">              九龙工业园区各分区人口情况</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70"/>
        <w:gridCol w:w="1479"/>
        <w:gridCol w:w="2176"/>
        <w:gridCol w:w="1882"/>
        <w:gridCol w:w="2106"/>
      </w:tblGrid>
      <w:tr w14:paraId="18CF0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06" w:type="pct"/>
            <w:shd w:val="clear" w:color="auto" w:fill="auto"/>
            <w:vAlign w:val="center"/>
          </w:tcPr>
          <w:p w14:paraId="35E7D5B2">
            <w:pPr>
              <w:widowControl/>
              <w:spacing w:line="240" w:lineRule="auto"/>
              <w:ind w:firstLine="0" w:firstLineChars="0"/>
              <w:jc w:val="center"/>
              <w:textAlignment w:val="center"/>
              <w:rPr>
                <w:b/>
                <w:bCs/>
                <w:color w:val="auto"/>
                <w:sz w:val="21"/>
                <w:szCs w:val="21"/>
              </w:rPr>
            </w:pPr>
            <w:r>
              <w:rPr>
                <w:b/>
                <w:bCs/>
                <w:color w:val="auto"/>
                <w:sz w:val="21"/>
                <w:szCs w:val="21"/>
                <w:lang w:bidi="ar"/>
              </w:rPr>
              <w:t>序号</w:t>
            </w:r>
          </w:p>
        </w:tc>
        <w:tc>
          <w:tcPr>
            <w:tcW w:w="811" w:type="pct"/>
            <w:shd w:val="clear" w:color="auto" w:fill="auto"/>
            <w:vAlign w:val="center"/>
          </w:tcPr>
          <w:p w14:paraId="796232C5">
            <w:pPr>
              <w:widowControl/>
              <w:spacing w:line="240" w:lineRule="auto"/>
              <w:ind w:firstLine="0" w:firstLineChars="0"/>
              <w:jc w:val="center"/>
              <w:textAlignment w:val="center"/>
              <w:rPr>
                <w:b/>
                <w:bCs/>
                <w:color w:val="auto"/>
                <w:sz w:val="21"/>
                <w:szCs w:val="21"/>
              </w:rPr>
            </w:pPr>
            <w:r>
              <w:rPr>
                <w:b/>
                <w:bCs/>
                <w:color w:val="auto"/>
                <w:sz w:val="21"/>
                <w:szCs w:val="21"/>
                <w:lang w:bidi="ar"/>
              </w:rPr>
              <w:t>分区</w:t>
            </w:r>
          </w:p>
        </w:tc>
        <w:tc>
          <w:tcPr>
            <w:tcW w:w="1193" w:type="pct"/>
            <w:shd w:val="clear" w:color="auto" w:fill="auto"/>
            <w:vAlign w:val="center"/>
          </w:tcPr>
          <w:p w14:paraId="0B944B2A">
            <w:pPr>
              <w:widowControl/>
              <w:spacing w:line="240" w:lineRule="auto"/>
              <w:ind w:firstLine="0" w:firstLineChars="0"/>
              <w:jc w:val="center"/>
              <w:textAlignment w:val="center"/>
              <w:rPr>
                <w:b/>
                <w:bCs/>
                <w:color w:val="auto"/>
                <w:sz w:val="21"/>
                <w:szCs w:val="21"/>
              </w:rPr>
            </w:pPr>
            <w:r>
              <w:rPr>
                <w:b/>
                <w:bCs/>
                <w:color w:val="auto"/>
                <w:sz w:val="21"/>
                <w:szCs w:val="21"/>
              </w:rPr>
              <w:t>2020年人口</w:t>
            </w:r>
          </w:p>
          <w:p w14:paraId="0AF81C18">
            <w:pPr>
              <w:widowControl/>
              <w:spacing w:line="240" w:lineRule="auto"/>
              <w:ind w:firstLine="0" w:firstLineChars="0"/>
              <w:jc w:val="center"/>
              <w:textAlignment w:val="center"/>
              <w:rPr>
                <w:b/>
                <w:bCs/>
                <w:color w:val="auto"/>
                <w:sz w:val="21"/>
                <w:szCs w:val="21"/>
              </w:rPr>
            </w:pPr>
            <w:r>
              <w:rPr>
                <w:b/>
                <w:bCs/>
                <w:color w:val="auto"/>
                <w:sz w:val="21"/>
                <w:szCs w:val="21"/>
              </w:rPr>
              <w:t>（万人）</w:t>
            </w:r>
          </w:p>
        </w:tc>
        <w:tc>
          <w:tcPr>
            <w:tcW w:w="1032" w:type="pct"/>
            <w:shd w:val="clear" w:color="auto" w:fill="auto"/>
            <w:noWrap/>
            <w:vAlign w:val="center"/>
          </w:tcPr>
          <w:p w14:paraId="59D69ABA">
            <w:pPr>
              <w:widowControl/>
              <w:spacing w:line="240" w:lineRule="auto"/>
              <w:ind w:firstLine="0" w:firstLineChars="0"/>
              <w:jc w:val="center"/>
              <w:textAlignment w:val="center"/>
              <w:rPr>
                <w:b/>
                <w:bCs/>
                <w:color w:val="auto"/>
                <w:sz w:val="22"/>
                <w:szCs w:val="22"/>
                <w:lang w:bidi="ar"/>
              </w:rPr>
            </w:pPr>
            <w:r>
              <w:rPr>
                <w:b/>
                <w:bCs/>
                <w:color w:val="auto"/>
                <w:sz w:val="22"/>
                <w:szCs w:val="22"/>
                <w:lang w:bidi="ar"/>
              </w:rPr>
              <w:t>2025年人口</w:t>
            </w:r>
          </w:p>
          <w:p w14:paraId="1C6A8508">
            <w:pPr>
              <w:widowControl/>
              <w:spacing w:line="240" w:lineRule="auto"/>
              <w:ind w:firstLine="0" w:firstLineChars="0"/>
              <w:jc w:val="center"/>
              <w:textAlignment w:val="center"/>
              <w:rPr>
                <w:b/>
                <w:bCs/>
                <w:color w:val="auto"/>
                <w:sz w:val="22"/>
                <w:szCs w:val="22"/>
              </w:rPr>
            </w:pPr>
            <w:r>
              <w:rPr>
                <w:b/>
                <w:bCs/>
                <w:color w:val="auto"/>
                <w:sz w:val="21"/>
                <w:szCs w:val="21"/>
              </w:rPr>
              <w:t>（万人）</w:t>
            </w:r>
          </w:p>
        </w:tc>
        <w:tc>
          <w:tcPr>
            <w:tcW w:w="1155" w:type="pct"/>
            <w:shd w:val="clear" w:color="auto" w:fill="auto"/>
            <w:noWrap/>
            <w:vAlign w:val="center"/>
          </w:tcPr>
          <w:p w14:paraId="124E1B2E">
            <w:pPr>
              <w:widowControl/>
              <w:spacing w:line="240" w:lineRule="auto"/>
              <w:ind w:firstLine="0" w:firstLineChars="0"/>
              <w:jc w:val="center"/>
              <w:textAlignment w:val="center"/>
              <w:rPr>
                <w:b/>
                <w:bCs/>
                <w:color w:val="auto"/>
                <w:sz w:val="22"/>
                <w:szCs w:val="22"/>
                <w:lang w:bidi="ar"/>
              </w:rPr>
            </w:pPr>
            <w:r>
              <w:rPr>
                <w:b/>
                <w:bCs/>
                <w:color w:val="auto"/>
                <w:sz w:val="22"/>
                <w:szCs w:val="22"/>
                <w:lang w:bidi="ar"/>
              </w:rPr>
              <w:t>备注</w:t>
            </w:r>
          </w:p>
        </w:tc>
      </w:tr>
      <w:tr w14:paraId="2F93A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06" w:type="pct"/>
            <w:shd w:val="clear" w:color="auto" w:fill="auto"/>
            <w:vAlign w:val="center"/>
          </w:tcPr>
          <w:p w14:paraId="41B22EA9">
            <w:pPr>
              <w:widowControl/>
              <w:spacing w:line="240" w:lineRule="auto"/>
              <w:ind w:firstLine="0" w:firstLineChars="0"/>
              <w:jc w:val="center"/>
              <w:textAlignment w:val="center"/>
              <w:rPr>
                <w:color w:val="auto"/>
                <w:sz w:val="21"/>
                <w:szCs w:val="21"/>
              </w:rPr>
            </w:pPr>
            <w:bookmarkStart w:id="42" w:name="_Hlk72069012"/>
            <w:r>
              <w:rPr>
                <w:color w:val="auto"/>
                <w:sz w:val="21"/>
                <w:szCs w:val="21"/>
                <w:lang w:bidi="ar"/>
              </w:rPr>
              <w:t>1</w:t>
            </w:r>
          </w:p>
        </w:tc>
        <w:tc>
          <w:tcPr>
            <w:tcW w:w="811" w:type="pct"/>
            <w:shd w:val="clear" w:color="auto" w:fill="auto"/>
            <w:vAlign w:val="center"/>
          </w:tcPr>
          <w:p w14:paraId="527677A7">
            <w:pPr>
              <w:widowControl/>
              <w:spacing w:line="240" w:lineRule="auto"/>
              <w:ind w:firstLine="0" w:firstLineChars="0"/>
              <w:jc w:val="center"/>
              <w:textAlignment w:val="center"/>
              <w:rPr>
                <w:color w:val="auto"/>
                <w:sz w:val="21"/>
                <w:szCs w:val="21"/>
              </w:rPr>
            </w:pPr>
            <w:r>
              <w:rPr>
                <w:color w:val="auto"/>
                <w:sz w:val="21"/>
                <w:szCs w:val="21"/>
                <w:lang w:bidi="ar"/>
              </w:rPr>
              <w:t>A区</w:t>
            </w:r>
          </w:p>
        </w:tc>
        <w:tc>
          <w:tcPr>
            <w:tcW w:w="2176" w:type="dxa"/>
            <w:shd w:val="clear" w:color="auto" w:fill="auto"/>
            <w:vAlign w:val="center"/>
          </w:tcPr>
          <w:p w14:paraId="58F111B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4.58 </w:t>
            </w:r>
          </w:p>
        </w:tc>
        <w:tc>
          <w:tcPr>
            <w:tcW w:w="1882" w:type="dxa"/>
            <w:shd w:val="clear" w:color="auto" w:fill="auto"/>
            <w:noWrap/>
            <w:vAlign w:val="center"/>
          </w:tcPr>
          <w:p w14:paraId="298846A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5.31 </w:t>
            </w:r>
          </w:p>
        </w:tc>
        <w:tc>
          <w:tcPr>
            <w:tcW w:w="1155" w:type="pct"/>
            <w:shd w:val="clear" w:color="auto" w:fill="auto"/>
            <w:noWrap/>
            <w:vAlign w:val="center"/>
          </w:tcPr>
          <w:p w14:paraId="4212B1E5">
            <w:pPr>
              <w:widowControl/>
              <w:spacing w:line="240" w:lineRule="auto"/>
              <w:ind w:firstLine="0" w:firstLineChars="0"/>
              <w:rPr>
                <w:color w:val="auto"/>
                <w:sz w:val="22"/>
                <w:szCs w:val="22"/>
              </w:rPr>
            </w:pPr>
          </w:p>
        </w:tc>
      </w:tr>
      <w:tr w14:paraId="2697D3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06" w:type="pct"/>
            <w:shd w:val="clear" w:color="auto" w:fill="auto"/>
            <w:vAlign w:val="center"/>
          </w:tcPr>
          <w:p w14:paraId="4C825078">
            <w:pPr>
              <w:widowControl/>
              <w:spacing w:line="240" w:lineRule="auto"/>
              <w:ind w:firstLine="0" w:firstLineChars="0"/>
              <w:jc w:val="center"/>
              <w:textAlignment w:val="center"/>
              <w:rPr>
                <w:color w:val="auto"/>
                <w:sz w:val="21"/>
                <w:szCs w:val="21"/>
              </w:rPr>
            </w:pPr>
            <w:r>
              <w:rPr>
                <w:color w:val="auto"/>
                <w:sz w:val="21"/>
                <w:szCs w:val="21"/>
                <w:lang w:bidi="ar"/>
              </w:rPr>
              <w:t>2</w:t>
            </w:r>
          </w:p>
        </w:tc>
        <w:tc>
          <w:tcPr>
            <w:tcW w:w="811" w:type="pct"/>
            <w:shd w:val="clear" w:color="auto" w:fill="auto"/>
            <w:vAlign w:val="center"/>
          </w:tcPr>
          <w:p w14:paraId="07BF15A6">
            <w:pPr>
              <w:widowControl/>
              <w:spacing w:line="240" w:lineRule="auto"/>
              <w:ind w:firstLine="0" w:firstLineChars="0"/>
              <w:jc w:val="center"/>
              <w:textAlignment w:val="center"/>
              <w:rPr>
                <w:color w:val="auto"/>
                <w:sz w:val="21"/>
                <w:szCs w:val="21"/>
              </w:rPr>
            </w:pPr>
            <w:r>
              <w:rPr>
                <w:color w:val="auto"/>
                <w:sz w:val="21"/>
                <w:szCs w:val="21"/>
                <w:lang w:bidi="ar"/>
              </w:rPr>
              <w:t>B区</w:t>
            </w:r>
          </w:p>
        </w:tc>
        <w:tc>
          <w:tcPr>
            <w:tcW w:w="2176" w:type="dxa"/>
            <w:shd w:val="clear" w:color="auto" w:fill="auto"/>
            <w:vAlign w:val="center"/>
          </w:tcPr>
          <w:p w14:paraId="30F4476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4.30 </w:t>
            </w:r>
          </w:p>
        </w:tc>
        <w:tc>
          <w:tcPr>
            <w:tcW w:w="1882" w:type="dxa"/>
            <w:shd w:val="clear" w:color="auto" w:fill="auto"/>
            <w:noWrap/>
            <w:vAlign w:val="center"/>
          </w:tcPr>
          <w:p w14:paraId="3966EC0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4.99 </w:t>
            </w:r>
          </w:p>
        </w:tc>
        <w:tc>
          <w:tcPr>
            <w:tcW w:w="1155" w:type="pct"/>
            <w:shd w:val="clear" w:color="auto" w:fill="auto"/>
            <w:noWrap/>
            <w:vAlign w:val="center"/>
          </w:tcPr>
          <w:p w14:paraId="48DFD959">
            <w:pPr>
              <w:widowControl/>
              <w:spacing w:line="240" w:lineRule="auto"/>
              <w:ind w:firstLine="0" w:firstLineChars="0"/>
              <w:rPr>
                <w:color w:val="auto"/>
                <w:sz w:val="22"/>
                <w:szCs w:val="22"/>
              </w:rPr>
            </w:pPr>
          </w:p>
        </w:tc>
      </w:tr>
      <w:tr w14:paraId="3EC40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06" w:type="pct"/>
            <w:shd w:val="clear" w:color="auto" w:fill="auto"/>
            <w:vAlign w:val="center"/>
          </w:tcPr>
          <w:p w14:paraId="4E385DB4">
            <w:pPr>
              <w:widowControl/>
              <w:spacing w:line="240" w:lineRule="auto"/>
              <w:ind w:firstLine="0" w:firstLineChars="0"/>
              <w:jc w:val="center"/>
              <w:textAlignment w:val="center"/>
              <w:rPr>
                <w:color w:val="auto"/>
                <w:sz w:val="21"/>
                <w:szCs w:val="21"/>
              </w:rPr>
            </w:pPr>
            <w:r>
              <w:rPr>
                <w:color w:val="auto"/>
                <w:sz w:val="21"/>
                <w:szCs w:val="21"/>
                <w:lang w:bidi="ar"/>
              </w:rPr>
              <w:t>3</w:t>
            </w:r>
          </w:p>
        </w:tc>
        <w:tc>
          <w:tcPr>
            <w:tcW w:w="811" w:type="pct"/>
            <w:shd w:val="clear" w:color="auto" w:fill="auto"/>
            <w:vAlign w:val="center"/>
          </w:tcPr>
          <w:p w14:paraId="5966421C">
            <w:pPr>
              <w:widowControl/>
              <w:spacing w:line="240" w:lineRule="auto"/>
              <w:ind w:firstLine="0" w:firstLineChars="0"/>
              <w:jc w:val="center"/>
              <w:textAlignment w:val="center"/>
              <w:rPr>
                <w:color w:val="auto"/>
                <w:sz w:val="21"/>
                <w:szCs w:val="21"/>
              </w:rPr>
            </w:pPr>
            <w:r>
              <w:rPr>
                <w:color w:val="auto"/>
                <w:sz w:val="21"/>
                <w:szCs w:val="21"/>
                <w:lang w:bidi="ar"/>
              </w:rPr>
              <w:t>C区</w:t>
            </w:r>
          </w:p>
        </w:tc>
        <w:tc>
          <w:tcPr>
            <w:tcW w:w="2176" w:type="dxa"/>
            <w:shd w:val="clear" w:color="auto" w:fill="auto"/>
            <w:vAlign w:val="center"/>
          </w:tcPr>
          <w:p w14:paraId="28F1423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4.72 </w:t>
            </w:r>
          </w:p>
        </w:tc>
        <w:tc>
          <w:tcPr>
            <w:tcW w:w="1882" w:type="dxa"/>
            <w:shd w:val="clear" w:color="auto" w:fill="auto"/>
            <w:noWrap/>
            <w:vAlign w:val="center"/>
          </w:tcPr>
          <w:p w14:paraId="3DC45FD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5.47 </w:t>
            </w:r>
          </w:p>
        </w:tc>
        <w:tc>
          <w:tcPr>
            <w:tcW w:w="1155" w:type="pct"/>
            <w:shd w:val="clear" w:color="auto" w:fill="auto"/>
            <w:noWrap/>
            <w:vAlign w:val="center"/>
          </w:tcPr>
          <w:p w14:paraId="4A19869B">
            <w:pPr>
              <w:widowControl/>
              <w:spacing w:line="240" w:lineRule="auto"/>
              <w:ind w:firstLine="0" w:firstLineChars="0"/>
              <w:rPr>
                <w:color w:val="auto"/>
                <w:sz w:val="22"/>
                <w:szCs w:val="22"/>
              </w:rPr>
            </w:pPr>
          </w:p>
        </w:tc>
      </w:tr>
      <w:bookmarkEnd w:id="42"/>
      <w:tr w14:paraId="22D89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617" w:type="pct"/>
            <w:gridSpan w:val="2"/>
            <w:shd w:val="clear" w:color="auto" w:fill="auto"/>
            <w:vAlign w:val="center"/>
          </w:tcPr>
          <w:p w14:paraId="276221EA">
            <w:pPr>
              <w:widowControl/>
              <w:spacing w:line="240" w:lineRule="auto"/>
              <w:ind w:firstLine="0" w:firstLineChars="0"/>
              <w:jc w:val="center"/>
              <w:textAlignment w:val="center"/>
              <w:rPr>
                <w:b/>
                <w:bCs/>
                <w:color w:val="auto"/>
                <w:sz w:val="21"/>
                <w:szCs w:val="21"/>
              </w:rPr>
            </w:pPr>
            <w:r>
              <w:rPr>
                <w:b/>
                <w:bCs/>
                <w:color w:val="auto"/>
                <w:sz w:val="21"/>
                <w:szCs w:val="21"/>
                <w:lang w:bidi="ar"/>
              </w:rPr>
              <w:t>合计</w:t>
            </w:r>
          </w:p>
        </w:tc>
        <w:tc>
          <w:tcPr>
            <w:tcW w:w="2176" w:type="dxa"/>
            <w:shd w:val="clear" w:color="auto" w:fill="auto"/>
            <w:vAlign w:val="center"/>
          </w:tcPr>
          <w:p w14:paraId="6512C61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13.60 </w:t>
            </w:r>
          </w:p>
        </w:tc>
        <w:tc>
          <w:tcPr>
            <w:tcW w:w="1882" w:type="dxa"/>
            <w:shd w:val="clear" w:color="auto" w:fill="auto"/>
            <w:noWrap/>
            <w:vAlign w:val="center"/>
          </w:tcPr>
          <w:p w14:paraId="46EB249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15.77 </w:t>
            </w:r>
          </w:p>
        </w:tc>
        <w:tc>
          <w:tcPr>
            <w:tcW w:w="1155" w:type="pct"/>
            <w:shd w:val="clear" w:color="auto" w:fill="auto"/>
            <w:noWrap/>
            <w:vAlign w:val="center"/>
          </w:tcPr>
          <w:p w14:paraId="5D951D74">
            <w:pPr>
              <w:widowControl/>
              <w:spacing w:line="240" w:lineRule="auto"/>
              <w:ind w:firstLine="0" w:firstLineChars="0"/>
              <w:rPr>
                <w:b/>
                <w:bCs/>
                <w:color w:val="auto"/>
                <w:sz w:val="22"/>
                <w:szCs w:val="22"/>
              </w:rPr>
            </w:pPr>
          </w:p>
        </w:tc>
      </w:tr>
    </w:tbl>
    <w:p w14:paraId="51B51907">
      <w:pPr>
        <w:pStyle w:val="4"/>
        <w:numPr>
          <w:ilvl w:val="1"/>
          <w:numId w:val="0"/>
        </w:numPr>
        <w:spacing w:before="166" w:after="166"/>
        <w:rPr>
          <w:color w:val="auto"/>
        </w:rPr>
      </w:pPr>
      <w:bookmarkStart w:id="43" w:name="_Toc27082"/>
      <w:r>
        <w:rPr>
          <w:color w:val="auto"/>
        </w:rPr>
        <w:t>4.2用水效率指标分析</w:t>
      </w:r>
      <w:bookmarkEnd w:id="43"/>
    </w:p>
    <w:p w14:paraId="202B4715">
      <w:pPr>
        <w:pStyle w:val="5"/>
        <w:numPr>
          <w:ilvl w:val="0"/>
          <w:numId w:val="0"/>
        </w:numPr>
        <w:spacing w:before="166" w:after="166"/>
        <w:rPr>
          <w:color w:val="auto"/>
        </w:rPr>
      </w:pPr>
      <w:r>
        <w:rPr>
          <w:color w:val="auto"/>
        </w:rPr>
        <w:t>4.2.1现状用水情况</w:t>
      </w:r>
    </w:p>
    <w:p w14:paraId="3B6EB2BE">
      <w:pPr>
        <w:pStyle w:val="58"/>
        <w:ind w:firstLine="480"/>
        <w:jc w:val="both"/>
        <w:rPr>
          <w:rFonts w:ascii="Times New Roman" w:hAnsi="Times New Roman" w:eastAsia="宋体"/>
          <w:color w:val="auto"/>
          <w:szCs w:val="24"/>
        </w:rPr>
      </w:pPr>
      <w:r>
        <w:rPr>
          <w:rFonts w:ascii="Times New Roman" w:hAnsi="Times New Roman" w:eastAsia="宋体"/>
          <w:color w:val="auto"/>
          <w:szCs w:val="24"/>
        </w:rPr>
        <w:t>根据各水厂提供的用水统计情况并结合园区用水调查，2020年九龙工业园区总的用水量为2654.01万m</w:t>
      </w:r>
      <w:r>
        <w:rPr>
          <w:rFonts w:ascii="Times New Roman" w:hAnsi="Times New Roman" w:eastAsia="宋体"/>
          <w:color w:val="auto"/>
          <w:szCs w:val="24"/>
          <w:vertAlign w:val="superscript"/>
        </w:rPr>
        <w:t>3</w:t>
      </w:r>
      <w:r>
        <w:rPr>
          <w:rFonts w:ascii="Times New Roman" w:hAnsi="Times New Roman" w:eastAsia="宋体"/>
          <w:color w:val="auto"/>
          <w:szCs w:val="24"/>
        </w:rPr>
        <w:t>，其中A区用水量为545.59万m³，B区用水量为1284.66万m³，C区用水量为823.77万m³。园区2020年用水统计成果见表4.2-1。</w:t>
      </w:r>
    </w:p>
    <w:p w14:paraId="02DBC093">
      <w:pPr>
        <w:ind w:firstLine="482"/>
        <w:rPr>
          <w:b/>
          <w:color w:val="auto"/>
        </w:rPr>
      </w:pPr>
      <w:r>
        <w:rPr>
          <w:b/>
          <w:color w:val="auto"/>
        </w:rPr>
        <w:t>表4.2-1               九龙工业园区2020年用水统计情况表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53"/>
        <w:gridCol w:w="1632"/>
        <w:gridCol w:w="2106"/>
        <w:gridCol w:w="1278"/>
        <w:gridCol w:w="1289"/>
        <w:gridCol w:w="1154"/>
      </w:tblGrid>
      <w:tr w14:paraId="579202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907" w:type="pct"/>
            <w:vMerge w:val="restart"/>
            <w:tcBorders>
              <w:tl2br w:val="nil"/>
              <w:tr2bl w:val="nil"/>
            </w:tcBorders>
            <w:shd w:val="clear" w:color="auto" w:fill="auto"/>
            <w:noWrap/>
            <w:vAlign w:val="center"/>
          </w:tcPr>
          <w:p w14:paraId="6A5ED7E1">
            <w:pPr>
              <w:spacing w:line="360" w:lineRule="exact"/>
              <w:ind w:firstLine="0" w:firstLineChars="0"/>
              <w:jc w:val="center"/>
              <w:rPr>
                <w:color w:val="auto"/>
                <w:sz w:val="21"/>
                <w:szCs w:val="21"/>
              </w:rPr>
            </w:pPr>
            <w:r>
              <w:rPr>
                <w:color w:val="auto"/>
                <w:sz w:val="21"/>
                <w:szCs w:val="21"/>
              </w:rPr>
              <w:t>分区</w:t>
            </w:r>
          </w:p>
        </w:tc>
        <w:tc>
          <w:tcPr>
            <w:tcW w:w="895" w:type="pct"/>
            <w:tcBorders>
              <w:tl2br w:val="nil"/>
              <w:tr2bl w:val="nil"/>
            </w:tcBorders>
            <w:shd w:val="clear" w:color="auto" w:fill="auto"/>
            <w:vAlign w:val="center"/>
          </w:tcPr>
          <w:p w14:paraId="2BBC05F5">
            <w:pPr>
              <w:spacing w:line="360" w:lineRule="exact"/>
              <w:ind w:firstLine="0" w:firstLineChars="0"/>
              <w:jc w:val="center"/>
              <w:rPr>
                <w:color w:val="auto"/>
                <w:sz w:val="21"/>
                <w:szCs w:val="21"/>
              </w:rPr>
            </w:pPr>
            <w:r>
              <w:rPr>
                <w:color w:val="auto"/>
                <w:sz w:val="21"/>
                <w:szCs w:val="21"/>
              </w:rPr>
              <w:t>需水项目</w:t>
            </w:r>
          </w:p>
        </w:tc>
        <w:tc>
          <w:tcPr>
            <w:tcW w:w="1155" w:type="pct"/>
            <w:tcBorders>
              <w:tl2br w:val="nil"/>
              <w:tr2bl w:val="nil"/>
            </w:tcBorders>
            <w:shd w:val="clear" w:color="auto" w:fill="auto"/>
            <w:vAlign w:val="center"/>
          </w:tcPr>
          <w:p w14:paraId="0100DEA4">
            <w:pPr>
              <w:spacing w:line="360" w:lineRule="exact"/>
              <w:ind w:firstLine="0" w:firstLineChars="0"/>
              <w:jc w:val="center"/>
              <w:rPr>
                <w:color w:val="auto"/>
                <w:sz w:val="21"/>
                <w:szCs w:val="21"/>
              </w:rPr>
            </w:pPr>
            <w:r>
              <w:rPr>
                <w:color w:val="auto"/>
                <w:sz w:val="21"/>
                <w:szCs w:val="21"/>
              </w:rPr>
              <w:t>生活综合需水量</w:t>
            </w:r>
          </w:p>
        </w:tc>
        <w:tc>
          <w:tcPr>
            <w:tcW w:w="701" w:type="pct"/>
            <w:tcBorders>
              <w:tl2br w:val="nil"/>
              <w:tr2bl w:val="nil"/>
            </w:tcBorders>
            <w:shd w:val="clear" w:color="auto" w:fill="auto"/>
            <w:vAlign w:val="center"/>
          </w:tcPr>
          <w:p w14:paraId="17DF7329">
            <w:pPr>
              <w:spacing w:line="360" w:lineRule="exact"/>
              <w:ind w:firstLine="0" w:firstLineChars="0"/>
              <w:jc w:val="center"/>
              <w:rPr>
                <w:color w:val="auto"/>
                <w:sz w:val="21"/>
                <w:szCs w:val="21"/>
              </w:rPr>
            </w:pPr>
            <w:r>
              <w:rPr>
                <w:color w:val="auto"/>
                <w:sz w:val="21"/>
                <w:szCs w:val="21"/>
              </w:rPr>
              <w:t>工业</w:t>
            </w:r>
          </w:p>
          <w:p w14:paraId="0ACCF16F">
            <w:pPr>
              <w:spacing w:line="360" w:lineRule="exact"/>
              <w:ind w:firstLine="0" w:firstLineChars="0"/>
              <w:jc w:val="center"/>
              <w:rPr>
                <w:color w:val="auto"/>
                <w:sz w:val="21"/>
                <w:szCs w:val="21"/>
              </w:rPr>
            </w:pPr>
            <w:r>
              <w:rPr>
                <w:color w:val="auto"/>
                <w:sz w:val="21"/>
                <w:szCs w:val="21"/>
              </w:rPr>
              <w:t>需水量</w:t>
            </w:r>
          </w:p>
        </w:tc>
        <w:tc>
          <w:tcPr>
            <w:tcW w:w="707" w:type="pct"/>
            <w:tcBorders>
              <w:tl2br w:val="nil"/>
              <w:tr2bl w:val="nil"/>
            </w:tcBorders>
            <w:shd w:val="clear" w:color="auto" w:fill="auto"/>
            <w:vAlign w:val="center"/>
          </w:tcPr>
          <w:p w14:paraId="2C7187B4">
            <w:pPr>
              <w:spacing w:line="360" w:lineRule="exact"/>
              <w:ind w:firstLine="0" w:firstLineChars="0"/>
              <w:jc w:val="center"/>
              <w:rPr>
                <w:color w:val="auto"/>
                <w:sz w:val="21"/>
                <w:szCs w:val="21"/>
              </w:rPr>
            </w:pPr>
            <w:r>
              <w:rPr>
                <w:color w:val="auto"/>
                <w:sz w:val="21"/>
                <w:szCs w:val="21"/>
              </w:rPr>
              <w:t>道路绿地洒浇需水量</w:t>
            </w:r>
          </w:p>
        </w:tc>
        <w:tc>
          <w:tcPr>
            <w:tcW w:w="633" w:type="pct"/>
            <w:tcBorders>
              <w:tl2br w:val="nil"/>
              <w:tr2bl w:val="nil"/>
            </w:tcBorders>
            <w:shd w:val="clear" w:color="auto" w:fill="auto"/>
            <w:vAlign w:val="center"/>
          </w:tcPr>
          <w:p w14:paraId="5DE6B3F3">
            <w:pPr>
              <w:spacing w:line="360" w:lineRule="exact"/>
              <w:ind w:firstLine="0" w:firstLineChars="0"/>
              <w:jc w:val="center"/>
              <w:rPr>
                <w:color w:val="auto"/>
                <w:sz w:val="21"/>
                <w:szCs w:val="21"/>
              </w:rPr>
            </w:pPr>
            <w:r>
              <w:rPr>
                <w:color w:val="auto"/>
                <w:sz w:val="21"/>
                <w:szCs w:val="21"/>
              </w:rPr>
              <w:t>合计</w:t>
            </w:r>
          </w:p>
        </w:tc>
      </w:tr>
      <w:tr w14:paraId="598D0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restart"/>
            <w:tcBorders>
              <w:tl2br w:val="nil"/>
              <w:tr2bl w:val="nil"/>
            </w:tcBorders>
            <w:shd w:val="clear" w:color="auto" w:fill="auto"/>
            <w:vAlign w:val="center"/>
          </w:tcPr>
          <w:p w14:paraId="6FF8A8F5">
            <w:pPr>
              <w:spacing w:line="360" w:lineRule="exact"/>
              <w:ind w:firstLine="0" w:firstLineChars="0"/>
              <w:jc w:val="center"/>
              <w:rPr>
                <w:color w:val="auto"/>
                <w:sz w:val="21"/>
                <w:szCs w:val="21"/>
              </w:rPr>
            </w:pPr>
            <w:r>
              <w:rPr>
                <w:color w:val="auto"/>
                <w:sz w:val="21"/>
                <w:szCs w:val="21"/>
              </w:rPr>
              <w:t>A区</w:t>
            </w:r>
          </w:p>
        </w:tc>
        <w:tc>
          <w:tcPr>
            <w:tcW w:w="895" w:type="pct"/>
            <w:tcBorders>
              <w:tl2br w:val="nil"/>
              <w:tr2bl w:val="nil"/>
            </w:tcBorders>
            <w:shd w:val="clear" w:color="auto" w:fill="auto"/>
            <w:vAlign w:val="center"/>
          </w:tcPr>
          <w:p w14:paraId="540163E5">
            <w:pPr>
              <w:spacing w:line="360" w:lineRule="exact"/>
              <w:ind w:firstLine="0" w:firstLineChars="0"/>
              <w:jc w:val="center"/>
              <w:rPr>
                <w:color w:val="auto"/>
                <w:sz w:val="21"/>
                <w:szCs w:val="21"/>
              </w:rPr>
            </w:pPr>
            <w:r>
              <w:rPr>
                <w:color w:val="auto"/>
                <w:sz w:val="21"/>
                <w:szCs w:val="21"/>
              </w:rPr>
              <w:t>指标（万m</w:t>
            </w:r>
            <w:r>
              <w:rPr>
                <w:color w:val="auto"/>
                <w:sz w:val="21"/>
                <w:szCs w:val="21"/>
                <w:vertAlign w:val="superscript"/>
              </w:rPr>
              <w:t>3</w:t>
            </w:r>
            <w:r>
              <w:rPr>
                <w:rFonts w:hint="eastAsia"/>
                <w:color w:val="auto"/>
                <w:sz w:val="21"/>
                <w:szCs w:val="21"/>
                <w:vertAlign w:val="superscript"/>
              </w:rPr>
              <w:t>）</w:t>
            </w:r>
          </w:p>
        </w:tc>
        <w:tc>
          <w:tcPr>
            <w:tcW w:w="2106" w:type="dxa"/>
            <w:tcBorders>
              <w:tl2br w:val="nil"/>
              <w:tr2bl w:val="nil"/>
            </w:tcBorders>
            <w:shd w:val="clear" w:color="auto" w:fill="auto"/>
            <w:vAlign w:val="center"/>
          </w:tcPr>
          <w:p w14:paraId="4EADC5D2">
            <w:pPr>
              <w:spacing w:line="360" w:lineRule="exact"/>
              <w:ind w:firstLine="0" w:firstLineChars="0"/>
              <w:jc w:val="center"/>
              <w:rPr>
                <w:color w:val="auto"/>
                <w:sz w:val="21"/>
                <w:szCs w:val="21"/>
              </w:rPr>
            </w:pPr>
            <w:r>
              <w:rPr>
                <w:color w:val="auto"/>
                <w:sz w:val="21"/>
                <w:szCs w:val="21"/>
              </w:rPr>
              <w:t xml:space="preserve">347.75 </w:t>
            </w:r>
          </w:p>
        </w:tc>
        <w:tc>
          <w:tcPr>
            <w:tcW w:w="1278" w:type="dxa"/>
            <w:tcBorders>
              <w:tl2br w:val="nil"/>
              <w:tr2bl w:val="nil"/>
            </w:tcBorders>
            <w:shd w:val="clear" w:color="auto" w:fill="auto"/>
            <w:vAlign w:val="center"/>
          </w:tcPr>
          <w:p w14:paraId="1022A017">
            <w:pPr>
              <w:spacing w:line="360" w:lineRule="exact"/>
              <w:ind w:firstLine="0" w:firstLineChars="0"/>
              <w:jc w:val="center"/>
              <w:rPr>
                <w:color w:val="auto"/>
                <w:sz w:val="21"/>
                <w:szCs w:val="21"/>
              </w:rPr>
            </w:pPr>
            <w:r>
              <w:rPr>
                <w:color w:val="auto"/>
                <w:sz w:val="21"/>
                <w:szCs w:val="21"/>
              </w:rPr>
              <w:t xml:space="preserve">76.47 </w:t>
            </w:r>
          </w:p>
        </w:tc>
        <w:tc>
          <w:tcPr>
            <w:tcW w:w="1289" w:type="dxa"/>
            <w:tcBorders>
              <w:tl2br w:val="nil"/>
              <w:tr2bl w:val="nil"/>
            </w:tcBorders>
            <w:shd w:val="clear" w:color="auto" w:fill="auto"/>
            <w:vAlign w:val="center"/>
          </w:tcPr>
          <w:p w14:paraId="0CE040D1">
            <w:pPr>
              <w:spacing w:line="360" w:lineRule="exact"/>
              <w:ind w:firstLine="0" w:firstLineChars="0"/>
              <w:jc w:val="center"/>
              <w:rPr>
                <w:color w:val="auto"/>
                <w:sz w:val="21"/>
                <w:szCs w:val="21"/>
              </w:rPr>
            </w:pPr>
            <w:r>
              <w:rPr>
                <w:color w:val="auto"/>
                <w:sz w:val="21"/>
                <w:szCs w:val="21"/>
              </w:rPr>
              <w:t xml:space="preserve">121.37 </w:t>
            </w:r>
          </w:p>
        </w:tc>
        <w:tc>
          <w:tcPr>
            <w:tcW w:w="1154" w:type="dxa"/>
            <w:tcBorders>
              <w:tl2br w:val="nil"/>
              <w:tr2bl w:val="nil"/>
            </w:tcBorders>
            <w:shd w:val="clear" w:color="auto" w:fill="auto"/>
            <w:vAlign w:val="center"/>
          </w:tcPr>
          <w:p w14:paraId="52A4E5A3">
            <w:pPr>
              <w:spacing w:line="360" w:lineRule="exact"/>
              <w:ind w:firstLine="0" w:firstLineChars="0"/>
              <w:jc w:val="center"/>
              <w:rPr>
                <w:color w:val="auto"/>
                <w:sz w:val="21"/>
                <w:szCs w:val="21"/>
              </w:rPr>
            </w:pPr>
            <w:r>
              <w:rPr>
                <w:color w:val="auto"/>
                <w:sz w:val="21"/>
                <w:szCs w:val="21"/>
              </w:rPr>
              <w:t xml:space="preserve">545.59 </w:t>
            </w:r>
          </w:p>
        </w:tc>
      </w:tr>
      <w:tr w14:paraId="00712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continue"/>
            <w:tcBorders>
              <w:tl2br w:val="nil"/>
              <w:tr2bl w:val="nil"/>
            </w:tcBorders>
            <w:shd w:val="clear" w:color="auto" w:fill="auto"/>
            <w:vAlign w:val="center"/>
          </w:tcPr>
          <w:p w14:paraId="64211F34">
            <w:pPr>
              <w:spacing w:line="360" w:lineRule="exact"/>
              <w:ind w:firstLine="0" w:firstLineChars="0"/>
              <w:jc w:val="center"/>
              <w:rPr>
                <w:color w:val="auto"/>
                <w:sz w:val="21"/>
                <w:szCs w:val="21"/>
              </w:rPr>
            </w:pPr>
          </w:p>
        </w:tc>
        <w:tc>
          <w:tcPr>
            <w:tcW w:w="895" w:type="pct"/>
            <w:tcBorders>
              <w:tl2br w:val="nil"/>
              <w:tr2bl w:val="nil"/>
            </w:tcBorders>
            <w:shd w:val="clear" w:color="auto" w:fill="auto"/>
            <w:vAlign w:val="center"/>
          </w:tcPr>
          <w:p w14:paraId="7319D378">
            <w:pPr>
              <w:spacing w:line="360" w:lineRule="exact"/>
              <w:ind w:firstLine="0" w:firstLineChars="0"/>
              <w:jc w:val="center"/>
              <w:rPr>
                <w:color w:val="auto"/>
                <w:sz w:val="21"/>
                <w:szCs w:val="21"/>
              </w:rPr>
            </w:pPr>
            <w:r>
              <w:rPr>
                <w:color w:val="auto"/>
                <w:sz w:val="21"/>
                <w:szCs w:val="21"/>
              </w:rPr>
              <w:t>所占比例（%</w:t>
            </w:r>
            <w:r>
              <w:rPr>
                <w:rFonts w:hint="eastAsia"/>
                <w:color w:val="auto"/>
                <w:sz w:val="21"/>
                <w:szCs w:val="21"/>
              </w:rPr>
              <w:t>）</w:t>
            </w:r>
          </w:p>
        </w:tc>
        <w:tc>
          <w:tcPr>
            <w:tcW w:w="2106" w:type="dxa"/>
            <w:tcBorders>
              <w:tl2br w:val="nil"/>
              <w:tr2bl w:val="nil"/>
            </w:tcBorders>
            <w:shd w:val="clear" w:color="auto" w:fill="auto"/>
            <w:vAlign w:val="center"/>
          </w:tcPr>
          <w:p w14:paraId="63FAF4C5">
            <w:pPr>
              <w:spacing w:line="360" w:lineRule="exact"/>
              <w:ind w:firstLine="0" w:firstLineChars="0"/>
              <w:jc w:val="center"/>
              <w:rPr>
                <w:color w:val="auto"/>
                <w:sz w:val="21"/>
                <w:szCs w:val="21"/>
              </w:rPr>
            </w:pPr>
            <w:r>
              <w:rPr>
                <w:color w:val="auto"/>
                <w:sz w:val="21"/>
                <w:szCs w:val="21"/>
              </w:rPr>
              <w:t>63.74%</w:t>
            </w:r>
          </w:p>
        </w:tc>
        <w:tc>
          <w:tcPr>
            <w:tcW w:w="1278" w:type="dxa"/>
            <w:tcBorders>
              <w:tl2br w:val="nil"/>
              <w:tr2bl w:val="nil"/>
            </w:tcBorders>
            <w:shd w:val="clear" w:color="auto" w:fill="auto"/>
            <w:vAlign w:val="center"/>
          </w:tcPr>
          <w:p w14:paraId="36850B23">
            <w:pPr>
              <w:spacing w:line="360" w:lineRule="exact"/>
              <w:ind w:firstLine="0" w:firstLineChars="0"/>
              <w:jc w:val="center"/>
              <w:rPr>
                <w:color w:val="auto"/>
                <w:sz w:val="21"/>
                <w:szCs w:val="21"/>
              </w:rPr>
            </w:pPr>
            <w:r>
              <w:rPr>
                <w:color w:val="auto"/>
                <w:sz w:val="21"/>
                <w:szCs w:val="21"/>
              </w:rPr>
              <w:t>14.02%</w:t>
            </w:r>
          </w:p>
        </w:tc>
        <w:tc>
          <w:tcPr>
            <w:tcW w:w="1289" w:type="dxa"/>
            <w:tcBorders>
              <w:tl2br w:val="nil"/>
              <w:tr2bl w:val="nil"/>
            </w:tcBorders>
            <w:shd w:val="clear" w:color="auto" w:fill="auto"/>
            <w:vAlign w:val="center"/>
          </w:tcPr>
          <w:p w14:paraId="2AA26AEF">
            <w:pPr>
              <w:spacing w:line="360" w:lineRule="exact"/>
              <w:ind w:firstLine="0" w:firstLineChars="0"/>
              <w:jc w:val="center"/>
              <w:rPr>
                <w:color w:val="auto"/>
                <w:sz w:val="21"/>
                <w:szCs w:val="21"/>
              </w:rPr>
            </w:pPr>
            <w:r>
              <w:rPr>
                <w:color w:val="auto"/>
                <w:sz w:val="21"/>
                <w:szCs w:val="21"/>
              </w:rPr>
              <w:t>22.25%</w:t>
            </w:r>
          </w:p>
        </w:tc>
        <w:tc>
          <w:tcPr>
            <w:tcW w:w="1154" w:type="dxa"/>
            <w:tcBorders>
              <w:tl2br w:val="nil"/>
              <w:tr2bl w:val="nil"/>
            </w:tcBorders>
            <w:shd w:val="clear" w:color="auto" w:fill="auto"/>
            <w:vAlign w:val="center"/>
          </w:tcPr>
          <w:p w14:paraId="208DDF40">
            <w:pPr>
              <w:spacing w:line="360" w:lineRule="exact"/>
              <w:ind w:firstLine="0" w:firstLineChars="0"/>
              <w:jc w:val="center"/>
              <w:rPr>
                <w:color w:val="auto"/>
                <w:sz w:val="21"/>
                <w:szCs w:val="21"/>
              </w:rPr>
            </w:pPr>
            <w:r>
              <w:rPr>
                <w:color w:val="auto"/>
                <w:sz w:val="21"/>
                <w:szCs w:val="21"/>
              </w:rPr>
              <w:t>100.00%</w:t>
            </w:r>
          </w:p>
        </w:tc>
      </w:tr>
      <w:tr w14:paraId="75351C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restart"/>
            <w:tcBorders>
              <w:tl2br w:val="nil"/>
              <w:tr2bl w:val="nil"/>
            </w:tcBorders>
            <w:shd w:val="clear" w:color="auto" w:fill="auto"/>
            <w:vAlign w:val="center"/>
          </w:tcPr>
          <w:p w14:paraId="7F795DC2">
            <w:pPr>
              <w:spacing w:line="360" w:lineRule="exact"/>
              <w:ind w:firstLine="0" w:firstLineChars="0"/>
              <w:jc w:val="center"/>
              <w:rPr>
                <w:color w:val="auto"/>
                <w:sz w:val="21"/>
                <w:szCs w:val="21"/>
              </w:rPr>
            </w:pPr>
            <w:r>
              <w:rPr>
                <w:color w:val="auto"/>
                <w:sz w:val="21"/>
                <w:szCs w:val="21"/>
              </w:rPr>
              <w:t>B区</w:t>
            </w:r>
          </w:p>
        </w:tc>
        <w:tc>
          <w:tcPr>
            <w:tcW w:w="895" w:type="pct"/>
            <w:tcBorders>
              <w:tl2br w:val="nil"/>
              <w:tr2bl w:val="nil"/>
            </w:tcBorders>
            <w:shd w:val="clear" w:color="auto" w:fill="auto"/>
            <w:vAlign w:val="center"/>
          </w:tcPr>
          <w:p w14:paraId="2A29E55E">
            <w:pPr>
              <w:spacing w:line="360" w:lineRule="exact"/>
              <w:ind w:firstLine="0" w:firstLineChars="0"/>
              <w:jc w:val="center"/>
              <w:rPr>
                <w:color w:val="auto"/>
                <w:sz w:val="21"/>
                <w:szCs w:val="21"/>
              </w:rPr>
            </w:pPr>
            <w:r>
              <w:rPr>
                <w:color w:val="auto"/>
                <w:sz w:val="21"/>
                <w:szCs w:val="21"/>
              </w:rPr>
              <w:t>指标（万m</w:t>
            </w:r>
            <w:r>
              <w:rPr>
                <w:color w:val="auto"/>
                <w:sz w:val="21"/>
                <w:szCs w:val="21"/>
                <w:vertAlign w:val="superscript"/>
              </w:rPr>
              <w:t>3</w:t>
            </w:r>
            <w:r>
              <w:rPr>
                <w:rFonts w:hint="eastAsia"/>
                <w:color w:val="auto"/>
                <w:sz w:val="21"/>
                <w:szCs w:val="21"/>
                <w:vertAlign w:val="superscript"/>
              </w:rPr>
              <w:t>）</w:t>
            </w:r>
          </w:p>
        </w:tc>
        <w:tc>
          <w:tcPr>
            <w:tcW w:w="2106" w:type="dxa"/>
            <w:tcBorders>
              <w:tl2br w:val="nil"/>
              <w:tr2bl w:val="nil"/>
            </w:tcBorders>
            <w:shd w:val="clear" w:color="auto" w:fill="auto"/>
            <w:vAlign w:val="center"/>
          </w:tcPr>
          <w:p w14:paraId="619FBCDE">
            <w:pPr>
              <w:spacing w:line="360" w:lineRule="exact"/>
              <w:ind w:firstLine="0" w:firstLineChars="0"/>
              <w:jc w:val="center"/>
              <w:rPr>
                <w:color w:val="auto"/>
                <w:sz w:val="21"/>
                <w:szCs w:val="21"/>
              </w:rPr>
            </w:pPr>
            <w:r>
              <w:rPr>
                <w:color w:val="auto"/>
                <w:sz w:val="21"/>
                <w:szCs w:val="21"/>
              </w:rPr>
              <w:t xml:space="preserve">290.66 </w:t>
            </w:r>
          </w:p>
        </w:tc>
        <w:tc>
          <w:tcPr>
            <w:tcW w:w="1278" w:type="dxa"/>
            <w:tcBorders>
              <w:tl2br w:val="nil"/>
              <w:tr2bl w:val="nil"/>
            </w:tcBorders>
            <w:shd w:val="clear" w:color="auto" w:fill="auto"/>
            <w:vAlign w:val="center"/>
          </w:tcPr>
          <w:p w14:paraId="65E53BF7">
            <w:pPr>
              <w:spacing w:line="360" w:lineRule="exact"/>
              <w:ind w:firstLine="0" w:firstLineChars="0"/>
              <w:jc w:val="center"/>
              <w:rPr>
                <w:color w:val="auto"/>
                <w:sz w:val="21"/>
                <w:szCs w:val="21"/>
              </w:rPr>
            </w:pPr>
            <w:r>
              <w:rPr>
                <w:color w:val="auto"/>
                <w:sz w:val="21"/>
                <w:szCs w:val="21"/>
              </w:rPr>
              <w:t xml:space="preserve">758.12 </w:t>
            </w:r>
          </w:p>
        </w:tc>
        <w:tc>
          <w:tcPr>
            <w:tcW w:w="1289" w:type="dxa"/>
            <w:tcBorders>
              <w:tl2br w:val="nil"/>
              <w:tr2bl w:val="nil"/>
            </w:tcBorders>
            <w:shd w:val="clear" w:color="auto" w:fill="auto"/>
            <w:vAlign w:val="center"/>
          </w:tcPr>
          <w:p w14:paraId="256355D6">
            <w:pPr>
              <w:spacing w:line="360" w:lineRule="exact"/>
              <w:ind w:firstLine="0" w:firstLineChars="0"/>
              <w:jc w:val="center"/>
              <w:rPr>
                <w:color w:val="auto"/>
                <w:sz w:val="21"/>
                <w:szCs w:val="21"/>
              </w:rPr>
            </w:pPr>
            <w:r>
              <w:rPr>
                <w:color w:val="auto"/>
                <w:sz w:val="21"/>
                <w:szCs w:val="21"/>
              </w:rPr>
              <w:t xml:space="preserve">235.88 </w:t>
            </w:r>
          </w:p>
        </w:tc>
        <w:tc>
          <w:tcPr>
            <w:tcW w:w="1154" w:type="dxa"/>
            <w:tcBorders>
              <w:tl2br w:val="nil"/>
              <w:tr2bl w:val="nil"/>
            </w:tcBorders>
            <w:shd w:val="clear" w:color="auto" w:fill="auto"/>
            <w:vAlign w:val="center"/>
          </w:tcPr>
          <w:p w14:paraId="5666FFD1">
            <w:pPr>
              <w:spacing w:line="360" w:lineRule="exact"/>
              <w:ind w:firstLine="0" w:firstLineChars="0"/>
              <w:jc w:val="center"/>
              <w:rPr>
                <w:color w:val="auto"/>
                <w:sz w:val="21"/>
                <w:szCs w:val="21"/>
              </w:rPr>
            </w:pPr>
            <w:r>
              <w:rPr>
                <w:color w:val="auto"/>
                <w:sz w:val="21"/>
                <w:szCs w:val="21"/>
              </w:rPr>
              <w:t xml:space="preserve">1284.66 </w:t>
            </w:r>
          </w:p>
        </w:tc>
      </w:tr>
      <w:tr w14:paraId="77DA52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continue"/>
            <w:tcBorders>
              <w:tl2br w:val="nil"/>
              <w:tr2bl w:val="nil"/>
            </w:tcBorders>
            <w:shd w:val="clear" w:color="auto" w:fill="auto"/>
            <w:vAlign w:val="center"/>
          </w:tcPr>
          <w:p w14:paraId="1F0D1FB5">
            <w:pPr>
              <w:spacing w:line="360" w:lineRule="exact"/>
              <w:ind w:firstLine="0" w:firstLineChars="0"/>
              <w:jc w:val="center"/>
              <w:rPr>
                <w:color w:val="auto"/>
                <w:sz w:val="21"/>
                <w:szCs w:val="21"/>
              </w:rPr>
            </w:pPr>
          </w:p>
        </w:tc>
        <w:tc>
          <w:tcPr>
            <w:tcW w:w="895" w:type="pct"/>
            <w:tcBorders>
              <w:tl2br w:val="nil"/>
              <w:tr2bl w:val="nil"/>
            </w:tcBorders>
            <w:shd w:val="clear" w:color="auto" w:fill="auto"/>
            <w:vAlign w:val="center"/>
          </w:tcPr>
          <w:p w14:paraId="4CF58812">
            <w:pPr>
              <w:spacing w:line="360" w:lineRule="exact"/>
              <w:ind w:firstLine="0" w:firstLineChars="0"/>
              <w:jc w:val="center"/>
              <w:rPr>
                <w:color w:val="auto"/>
                <w:sz w:val="21"/>
                <w:szCs w:val="21"/>
              </w:rPr>
            </w:pPr>
            <w:r>
              <w:rPr>
                <w:color w:val="auto"/>
                <w:sz w:val="21"/>
                <w:szCs w:val="21"/>
              </w:rPr>
              <w:t>所占比例（%</w:t>
            </w:r>
            <w:r>
              <w:rPr>
                <w:rFonts w:hint="eastAsia"/>
                <w:color w:val="auto"/>
                <w:sz w:val="21"/>
                <w:szCs w:val="21"/>
              </w:rPr>
              <w:t>）</w:t>
            </w:r>
          </w:p>
        </w:tc>
        <w:tc>
          <w:tcPr>
            <w:tcW w:w="2106" w:type="dxa"/>
            <w:tcBorders>
              <w:tl2br w:val="nil"/>
              <w:tr2bl w:val="nil"/>
            </w:tcBorders>
            <w:shd w:val="clear" w:color="auto" w:fill="auto"/>
            <w:vAlign w:val="center"/>
          </w:tcPr>
          <w:p w14:paraId="6ACE9530">
            <w:pPr>
              <w:spacing w:line="360" w:lineRule="exact"/>
              <w:ind w:firstLine="0" w:firstLineChars="0"/>
              <w:jc w:val="center"/>
              <w:rPr>
                <w:color w:val="auto"/>
                <w:sz w:val="21"/>
                <w:szCs w:val="21"/>
              </w:rPr>
            </w:pPr>
            <w:r>
              <w:rPr>
                <w:color w:val="auto"/>
                <w:sz w:val="21"/>
                <w:szCs w:val="21"/>
              </w:rPr>
              <w:t>22.63%</w:t>
            </w:r>
          </w:p>
        </w:tc>
        <w:tc>
          <w:tcPr>
            <w:tcW w:w="1278" w:type="dxa"/>
            <w:tcBorders>
              <w:tl2br w:val="nil"/>
              <w:tr2bl w:val="nil"/>
            </w:tcBorders>
            <w:shd w:val="clear" w:color="auto" w:fill="auto"/>
            <w:vAlign w:val="center"/>
          </w:tcPr>
          <w:p w14:paraId="45C2C199">
            <w:pPr>
              <w:spacing w:line="360" w:lineRule="exact"/>
              <w:ind w:firstLine="0" w:firstLineChars="0"/>
              <w:jc w:val="center"/>
              <w:rPr>
                <w:color w:val="auto"/>
                <w:sz w:val="21"/>
                <w:szCs w:val="21"/>
              </w:rPr>
            </w:pPr>
            <w:r>
              <w:rPr>
                <w:color w:val="auto"/>
                <w:sz w:val="21"/>
                <w:szCs w:val="21"/>
              </w:rPr>
              <w:t>59.01%</w:t>
            </w:r>
          </w:p>
        </w:tc>
        <w:tc>
          <w:tcPr>
            <w:tcW w:w="1289" w:type="dxa"/>
            <w:tcBorders>
              <w:tl2br w:val="nil"/>
              <w:tr2bl w:val="nil"/>
            </w:tcBorders>
            <w:shd w:val="clear" w:color="auto" w:fill="auto"/>
            <w:vAlign w:val="center"/>
          </w:tcPr>
          <w:p w14:paraId="6519E226">
            <w:pPr>
              <w:spacing w:line="360" w:lineRule="exact"/>
              <w:ind w:firstLine="0" w:firstLineChars="0"/>
              <w:jc w:val="center"/>
              <w:rPr>
                <w:color w:val="auto"/>
                <w:sz w:val="21"/>
                <w:szCs w:val="21"/>
              </w:rPr>
            </w:pPr>
            <w:r>
              <w:rPr>
                <w:color w:val="auto"/>
                <w:sz w:val="21"/>
                <w:szCs w:val="21"/>
              </w:rPr>
              <w:t>18.36%</w:t>
            </w:r>
          </w:p>
        </w:tc>
        <w:tc>
          <w:tcPr>
            <w:tcW w:w="1154" w:type="dxa"/>
            <w:tcBorders>
              <w:tl2br w:val="nil"/>
              <w:tr2bl w:val="nil"/>
            </w:tcBorders>
            <w:shd w:val="clear" w:color="auto" w:fill="auto"/>
            <w:vAlign w:val="center"/>
          </w:tcPr>
          <w:p w14:paraId="3674449B">
            <w:pPr>
              <w:spacing w:line="360" w:lineRule="exact"/>
              <w:ind w:firstLine="0" w:firstLineChars="0"/>
              <w:jc w:val="center"/>
              <w:rPr>
                <w:color w:val="auto"/>
                <w:sz w:val="21"/>
                <w:szCs w:val="21"/>
              </w:rPr>
            </w:pPr>
            <w:r>
              <w:rPr>
                <w:color w:val="auto"/>
                <w:sz w:val="21"/>
                <w:szCs w:val="21"/>
              </w:rPr>
              <w:t>100.00%</w:t>
            </w:r>
          </w:p>
        </w:tc>
      </w:tr>
      <w:tr w14:paraId="2BE2D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restart"/>
            <w:tcBorders>
              <w:tl2br w:val="nil"/>
              <w:tr2bl w:val="nil"/>
            </w:tcBorders>
            <w:shd w:val="clear" w:color="auto" w:fill="auto"/>
            <w:vAlign w:val="center"/>
          </w:tcPr>
          <w:p w14:paraId="196E0DC6">
            <w:pPr>
              <w:spacing w:line="360" w:lineRule="exact"/>
              <w:ind w:firstLine="0" w:firstLineChars="0"/>
              <w:jc w:val="center"/>
              <w:rPr>
                <w:color w:val="auto"/>
                <w:sz w:val="21"/>
                <w:szCs w:val="21"/>
              </w:rPr>
            </w:pPr>
            <w:r>
              <w:rPr>
                <w:color w:val="auto"/>
                <w:sz w:val="21"/>
                <w:szCs w:val="21"/>
              </w:rPr>
              <w:t>C区</w:t>
            </w:r>
          </w:p>
        </w:tc>
        <w:tc>
          <w:tcPr>
            <w:tcW w:w="895" w:type="pct"/>
            <w:tcBorders>
              <w:tl2br w:val="nil"/>
              <w:tr2bl w:val="nil"/>
            </w:tcBorders>
            <w:shd w:val="clear" w:color="auto" w:fill="auto"/>
            <w:vAlign w:val="center"/>
          </w:tcPr>
          <w:p w14:paraId="5AAE38FC">
            <w:pPr>
              <w:spacing w:line="360" w:lineRule="exact"/>
              <w:ind w:firstLine="0" w:firstLineChars="0"/>
              <w:jc w:val="center"/>
              <w:rPr>
                <w:color w:val="auto"/>
                <w:sz w:val="21"/>
                <w:szCs w:val="21"/>
              </w:rPr>
            </w:pPr>
            <w:r>
              <w:rPr>
                <w:color w:val="auto"/>
                <w:sz w:val="21"/>
                <w:szCs w:val="21"/>
              </w:rPr>
              <w:t>指标（万m</w:t>
            </w:r>
            <w:r>
              <w:rPr>
                <w:color w:val="auto"/>
                <w:sz w:val="21"/>
                <w:szCs w:val="21"/>
                <w:vertAlign w:val="superscript"/>
              </w:rPr>
              <w:t>3</w:t>
            </w:r>
            <w:r>
              <w:rPr>
                <w:rFonts w:hint="eastAsia"/>
                <w:color w:val="auto"/>
                <w:sz w:val="21"/>
                <w:szCs w:val="21"/>
                <w:vertAlign w:val="superscript"/>
              </w:rPr>
              <w:t>）</w:t>
            </w:r>
          </w:p>
        </w:tc>
        <w:tc>
          <w:tcPr>
            <w:tcW w:w="2106" w:type="dxa"/>
            <w:tcBorders>
              <w:tl2br w:val="nil"/>
              <w:tr2bl w:val="nil"/>
            </w:tcBorders>
            <w:shd w:val="clear" w:color="auto" w:fill="auto"/>
            <w:vAlign w:val="center"/>
          </w:tcPr>
          <w:p w14:paraId="669C8603">
            <w:pPr>
              <w:spacing w:line="360" w:lineRule="exact"/>
              <w:ind w:firstLine="0" w:firstLineChars="0"/>
              <w:jc w:val="center"/>
              <w:rPr>
                <w:color w:val="auto"/>
                <w:sz w:val="21"/>
                <w:szCs w:val="21"/>
              </w:rPr>
            </w:pPr>
            <w:r>
              <w:rPr>
                <w:color w:val="auto"/>
                <w:sz w:val="21"/>
                <w:szCs w:val="21"/>
              </w:rPr>
              <w:t xml:space="preserve">277.37 </w:t>
            </w:r>
          </w:p>
        </w:tc>
        <w:tc>
          <w:tcPr>
            <w:tcW w:w="1278" w:type="dxa"/>
            <w:tcBorders>
              <w:tl2br w:val="nil"/>
              <w:tr2bl w:val="nil"/>
            </w:tcBorders>
            <w:shd w:val="clear" w:color="auto" w:fill="auto"/>
            <w:vAlign w:val="center"/>
          </w:tcPr>
          <w:p w14:paraId="2781380A">
            <w:pPr>
              <w:spacing w:line="360" w:lineRule="exact"/>
              <w:ind w:firstLine="0" w:firstLineChars="0"/>
              <w:jc w:val="center"/>
              <w:rPr>
                <w:color w:val="auto"/>
                <w:sz w:val="21"/>
                <w:szCs w:val="21"/>
              </w:rPr>
            </w:pPr>
            <w:r>
              <w:rPr>
                <w:color w:val="auto"/>
                <w:sz w:val="21"/>
                <w:szCs w:val="21"/>
              </w:rPr>
              <w:t xml:space="preserve">521.37 </w:t>
            </w:r>
          </w:p>
        </w:tc>
        <w:tc>
          <w:tcPr>
            <w:tcW w:w="1289" w:type="dxa"/>
            <w:tcBorders>
              <w:tl2br w:val="nil"/>
              <w:tr2bl w:val="nil"/>
            </w:tcBorders>
            <w:shd w:val="clear" w:color="auto" w:fill="auto"/>
            <w:vAlign w:val="center"/>
          </w:tcPr>
          <w:p w14:paraId="659900D7">
            <w:pPr>
              <w:spacing w:line="360" w:lineRule="exact"/>
              <w:ind w:firstLine="0" w:firstLineChars="0"/>
              <w:jc w:val="center"/>
              <w:rPr>
                <w:color w:val="auto"/>
                <w:sz w:val="21"/>
                <w:szCs w:val="21"/>
              </w:rPr>
            </w:pPr>
            <w:r>
              <w:rPr>
                <w:color w:val="auto"/>
                <w:sz w:val="21"/>
                <w:szCs w:val="21"/>
              </w:rPr>
              <w:t xml:space="preserve">25.03 </w:t>
            </w:r>
          </w:p>
        </w:tc>
        <w:tc>
          <w:tcPr>
            <w:tcW w:w="1154" w:type="dxa"/>
            <w:tcBorders>
              <w:tl2br w:val="nil"/>
              <w:tr2bl w:val="nil"/>
            </w:tcBorders>
            <w:shd w:val="clear" w:color="auto" w:fill="auto"/>
            <w:vAlign w:val="center"/>
          </w:tcPr>
          <w:p w14:paraId="4A51BFF8">
            <w:pPr>
              <w:spacing w:line="360" w:lineRule="exact"/>
              <w:ind w:firstLine="0" w:firstLineChars="0"/>
              <w:jc w:val="center"/>
              <w:rPr>
                <w:color w:val="auto"/>
                <w:sz w:val="21"/>
                <w:szCs w:val="21"/>
              </w:rPr>
            </w:pPr>
            <w:r>
              <w:rPr>
                <w:color w:val="auto"/>
                <w:sz w:val="21"/>
                <w:szCs w:val="21"/>
              </w:rPr>
              <w:t xml:space="preserve">823.77 </w:t>
            </w:r>
          </w:p>
        </w:tc>
      </w:tr>
      <w:tr w14:paraId="04036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continue"/>
            <w:tcBorders>
              <w:tl2br w:val="nil"/>
              <w:tr2bl w:val="nil"/>
            </w:tcBorders>
            <w:shd w:val="clear" w:color="auto" w:fill="auto"/>
            <w:vAlign w:val="center"/>
          </w:tcPr>
          <w:p w14:paraId="0FC1BD85">
            <w:pPr>
              <w:spacing w:line="360" w:lineRule="exact"/>
              <w:ind w:firstLine="0" w:firstLineChars="0"/>
              <w:jc w:val="center"/>
              <w:rPr>
                <w:color w:val="auto"/>
                <w:sz w:val="21"/>
                <w:szCs w:val="21"/>
              </w:rPr>
            </w:pPr>
          </w:p>
        </w:tc>
        <w:tc>
          <w:tcPr>
            <w:tcW w:w="895" w:type="pct"/>
            <w:tcBorders>
              <w:tl2br w:val="nil"/>
              <w:tr2bl w:val="nil"/>
            </w:tcBorders>
            <w:shd w:val="clear" w:color="auto" w:fill="auto"/>
            <w:vAlign w:val="center"/>
          </w:tcPr>
          <w:p w14:paraId="074FC4A3">
            <w:pPr>
              <w:spacing w:line="360" w:lineRule="exact"/>
              <w:ind w:firstLine="0" w:firstLineChars="0"/>
              <w:jc w:val="center"/>
              <w:rPr>
                <w:color w:val="auto"/>
                <w:sz w:val="21"/>
                <w:szCs w:val="21"/>
              </w:rPr>
            </w:pPr>
            <w:r>
              <w:rPr>
                <w:color w:val="auto"/>
                <w:sz w:val="21"/>
                <w:szCs w:val="21"/>
              </w:rPr>
              <w:t>所占比例（%</w:t>
            </w:r>
            <w:r>
              <w:rPr>
                <w:rFonts w:hint="eastAsia"/>
                <w:color w:val="auto"/>
                <w:sz w:val="21"/>
                <w:szCs w:val="21"/>
              </w:rPr>
              <w:t>）</w:t>
            </w:r>
          </w:p>
        </w:tc>
        <w:tc>
          <w:tcPr>
            <w:tcW w:w="2106" w:type="dxa"/>
            <w:tcBorders>
              <w:tl2br w:val="nil"/>
              <w:tr2bl w:val="nil"/>
            </w:tcBorders>
            <w:shd w:val="clear" w:color="auto" w:fill="auto"/>
            <w:vAlign w:val="center"/>
          </w:tcPr>
          <w:p w14:paraId="31CEB9AF">
            <w:pPr>
              <w:spacing w:line="360" w:lineRule="exact"/>
              <w:ind w:firstLine="0" w:firstLineChars="0"/>
              <w:jc w:val="center"/>
              <w:rPr>
                <w:color w:val="auto"/>
                <w:sz w:val="21"/>
                <w:szCs w:val="21"/>
              </w:rPr>
            </w:pPr>
            <w:r>
              <w:rPr>
                <w:color w:val="auto"/>
                <w:sz w:val="21"/>
                <w:szCs w:val="21"/>
              </w:rPr>
              <w:t>33.67%</w:t>
            </w:r>
          </w:p>
        </w:tc>
        <w:tc>
          <w:tcPr>
            <w:tcW w:w="1278" w:type="dxa"/>
            <w:tcBorders>
              <w:tl2br w:val="nil"/>
              <w:tr2bl w:val="nil"/>
            </w:tcBorders>
            <w:shd w:val="clear" w:color="auto" w:fill="auto"/>
            <w:vAlign w:val="center"/>
          </w:tcPr>
          <w:p w14:paraId="063F78E5">
            <w:pPr>
              <w:spacing w:line="360" w:lineRule="exact"/>
              <w:ind w:firstLine="0" w:firstLineChars="0"/>
              <w:jc w:val="center"/>
              <w:rPr>
                <w:color w:val="auto"/>
                <w:sz w:val="21"/>
                <w:szCs w:val="21"/>
              </w:rPr>
            </w:pPr>
            <w:r>
              <w:rPr>
                <w:color w:val="auto"/>
                <w:sz w:val="21"/>
                <w:szCs w:val="21"/>
              </w:rPr>
              <w:t>63.29%</w:t>
            </w:r>
          </w:p>
        </w:tc>
        <w:tc>
          <w:tcPr>
            <w:tcW w:w="1289" w:type="dxa"/>
            <w:tcBorders>
              <w:tl2br w:val="nil"/>
              <w:tr2bl w:val="nil"/>
            </w:tcBorders>
            <w:shd w:val="clear" w:color="auto" w:fill="auto"/>
            <w:vAlign w:val="center"/>
          </w:tcPr>
          <w:p w14:paraId="14DDE685">
            <w:pPr>
              <w:spacing w:line="360" w:lineRule="exact"/>
              <w:ind w:firstLine="0" w:firstLineChars="0"/>
              <w:jc w:val="center"/>
              <w:rPr>
                <w:color w:val="auto"/>
                <w:sz w:val="21"/>
                <w:szCs w:val="21"/>
              </w:rPr>
            </w:pPr>
            <w:r>
              <w:rPr>
                <w:color w:val="auto"/>
                <w:sz w:val="21"/>
                <w:szCs w:val="21"/>
              </w:rPr>
              <w:t>3.04%</w:t>
            </w:r>
          </w:p>
        </w:tc>
        <w:tc>
          <w:tcPr>
            <w:tcW w:w="1154" w:type="dxa"/>
            <w:tcBorders>
              <w:tl2br w:val="nil"/>
              <w:tr2bl w:val="nil"/>
            </w:tcBorders>
            <w:shd w:val="clear" w:color="auto" w:fill="auto"/>
            <w:vAlign w:val="center"/>
          </w:tcPr>
          <w:p w14:paraId="5718CADD">
            <w:pPr>
              <w:spacing w:line="360" w:lineRule="exact"/>
              <w:ind w:firstLine="0" w:firstLineChars="0"/>
              <w:jc w:val="center"/>
              <w:rPr>
                <w:color w:val="auto"/>
                <w:sz w:val="21"/>
                <w:szCs w:val="21"/>
              </w:rPr>
            </w:pPr>
            <w:r>
              <w:rPr>
                <w:color w:val="auto"/>
                <w:sz w:val="21"/>
                <w:szCs w:val="21"/>
              </w:rPr>
              <w:t>100.00%</w:t>
            </w:r>
          </w:p>
        </w:tc>
      </w:tr>
      <w:tr w14:paraId="1E9D93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restart"/>
            <w:tcBorders>
              <w:tl2br w:val="nil"/>
              <w:tr2bl w:val="nil"/>
            </w:tcBorders>
            <w:shd w:val="clear" w:color="auto" w:fill="auto"/>
            <w:vAlign w:val="center"/>
          </w:tcPr>
          <w:p w14:paraId="2E13A189">
            <w:pPr>
              <w:spacing w:line="360" w:lineRule="exact"/>
              <w:ind w:firstLine="0" w:firstLineChars="0"/>
              <w:jc w:val="center"/>
              <w:rPr>
                <w:color w:val="auto"/>
                <w:sz w:val="21"/>
                <w:szCs w:val="21"/>
              </w:rPr>
            </w:pPr>
            <w:r>
              <w:rPr>
                <w:color w:val="auto"/>
                <w:sz w:val="21"/>
                <w:szCs w:val="21"/>
              </w:rPr>
              <w:t>合计</w:t>
            </w:r>
          </w:p>
        </w:tc>
        <w:tc>
          <w:tcPr>
            <w:tcW w:w="895" w:type="pct"/>
            <w:tcBorders>
              <w:tl2br w:val="nil"/>
              <w:tr2bl w:val="nil"/>
            </w:tcBorders>
            <w:shd w:val="clear" w:color="auto" w:fill="auto"/>
            <w:vAlign w:val="center"/>
          </w:tcPr>
          <w:p w14:paraId="108B907A">
            <w:pPr>
              <w:spacing w:line="360" w:lineRule="exact"/>
              <w:ind w:firstLine="0" w:firstLineChars="0"/>
              <w:jc w:val="center"/>
              <w:rPr>
                <w:color w:val="auto"/>
                <w:sz w:val="21"/>
                <w:szCs w:val="21"/>
              </w:rPr>
            </w:pPr>
            <w:r>
              <w:rPr>
                <w:color w:val="auto"/>
                <w:sz w:val="21"/>
                <w:szCs w:val="21"/>
              </w:rPr>
              <w:t>指标（万m</w:t>
            </w:r>
            <w:r>
              <w:rPr>
                <w:color w:val="auto"/>
                <w:sz w:val="21"/>
                <w:szCs w:val="21"/>
                <w:vertAlign w:val="superscript"/>
              </w:rPr>
              <w:t>3</w:t>
            </w:r>
            <w:r>
              <w:rPr>
                <w:rFonts w:hint="eastAsia"/>
                <w:color w:val="auto"/>
                <w:sz w:val="21"/>
                <w:szCs w:val="21"/>
                <w:vertAlign w:val="superscript"/>
              </w:rPr>
              <w:t>）</w:t>
            </w:r>
          </w:p>
        </w:tc>
        <w:tc>
          <w:tcPr>
            <w:tcW w:w="2106" w:type="dxa"/>
            <w:tcBorders>
              <w:tl2br w:val="nil"/>
              <w:tr2bl w:val="nil"/>
            </w:tcBorders>
            <w:shd w:val="clear" w:color="auto" w:fill="auto"/>
            <w:vAlign w:val="center"/>
          </w:tcPr>
          <w:p w14:paraId="327F098E">
            <w:pPr>
              <w:spacing w:line="360" w:lineRule="exact"/>
              <w:ind w:firstLine="0" w:firstLineChars="0"/>
              <w:jc w:val="center"/>
              <w:rPr>
                <w:color w:val="auto"/>
                <w:sz w:val="21"/>
                <w:szCs w:val="21"/>
              </w:rPr>
            </w:pPr>
            <w:r>
              <w:rPr>
                <w:color w:val="auto"/>
                <w:sz w:val="21"/>
                <w:szCs w:val="21"/>
              </w:rPr>
              <w:t xml:space="preserve">915.77 </w:t>
            </w:r>
          </w:p>
        </w:tc>
        <w:tc>
          <w:tcPr>
            <w:tcW w:w="1278" w:type="dxa"/>
            <w:tcBorders>
              <w:tl2br w:val="nil"/>
              <w:tr2bl w:val="nil"/>
            </w:tcBorders>
            <w:shd w:val="clear" w:color="auto" w:fill="auto"/>
            <w:vAlign w:val="center"/>
          </w:tcPr>
          <w:p w14:paraId="1540BBBB">
            <w:pPr>
              <w:spacing w:line="360" w:lineRule="exact"/>
              <w:ind w:firstLine="0" w:firstLineChars="0"/>
              <w:jc w:val="center"/>
              <w:rPr>
                <w:color w:val="auto"/>
                <w:sz w:val="21"/>
                <w:szCs w:val="21"/>
              </w:rPr>
            </w:pPr>
            <w:r>
              <w:rPr>
                <w:color w:val="auto"/>
                <w:sz w:val="21"/>
                <w:szCs w:val="21"/>
              </w:rPr>
              <w:t xml:space="preserve">1355.96 </w:t>
            </w:r>
          </w:p>
        </w:tc>
        <w:tc>
          <w:tcPr>
            <w:tcW w:w="1289" w:type="dxa"/>
            <w:tcBorders>
              <w:tl2br w:val="nil"/>
              <w:tr2bl w:val="nil"/>
            </w:tcBorders>
            <w:shd w:val="clear" w:color="auto" w:fill="auto"/>
            <w:vAlign w:val="center"/>
          </w:tcPr>
          <w:p w14:paraId="79FEF19B">
            <w:pPr>
              <w:spacing w:line="360" w:lineRule="exact"/>
              <w:ind w:firstLine="0" w:firstLineChars="0"/>
              <w:jc w:val="center"/>
              <w:rPr>
                <w:color w:val="auto"/>
                <w:sz w:val="21"/>
                <w:szCs w:val="21"/>
              </w:rPr>
            </w:pPr>
            <w:r>
              <w:rPr>
                <w:color w:val="auto"/>
                <w:sz w:val="21"/>
                <w:szCs w:val="21"/>
              </w:rPr>
              <w:t xml:space="preserve">382.28 </w:t>
            </w:r>
          </w:p>
        </w:tc>
        <w:tc>
          <w:tcPr>
            <w:tcW w:w="1154" w:type="dxa"/>
            <w:tcBorders>
              <w:tl2br w:val="nil"/>
              <w:tr2bl w:val="nil"/>
            </w:tcBorders>
            <w:shd w:val="clear" w:color="auto" w:fill="auto"/>
            <w:vAlign w:val="center"/>
          </w:tcPr>
          <w:p w14:paraId="1EB67247">
            <w:pPr>
              <w:spacing w:line="360" w:lineRule="exact"/>
              <w:ind w:firstLine="0" w:firstLineChars="0"/>
              <w:jc w:val="center"/>
              <w:rPr>
                <w:color w:val="auto"/>
                <w:sz w:val="21"/>
                <w:szCs w:val="21"/>
              </w:rPr>
            </w:pPr>
            <w:r>
              <w:rPr>
                <w:color w:val="auto"/>
                <w:sz w:val="21"/>
                <w:szCs w:val="21"/>
              </w:rPr>
              <w:t xml:space="preserve">2654.01 </w:t>
            </w:r>
          </w:p>
        </w:tc>
      </w:tr>
      <w:tr w14:paraId="19732E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7" w:type="pct"/>
            <w:vMerge w:val="continue"/>
            <w:tcBorders>
              <w:tl2br w:val="nil"/>
              <w:tr2bl w:val="nil"/>
            </w:tcBorders>
            <w:shd w:val="clear" w:color="auto" w:fill="auto"/>
            <w:vAlign w:val="center"/>
          </w:tcPr>
          <w:p w14:paraId="260D955D">
            <w:pPr>
              <w:spacing w:line="360" w:lineRule="exact"/>
              <w:ind w:firstLine="0" w:firstLineChars="0"/>
              <w:jc w:val="center"/>
              <w:rPr>
                <w:color w:val="auto"/>
                <w:sz w:val="21"/>
                <w:szCs w:val="21"/>
              </w:rPr>
            </w:pPr>
          </w:p>
        </w:tc>
        <w:tc>
          <w:tcPr>
            <w:tcW w:w="895" w:type="pct"/>
            <w:tcBorders>
              <w:tl2br w:val="nil"/>
              <w:tr2bl w:val="nil"/>
            </w:tcBorders>
            <w:shd w:val="clear" w:color="auto" w:fill="auto"/>
            <w:vAlign w:val="center"/>
          </w:tcPr>
          <w:p w14:paraId="5872100F">
            <w:pPr>
              <w:spacing w:line="360" w:lineRule="exact"/>
              <w:ind w:firstLine="0" w:firstLineChars="0"/>
              <w:jc w:val="center"/>
              <w:rPr>
                <w:color w:val="auto"/>
                <w:sz w:val="21"/>
                <w:szCs w:val="21"/>
              </w:rPr>
            </w:pPr>
            <w:r>
              <w:rPr>
                <w:color w:val="auto"/>
                <w:sz w:val="21"/>
                <w:szCs w:val="21"/>
              </w:rPr>
              <w:t>所占比例（%</w:t>
            </w:r>
            <w:r>
              <w:rPr>
                <w:rFonts w:hint="eastAsia"/>
                <w:color w:val="auto"/>
                <w:sz w:val="21"/>
                <w:szCs w:val="21"/>
              </w:rPr>
              <w:t>）</w:t>
            </w:r>
          </w:p>
        </w:tc>
        <w:tc>
          <w:tcPr>
            <w:tcW w:w="2106" w:type="dxa"/>
            <w:tcBorders>
              <w:tl2br w:val="nil"/>
              <w:tr2bl w:val="nil"/>
            </w:tcBorders>
            <w:shd w:val="clear" w:color="auto" w:fill="auto"/>
            <w:vAlign w:val="center"/>
          </w:tcPr>
          <w:p w14:paraId="367F9837">
            <w:pPr>
              <w:spacing w:line="360" w:lineRule="exact"/>
              <w:ind w:firstLine="0" w:firstLineChars="0"/>
              <w:jc w:val="center"/>
              <w:rPr>
                <w:color w:val="auto"/>
                <w:sz w:val="21"/>
                <w:szCs w:val="21"/>
              </w:rPr>
            </w:pPr>
            <w:r>
              <w:rPr>
                <w:color w:val="auto"/>
                <w:sz w:val="21"/>
                <w:szCs w:val="21"/>
              </w:rPr>
              <w:t>34.51%</w:t>
            </w:r>
          </w:p>
        </w:tc>
        <w:tc>
          <w:tcPr>
            <w:tcW w:w="1278" w:type="dxa"/>
            <w:tcBorders>
              <w:tl2br w:val="nil"/>
              <w:tr2bl w:val="nil"/>
            </w:tcBorders>
            <w:shd w:val="clear" w:color="auto" w:fill="auto"/>
            <w:vAlign w:val="center"/>
          </w:tcPr>
          <w:p w14:paraId="74871A51">
            <w:pPr>
              <w:spacing w:line="360" w:lineRule="exact"/>
              <w:ind w:firstLine="0" w:firstLineChars="0"/>
              <w:jc w:val="center"/>
              <w:rPr>
                <w:color w:val="auto"/>
                <w:sz w:val="21"/>
                <w:szCs w:val="21"/>
              </w:rPr>
            </w:pPr>
            <w:r>
              <w:rPr>
                <w:color w:val="auto"/>
                <w:sz w:val="21"/>
                <w:szCs w:val="21"/>
              </w:rPr>
              <w:t>51.09%</w:t>
            </w:r>
          </w:p>
        </w:tc>
        <w:tc>
          <w:tcPr>
            <w:tcW w:w="1289" w:type="dxa"/>
            <w:tcBorders>
              <w:tl2br w:val="nil"/>
              <w:tr2bl w:val="nil"/>
            </w:tcBorders>
            <w:shd w:val="clear" w:color="auto" w:fill="auto"/>
            <w:vAlign w:val="center"/>
          </w:tcPr>
          <w:p w14:paraId="41157877">
            <w:pPr>
              <w:spacing w:line="360" w:lineRule="exact"/>
              <w:ind w:firstLine="0" w:firstLineChars="0"/>
              <w:jc w:val="center"/>
              <w:rPr>
                <w:color w:val="auto"/>
                <w:sz w:val="21"/>
                <w:szCs w:val="21"/>
              </w:rPr>
            </w:pPr>
            <w:r>
              <w:rPr>
                <w:color w:val="auto"/>
                <w:sz w:val="21"/>
                <w:szCs w:val="21"/>
              </w:rPr>
              <w:t>14.40%</w:t>
            </w:r>
          </w:p>
        </w:tc>
        <w:tc>
          <w:tcPr>
            <w:tcW w:w="1154" w:type="dxa"/>
            <w:tcBorders>
              <w:tl2br w:val="nil"/>
              <w:tr2bl w:val="nil"/>
            </w:tcBorders>
            <w:shd w:val="clear" w:color="auto" w:fill="auto"/>
            <w:vAlign w:val="center"/>
          </w:tcPr>
          <w:p w14:paraId="24FBD602">
            <w:pPr>
              <w:spacing w:line="360" w:lineRule="exact"/>
              <w:ind w:firstLine="0" w:firstLineChars="0"/>
              <w:jc w:val="center"/>
              <w:rPr>
                <w:color w:val="auto"/>
                <w:sz w:val="21"/>
                <w:szCs w:val="21"/>
              </w:rPr>
            </w:pPr>
            <w:r>
              <w:rPr>
                <w:color w:val="auto"/>
                <w:sz w:val="21"/>
                <w:szCs w:val="21"/>
              </w:rPr>
              <w:t>100.00%</w:t>
            </w:r>
          </w:p>
        </w:tc>
      </w:tr>
    </w:tbl>
    <w:p w14:paraId="57574F74">
      <w:pPr>
        <w:pStyle w:val="58"/>
        <w:ind w:firstLine="480"/>
        <w:jc w:val="both"/>
        <w:rPr>
          <w:rFonts w:ascii="Times New Roman" w:hAnsi="Times New Roman" w:eastAsia="宋体"/>
          <w:color w:val="auto"/>
          <w:szCs w:val="24"/>
        </w:rPr>
      </w:pPr>
      <w:r>
        <w:rPr>
          <w:rFonts w:ascii="Times New Roman" w:hAnsi="Times New Roman" w:eastAsia="宋体"/>
          <w:color w:val="auto"/>
          <w:szCs w:val="24"/>
        </w:rPr>
        <w:t xml:space="preserve"> 根据2020年用水情况统计分析，园区范围内最大用水类别为工业用水，其次为生活用水。</w:t>
      </w:r>
    </w:p>
    <w:p w14:paraId="310D2A45">
      <w:pPr>
        <w:pStyle w:val="5"/>
        <w:numPr>
          <w:ilvl w:val="0"/>
          <w:numId w:val="0"/>
        </w:numPr>
        <w:spacing w:before="166" w:after="166"/>
        <w:rPr>
          <w:color w:val="auto"/>
        </w:rPr>
      </w:pPr>
      <w:r>
        <w:rPr>
          <w:color w:val="auto"/>
        </w:rPr>
        <w:t>4.2.2现状用水指标</w:t>
      </w:r>
    </w:p>
    <w:p w14:paraId="4ABD4D0B">
      <w:pPr>
        <w:pStyle w:val="58"/>
        <w:ind w:firstLine="480"/>
        <w:jc w:val="both"/>
        <w:rPr>
          <w:rFonts w:ascii="Times New Roman" w:hAnsi="Times New Roman" w:eastAsia="宋体"/>
          <w:color w:val="auto"/>
          <w:szCs w:val="24"/>
        </w:rPr>
      </w:pPr>
      <w:r>
        <w:rPr>
          <w:rFonts w:ascii="Times New Roman" w:hAnsi="Times New Roman" w:eastAsia="宋体"/>
          <w:color w:val="auto"/>
          <w:szCs w:val="24"/>
        </w:rPr>
        <w:t>（1）供水量</w:t>
      </w:r>
    </w:p>
    <w:p w14:paraId="7D1462F2">
      <w:pPr>
        <w:ind w:firstLine="480"/>
        <w:rPr>
          <w:color w:val="auto"/>
          <w:szCs w:val="24"/>
        </w:rPr>
      </w:pPr>
      <w:r>
        <w:rPr>
          <w:color w:val="auto"/>
          <w:szCs w:val="24"/>
        </w:rPr>
        <w:t>根据园区用水统计情况，2020年九龙工业园区总的用水量为2654.01万m</w:t>
      </w:r>
      <w:r>
        <w:rPr>
          <w:color w:val="auto"/>
          <w:szCs w:val="24"/>
          <w:vertAlign w:val="superscript"/>
        </w:rPr>
        <w:t>3</w:t>
      </w:r>
      <w:r>
        <w:rPr>
          <w:color w:val="auto"/>
          <w:szCs w:val="24"/>
        </w:rPr>
        <w:t>，其中A区用水量为545.59万m³，B区用水量为1284.66万m³，C区用水量为823.77万m³。按供水水源统计，水源均为地表水源。A区地表水源主要为尚山水厂（长江提水），B区地表水源主要为丰收坝水厂（长江提水），C区地表水源主要为西彭水厂（长江提水）。</w:t>
      </w:r>
    </w:p>
    <w:p w14:paraId="25FF7EFE">
      <w:pPr>
        <w:ind w:firstLine="482"/>
        <w:rPr>
          <w:color w:val="auto"/>
          <w:szCs w:val="21"/>
        </w:rPr>
      </w:pPr>
      <w:r>
        <w:rPr>
          <w:b/>
          <w:color w:val="auto"/>
        </w:rPr>
        <w:t xml:space="preserve">表4.2-2              园区2020年供水量表  </w:t>
      </w:r>
      <w:r>
        <w:rPr>
          <w:color w:val="auto"/>
          <w:szCs w:val="21"/>
        </w:rPr>
        <w:t xml:space="preserve">                    </w:t>
      </w:r>
      <w:r>
        <w:rPr>
          <w:b/>
          <w:color w:val="auto"/>
        </w:rPr>
        <w:t xml:space="preserve">                 </w:t>
      </w:r>
      <w:r>
        <w:rPr>
          <w:color w:val="auto"/>
          <w:szCs w:val="21"/>
        </w:rPr>
        <w:t xml:space="preserve">                     </w:t>
      </w:r>
    </w:p>
    <w:tbl>
      <w:tblPr>
        <w:tblStyle w:val="21"/>
        <w:tblW w:w="924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3"/>
        <w:gridCol w:w="1775"/>
        <w:gridCol w:w="1775"/>
        <w:gridCol w:w="1775"/>
        <w:gridCol w:w="1776"/>
      </w:tblGrid>
      <w:tr w14:paraId="63DF1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43" w:type="dxa"/>
            <w:vAlign w:val="center"/>
          </w:tcPr>
          <w:p w14:paraId="019BD613">
            <w:pPr>
              <w:spacing w:line="360" w:lineRule="exact"/>
              <w:ind w:firstLine="0" w:firstLineChars="0"/>
              <w:jc w:val="center"/>
              <w:rPr>
                <w:color w:val="auto"/>
                <w:sz w:val="21"/>
                <w:szCs w:val="21"/>
              </w:rPr>
            </w:pPr>
            <w:r>
              <w:rPr>
                <w:color w:val="auto"/>
                <w:sz w:val="21"/>
                <w:szCs w:val="21"/>
              </w:rPr>
              <w:t>类别</w:t>
            </w:r>
          </w:p>
        </w:tc>
        <w:tc>
          <w:tcPr>
            <w:tcW w:w="1775" w:type="dxa"/>
            <w:vAlign w:val="center"/>
          </w:tcPr>
          <w:p w14:paraId="3D0A9FF4">
            <w:pPr>
              <w:spacing w:line="360" w:lineRule="exact"/>
              <w:ind w:firstLine="0" w:firstLineChars="0"/>
              <w:jc w:val="center"/>
              <w:rPr>
                <w:color w:val="auto"/>
                <w:sz w:val="21"/>
                <w:szCs w:val="21"/>
              </w:rPr>
            </w:pPr>
            <w:r>
              <w:rPr>
                <w:color w:val="auto"/>
                <w:sz w:val="21"/>
                <w:szCs w:val="21"/>
              </w:rPr>
              <w:t>地表水源供水量</w:t>
            </w:r>
          </w:p>
        </w:tc>
        <w:tc>
          <w:tcPr>
            <w:tcW w:w="1775" w:type="dxa"/>
            <w:vAlign w:val="center"/>
          </w:tcPr>
          <w:p w14:paraId="4F207F63">
            <w:pPr>
              <w:spacing w:line="360" w:lineRule="exact"/>
              <w:ind w:firstLine="0" w:firstLineChars="0"/>
              <w:jc w:val="center"/>
              <w:rPr>
                <w:color w:val="auto"/>
                <w:sz w:val="21"/>
                <w:szCs w:val="21"/>
              </w:rPr>
            </w:pPr>
            <w:r>
              <w:rPr>
                <w:color w:val="auto"/>
                <w:sz w:val="21"/>
                <w:szCs w:val="21"/>
              </w:rPr>
              <w:t>地下水源供水量</w:t>
            </w:r>
          </w:p>
        </w:tc>
        <w:tc>
          <w:tcPr>
            <w:tcW w:w="1775" w:type="dxa"/>
            <w:vAlign w:val="center"/>
          </w:tcPr>
          <w:p w14:paraId="011E7A71">
            <w:pPr>
              <w:spacing w:line="360" w:lineRule="exact"/>
              <w:ind w:firstLine="0" w:firstLineChars="0"/>
              <w:jc w:val="center"/>
              <w:rPr>
                <w:color w:val="auto"/>
                <w:sz w:val="21"/>
                <w:szCs w:val="21"/>
              </w:rPr>
            </w:pPr>
            <w:r>
              <w:rPr>
                <w:color w:val="auto"/>
                <w:sz w:val="21"/>
                <w:szCs w:val="21"/>
              </w:rPr>
              <w:t>其他水源供水量</w:t>
            </w:r>
          </w:p>
        </w:tc>
        <w:tc>
          <w:tcPr>
            <w:tcW w:w="1776" w:type="dxa"/>
            <w:vAlign w:val="center"/>
          </w:tcPr>
          <w:p w14:paraId="5C785F48">
            <w:pPr>
              <w:spacing w:line="360" w:lineRule="exact"/>
              <w:ind w:firstLine="0" w:firstLineChars="0"/>
              <w:jc w:val="center"/>
              <w:rPr>
                <w:color w:val="auto"/>
                <w:sz w:val="21"/>
                <w:szCs w:val="21"/>
              </w:rPr>
            </w:pPr>
            <w:r>
              <w:rPr>
                <w:color w:val="auto"/>
                <w:sz w:val="21"/>
                <w:szCs w:val="21"/>
              </w:rPr>
              <w:t>总供水量</w:t>
            </w:r>
          </w:p>
        </w:tc>
      </w:tr>
      <w:tr w14:paraId="0FD76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43" w:type="dxa"/>
            <w:vAlign w:val="center"/>
          </w:tcPr>
          <w:p w14:paraId="71177BAA">
            <w:pPr>
              <w:spacing w:line="360" w:lineRule="exact"/>
              <w:ind w:firstLine="0" w:firstLineChars="0"/>
              <w:jc w:val="center"/>
              <w:rPr>
                <w:color w:val="auto"/>
                <w:sz w:val="21"/>
                <w:szCs w:val="21"/>
              </w:rPr>
            </w:pPr>
            <w:r>
              <w:rPr>
                <w:color w:val="auto"/>
                <w:sz w:val="21"/>
                <w:szCs w:val="21"/>
              </w:rPr>
              <w:t>A区</w:t>
            </w:r>
          </w:p>
        </w:tc>
        <w:tc>
          <w:tcPr>
            <w:tcW w:w="1775" w:type="dxa"/>
            <w:vAlign w:val="center"/>
          </w:tcPr>
          <w:p w14:paraId="6308DDA9">
            <w:pPr>
              <w:spacing w:line="360" w:lineRule="exact"/>
              <w:ind w:firstLine="0" w:firstLineChars="0"/>
              <w:jc w:val="center"/>
              <w:rPr>
                <w:color w:val="auto"/>
                <w:sz w:val="21"/>
                <w:szCs w:val="21"/>
              </w:rPr>
            </w:pPr>
            <w:r>
              <w:rPr>
                <w:color w:val="auto"/>
                <w:sz w:val="21"/>
                <w:szCs w:val="21"/>
              </w:rPr>
              <w:t>545.59</w:t>
            </w:r>
          </w:p>
        </w:tc>
        <w:tc>
          <w:tcPr>
            <w:tcW w:w="1775" w:type="dxa"/>
            <w:vAlign w:val="center"/>
          </w:tcPr>
          <w:p w14:paraId="4DB320F7">
            <w:pPr>
              <w:spacing w:line="360" w:lineRule="exact"/>
              <w:ind w:firstLine="0" w:firstLineChars="0"/>
              <w:jc w:val="center"/>
              <w:rPr>
                <w:color w:val="auto"/>
                <w:sz w:val="21"/>
                <w:szCs w:val="21"/>
              </w:rPr>
            </w:pPr>
            <w:r>
              <w:rPr>
                <w:color w:val="auto"/>
                <w:sz w:val="21"/>
                <w:szCs w:val="21"/>
              </w:rPr>
              <w:t>0</w:t>
            </w:r>
          </w:p>
        </w:tc>
        <w:tc>
          <w:tcPr>
            <w:tcW w:w="1775" w:type="dxa"/>
            <w:vAlign w:val="center"/>
          </w:tcPr>
          <w:p w14:paraId="64C70F53">
            <w:pPr>
              <w:spacing w:line="360" w:lineRule="exact"/>
              <w:ind w:firstLine="0" w:firstLineChars="0"/>
              <w:jc w:val="center"/>
              <w:rPr>
                <w:color w:val="auto"/>
                <w:sz w:val="21"/>
                <w:szCs w:val="21"/>
              </w:rPr>
            </w:pPr>
            <w:r>
              <w:rPr>
                <w:color w:val="auto"/>
                <w:sz w:val="21"/>
                <w:szCs w:val="21"/>
              </w:rPr>
              <w:t>0</w:t>
            </w:r>
          </w:p>
        </w:tc>
        <w:tc>
          <w:tcPr>
            <w:tcW w:w="1776" w:type="dxa"/>
            <w:vAlign w:val="center"/>
          </w:tcPr>
          <w:p w14:paraId="107BDAFF">
            <w:pPr>
              <w:spacing w:line="360" w:lineRule="exact"/>
              <w:ind w:firstLine="0" w:firstLineChars="0"/>
              <w:jc w:val="center"/>
              <w:rPr>
                <w:color w:val="auto"/>
                <w:sz w:val="21"/>
                <w:szCs w:val="21"/>
              </w:rPr>
            </w:pPr>
            <w:r>
              <w:rPr>
                <w:color w:val="auto"/>
                <w:sz w:val="21"/>
                <w:szCs w:val="21"/>
              </w:rPr>
              <w:t>545.59</w:t>
            </w:r>
          </w:p>
        </w:tc>
      </w:tr>
      <w:tr w14:paraId="06F7F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43" w:type="dxa"/>
            <w:vAlign w:val="center"/>
          </w:tcPr>
          <w:p w14:paraId="53D45D7D">
            <w:pPr>
              <w:spacing w:line="360" w:lineRule="exact"/>
              <w:ind w:firstLine="0" w:firstLineChars="0"/>
              <w:jc w:val="center"/>
              <w:rPr>
                <w:color w:val="auto"/>
                <w:sz w:val="21"/>
                <w:szCs w:val="21"/>
              </w:rPr>
            </w:pPr>
            <w:r>
              <w:rPr>
                <w:color w:val="auto"/>
                <w:sz w:val="21"/>
                <w:szCs w:val="21"/>
              </w:rPr>
              <w:t>B区</w:t>
            </w:r>
          </w:p>
        </w:tc>
        <w:tc>
          <w:tcPr>
            <w:tcW w:w="1775" w:type="dxa"/>
            <w:vAlign w:val="center"/>
          </w:tcPr>
          <w:p w14:paraId="0BABE0CD">
            <w:pPr>
              <w:spacing w:line="360" w:lineRule="exact"/>
              <w:ind w:firstLine="0" w:firstLineChars="0"/>
              <w:jc w:val="center"/>
              <w:rPr>
                <w:color w:val="auto"/>
                <w:sz w:val="21"/>
                <w:szCs w:val="21"/>
              </w:rPr>
            </w:pPr>
            <w:r>
              <w:rPr>
                <w:color w:val="auto"/>
                <w:sz w:val="21"/>
                <w:szCs w:val="21"/>
              </w:rPr>
              <w:t>1284.66</w:t>
            </w:r>
          </w:p>
        </w:tc>
        <w:tc>
          <w:tcPr>
            <w:tcW w:w="1775" w:type="dxa"/>
            <w:vAlign w:val="center"/>
          </w:tcPr>
          <w:p w14:paraId="0315A7B6">
            <w:pPr>
              <w:spacing w:line="360" w:lineRule="exact"/>
              <w:ind w:firstLine="0" w:firstLineChars="0"/>
              <w:jc w:val="center"/>
              <w:rPr>
                <w:color w:val="auto"/>
                <w:sz w:val="21"/>
                <w:szCs w:val="21"/>
              </w:rPr>
            </w:pPr>
            <w:r>
              <w:rPr>
                <w:color w:val="auto"/>
                <w:sz w:val="21"/>
                <w:szCs w:val="21"/>
              </w:rPr>
              <w:t>0</w:t>
            </w:r>
          </w:p>
        </w:tc>
        <w:tc>
          <w:tcPr>
            <w:tcW w:w="1775" w:type="dxa"/>
            <w:vAlign w:val="center"/>
          </w:tcPr>
          <w:p w14:paraId="704F4A91">
            <w:pPr>
              <w:spacing w:line="360" w:lineRule="exact"/>
              <w:ind w:firstLine="0" w:firstLineChars="0"/>
              <w:jc w:val="center"/>
              <w:rPr>
                <w:color w:val="auto"/>
                <w:sz w:val="21"/>
                <w:szCs w:val="21"/>
              </w:rPr>
            </w:pPr>
            <w:r>
              <w:rPr>
                <w:color w:val="auto"/>
                <w:sz w:val="21"/>
                <w:szCs w:val="21"/>
              </w:rPr>
              <w:t>0</w:t>
            </w:r>
          </w:p>
        </w:tc>
        <w:tc>
          <w:tcPr>
            <w:tcW w:w="1776" w:type="dxa"/>
            <w:vAlign w:val="center"/>
          </w:tcPr>
          <w:p w14:paraId="5927B48B">
            <w:pPr>
              <w:spacing w:line="360" w:lineRule="exact"/>
              <w:ind w:firstLine="0" w:firstLineChars="0"/>
              <w:jc w:val="center"/>
              <w:rPr>
                <w:color w:val="auto"/>
                <w:sz w:val="21"/>
                <w:szCs w:val="21"/>
              </w:rPr>
            </w:pPr>
            <w:r>
              <w:rPr>
                <w:color w:val="auto"/>
                <w:sz w:val="21"/>
                <w:szCs w:val="21"/>
              </w:rPr>
              <w:t>1284.66</w:t>
            </w:r>
          </w:p>
        </w:tc>
      </w:tr>
      <w:tr w14:paraId="2223B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43" w:type="dxa"/>
            <w:vAlign w:val="center"/>
          </w:tcPr>
          <w:p w14:paraId="150E2748">
            <w:pPr>
              <w:spacing w:line="360" w:lineRule="exact"/>
              <w:ind w:firstLine="0" w:firstLineChars="0"/>
              <w:jc w:val="center"/>
              <w:rPr>
                <w:color w:val="auto"/>
                <w:sz w:val="21"/>
                <w:szCs w:val="21"/>
              </w:rPr>
            </w:pPr>
            <w:r>
              <w:rPr>
                <w:color w:val="auto"/>
                <w:sz w:val="21"/>
                <w:szCs w:val="21"/>
              </w:rPr>
              <w:t>C区</w:t>
            </w:r>
          </w:p>
        </w:tc>
        <w:tc>
          <w:tcPr>
            <w:tcW w:w="1775" w:type="dxa"/>
            <w:vAlign w:val="center"/>
          </w:tcPr>
          <w:p w14:paraId="6CAC8A41">
            <w:pPr>
              <w:spacing w:line="360" w:lineRule="exact"/>
              <w:ind w:firstLine="0" w:firstLineChars="0"/>
              <w:jc w:val="center"/>
              <w:rPr>
                <w:color w:val="auto"/>
                <w:sz w:val="21"/>
                <w:szCs w:val="21"/>
              </w:rPr>
            </w:pPr>
            <w:r>
              <w:rPr>
                <w:color w:val="auto"/>
                <w:sz w:val="21"/>
                <w:szCs w:val="21"/>
              </w:rPr>
              <w:t>823.77</w:t>
            </w:r>
          </w:p>
        </w:tc>
        <w:tc>
          <w:tcPr>
            <w:tcW w:w="1775" w:type="dxa"/>
            <w:vAlign w:val="center"/>
          </w:tcPr>
          <w:p w14:paraId="100A8BC9">
            <w:pPr>
              <w:spacing w:line="360" w:lineRule="exact"/>
              <w:ind w:firstLine="0" w:firstLineChars="0"/>
              <w:jc w:val="center"/>
              <w:rPr>
                <w:color w:val="auto"/>
                <w:sz w:val="21"/>
                <w:szCs w:val="21"/>
              </w:rPr>
            </w:pPr>
            <w:r>
              <w:rPr>
                <w:color w:val="auto"/>
                <w:sz w:val="21"/>
                <w:szCs w:val="21"/>
              </w:rPr>
              <w:t>0</w:t>
            </w:r>
          </w:p>
        </w:tc>
        <w:tc>
          <w:tcPr>
            <w:tcW w:w="1775" w:type="dxa"/>
            <w:vAlign w:val="center"/>
          </w:tcPr>
          <w:p w14:paraId="13E30A36">
            <w:pPr>
              <w:spacing w:line="360" w:lineRule="exact"/>
              <w:ind w:firstLine="0" w:firstLineChars="0"/>
              <w:jc w:val="center"/>
              <w:rPr>
                <w:color w:val="auto"/>
                <w:sz w:val="21"/>
                <w:szCs w:val="21"/>
              </w:rPr>
            </w:pPr>
            <w:r>
              <w:rPr>
                <w:color w:val="auto"/>
                <w:sz w:val="21"/>
                <w:szCs w:val="21"/>
              </w:rPr>
              <w:t>0</w:t>
            </w:r>
          </w:p>
        </w:tc>
        <w:tc>
          <w:tcPr>
            <w:tcW w:w="1776" w:type="dxa"/>
            <w:vAlign w:val="center"/>
          </w:tcPr>
          <w:p w14:paraId="68E7117E">
            <w:pPr>
              <w:spacing w:line="360" w:lineRule="exact"/>
              <w:ind w:firstLine="0" w:firstLineChars="0"/>
              <w:jc w:val="center"/>
              <w:rPr>
                <w:color w:val="auto"/>
                <w:sz w:val="21"/>
                <w:szCs w:val="21"/>
              </w:rPr>
            </w:pPr>
            <w:r>
              <w:rPr>
                <w:color w:val="auto"/>
                <w:sz w:val="21"/>
                <w:szCs w:val="21"/>
              </w:rPr>
              <w:t>823.77</w:t>
            </w:r>
          </w:p>
        </w:tc>
      </w:tr>
      <w:tr w14:paraId="1CD00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43" w:type="dxa"/>
            <w:vAlign w:val="center"/>
          </w:tcPr>
          <w:p w14:paraId="2C9F26B3">
            <w:pPr>
              <w:spacing w:line="360" w:lineRule="exact"/>
              <w:ind w:firstLine="0" w:firstLineChars="0"/>
              <w:jc w:val="center"/>
              <w:rPr>
                <w:color w:val="auto"/>
                <w:sz w:val="21"/>
                <w:szCs w:val="21"/>
              </w:rPr>
            </w:pPr>
            <w:r>
              <w:rPr>
                <w:color w:val="auto"/>
                <w:sz w:val="21"/>
                <w:szCs w:val="21"/>
              </w:rPr>
              <w:t>合计</w:t>
            </w:r>
          </w:p>
        </w:tc>
        <w:tc>
          <w:tcPr>
            <w:tcW w:w="1775" w:type="dxa"/>
            <w:vAlign w:val="center"/>
          </w:tcPr>
          <w:p w14:paraId="380D279E">
            <w:pPr>
              <w:spacing w:line="360" w:lineRule="exact"/>
              <w:ind w:firstLine="0" w:firstLineChars="0"/>
              <w:jc w:val="center"/>
              <w:rPr>
                <w:color w:val="auto"/>
                <w:sz w:val="21"/>
                <w:szCs w:val="21"/>
              </w:rPr>
            </w:pPr>
            <w:r>
              <w:rPr>
                <w:color w:val="auto"/>
                <w:sz w:val="21"/>
                <w:szCs w:val="21"/>
              </w:rPr>
              <w:t>2654.01</w:t>
            </w:r>
          </w:p>
        </w:tc>
        <w:tc>
          <w:tcPr>
            <w:tcW w:w="1775" w:type="dxa"/>
            <w:vAlign w:val="center"/>
          </w:tcPr>
          <w:p w14:paraId="5774BB6A">
            <w:pPr>
              <w:spacing w:line="360" w:lineRule="exact"/>
              <w:ind w:firstLine="0" w:firstLineChars="0"/>
              <w:jc w:val="center"/>
              <w:rPr>
                <w:color w:val="auto"/>
                <w:sz w:val="21"/>
                <w:szCs w:val="21"/>
              </w:rPr>
            </w:pPr>
            <w:r>
              <w:rPr>
                <w:color w:val="auto"/>
                <w:sz w:val="21"/>
                <w:szCs w:val="21"/>
              </w:rPr>
              <w:t>0</w:t>
            </w:r>
          </w:p>
        </w:tc>
        <w:tc>
          <w:tcPr>
            <w:tcW w:w="1775" w:type="dxa"/>
            <w:vAlign w:val="center"/>
          </w:tcPr>
          <w:p w14:paraId="2619EEC1">
            <w:pPr>
              <w:spacing w:line="360" w:lineRule="exact"/>
              <w:ind w:firstLine="0" w:firstLineChars="0"/>
              <w:jc w:val="center"/>
              <w:rPr>
                <w:color w:val="auto"/>
                <w:sz w:val="21"/>
                <w:szCs w:val="21"/>
              </w:rPr>
            </w:pPr>
            <w:r>
              <w:rPr>
                <w:color w:val="auto"/>
                <w:sz w:val="21"/>
                <w:szCs w:val="21"/>
              </w:rPr>
              <w:t>0</w:t>
            </w:r>
          </w:p>
        </w:tc>
        <w:tc>
          <w:tcPr>
            <w:tcW w:w="1776" w:type="dxa"/>
            <w:vAlign w:val="center"/>
          </w:tcPr>
          <w:p w14:paraId="36B5CF2E">
            <w:pPr>
              <w:spacing w:line="360" w:lineRule="exact"/>
              <w:ind w:firstLine="0" w:firstLineChars="0"/>
              <w:jc w:val="center"/>
              <w:rPr>
                <w:color w:val="auto"/>
                <w:sz w:val="21"/>
                <w:szCs w:val="21"/>
              </w:rPr>
            </w:pPr>
            <w:r>
              <w:rPr>
                <w:color w:val="auto"/>
                <w:sz w:val="21"/>
                <w:szCs w:val="21"/>
              </w:rPr>
              <w:t>2654.01</w:t>
            </w:r>
          </w:p>
        </w:tc>
      </w:tr>
    </w:tbl>
    <w:p w14:paraId="491367D3">
      <w:pPr>
        <w:pStyle w:val="58"/>
        <w:ind w:firstLine="480"/>
        <w:jc w:val="both"/>
        <w:rPr>
          <w:rFonts w:ascii="Times New Roman" w:hAnsi="Times New Roman" w:eastAsia="宋体"/>
          <w:color w:val="auto"/>
          <w:szCs w:val="24"/>
        </w:rPr>
      </w:pPr>
      <w:r>
        <w:rPr>
          <w:rFonts w:ascii="Times New Roman" w:hAnsi="Times New Roman" w:eastAsia="宋体"/>
          <w:color w:val="auto"/>
          <w:szCs w:val="24"/>
        </w:rPr>
        <w:t>（2）用水量</w:t>
      </w:r>
    </w:p>
    <w:p w14:paraId="7532ECDB">
      <w:pPr>
        <w:ind w:firstLine="480"/>
        <w:rPr>
          <w:color w:val="auto"/>
          <w:szCs w:val="24"/>
        </w:rPr>
      </w:pPr>
      <w:r>
        <w:rPr>
          <w:color w:val="auto"/>
          <w:szCs w:val="24"/>
        </w:rPr>
        <w:t>根据表4.2-1得知：园区内的用水行业分为居民生活、工业和生态环境共三类用水行业，无农业用水。</w:t>
      </w:r>
    </w:p>
    <w:p w14:paraId="5C868D56">
      <w:pPr>
        <w:ind w:firstLine="480"/>
        <w:rPr>
          <w:color w:val="auto"/>
          <w:szCs w:val="24"/>
        </w:rPr>
      </w:pPr>
      <w:r>
        <w:rPr>
          <w:color w:val="auto"/>
          <w:szCs w:val="24"/>
        </w:rPr>
        <w:t>2020年九龙工业园区A区总用水量545.59万m³，现状供水人口4.58万人，居民生活用水量347.75万m³，占总用水量的63.74%；工业用水量为76.47万m³，占总用水量的14.02%；生态环境用水量为121.37万m³，占总水量的22.25%。</w:t>
      </w:r>
    </w:p>
    <w:p w14:paraId="509A42AB">
      <w:pPr>
        <w:ind w:firstLine="480"/>
        <w:rPr>
          <w:color w:val="auto"/>
          <w:szCs w:val="24"/>
        </w:rPr>
      </w:pPr>
      <w:r>
        <w:rPr>
          <w:color w:val="auto"/>
          <w:szCs w:val="24"/>
        </w:rPr>
        <w:t>2020年九龙工业园区B区总用水量1284.66万m³，现状供水人口4.30万人，居民生活用水量290.66万m³，占总用水量的22.63%；工业用水量为758.12万m³，占总用水量的59.01%；生态环境用水量为235.88万m³，占总水量的18.36%。</w:t>
      </w:r>
    </w:p>
    <w:p w14:paraId="391A1E23">
      <w:pPr>
        <w:ind w:firstLine="480"/>
        <w:rPr>
          <w:color w:val="auto"/>
          <w:szCs w:val="24"/>
        </w:rPr>
      </w:pPr>
      <w:r>
        <w:rPr>
          <w:color w:val="auto"/>
          <w:szCs w:val="24"/>
        </w:rPr>
        <w:t>2020年九龙工业园区C区总用水量823.77万m³，现状供水人口4.72万人，居民生活用水量277.37万m³，占总用水量的33.67%；工业用水量为521.37万m³，占总用水量的63.29%；生态环境用水量为25.03万m³，占总水量的3.04%。</w:t>
      </w:r>
    </w:p>
    <w:p w14:paraId="158CA8F3">
      <w:pPr>
        <w:pStyle w:val="58"/>
        <w:ind w:firstLine="480"/>
        <w:jc w:val="both"/>
        <w:rPr>
          <w:rFonts w:ascii="Times New Roman" w:hAnsi="Times New Roman" w:eastAsia="宋体"/>
          <w:color w:val="auto"/>
          <w:szCs w:val="24"/>
        </w:rPr>
      </w:pPr>
      <w:r>
        <w:rPr>
          <w:rFonts w:ascii="Times New Roman" w:hAnsi="Times New Roman" w:eastAsia="宋体"/>
          <w:color w:val="auto"/>
          <w:szCs w:val="24"/>
        </w:rPr>
        <w:t>（3）耗水量</w:t>
      </w:r>
    </w:p>
    <w:p w14:paraId="34AF496D">
      <w:pPr>
        <w:ind w:firstLine="480"/>
        <w:rPr>
          <w:color w:val="auto"/>
        </w:rPr>
      </w:pPr>
      <w:r>
        <w:rPr>
          <w:color w:val="auto"/>
        </w:rPr>
        <w:t>2020年园区总的耗水量为1065.81万m</w:t>
      </w:r>
      <w:r>
        <w:rPr>
          <w:color w:val="auto"/>
          <w:vertAlign w:val="superscript"/>
        </w:rPr>
        <w:t>3</w:t>
      </w:r>
      <w:r>
        <w:rPr>
          <w:color w:val="auto"/>
        </w:rPr>
        <w:t>，其中居民生活耗水量213.03万m</w:t>
      </w:r>
      <w:r>
        <w:rPr>
          <w:color w:val="auto"/>
          <w:vertAlign w:val="superscript"/>
        </w:rPr>
        <w:t>3</w:t>
      </w:r>
      <w:r>
        <w:rPr>
          <w:color w:val="auto"/>
        </w:rPr>
        <w:t>，工业耗水量470.50万m</w:t>
      </w:r>
      <w:r>
        <w:rPr>
          <w:color w:val="auto"/>
          <w:vertAlign w:val="superscript"/>
        </w:rPr>
        <w:t>3</w:t>
      </w:r>
      <w:r>
        <w:rPr>
          <w:color w:val="auto"/>
        </w:rPr>
        <w:t>，生态环境耗水量382.28万m</w:t>
      </w:r>
      <w:r>
        <w:rPr>
          <w:color w:val="auto"/>
          <w:vertAlign w:val="superscript"/>
        </w:rPr>
        <w:t>3</w:t>
      </w:r>
      <w:r>
        <w:rPr>
          <w:color w:val="auto"/>
        </w:rPr>
        <w:t>。</w:t>
      </w:r>
    </w:p>
    <w:p w14:paraId="166BC1FC">
      <w:pPr>
        <w:ind w:firstLine="480"/>
        <w:rPr>
          <w:color w:val="auto"/>
        </w:rPr>
      </w:pPr>
      <w:r>
        <w:rPr>
          <w:color w:val="auto"/>
        </w:rPr>
        <w:t>2020年九龙工业园区A区综合耗水率为41.38%，总耗水量为225.75万m³，其中</w:t>
      </w:r>
    </w:p>
    <w:p w14:paraId="66D7864A">
      <w:pPr>
        <w:snapToGrid w:val="0"/>
        <w:ind w:firstLine="0" w:firstLineChars="0"/>
        <w:rPr>
          <w:color w:val="auto"/>
          <w:szCs w:val="24"/>
        </w:rPr>
      </w:pPr>
      <w:r>
        <w:rPr>
          <w:color w:val="auto"/>
          <w:szCs w:val="24"/>
        </w:rPr>
        <w:t>居民生活耗水80.50万m³，占35.66%；工业耗水23.87万m³，占10.58%；生态环境耗水121.37万 m³，占53.76%。</w:t>
      </w:r>
    </w:p>
    <w:p w14:paraId="50109122">
      <w:pPr>
        <w:ind w:firstLine="480"/>
        <w:rPr>
          <w:color w:val="auto"/>
          <w:szCs w:val="24"/>
        </w:rPr>
      </w:pPr>
      <w:r>
        <w:rPr>
          <w:color w:val="auto"/>
        </w:rPr>
        <w:t>2020年九龙工业园区B区综合耗水率为43.95%，总耗水量为564.58万m³，其中</w:t>
      </w:r>
      <w:r>
        <w:rPr>
          <w:color w:val="auto"/>
          <w:szCs w:val="24"/>
        </w:rPr>
        <w:t>居民生活耗水66.01万m³，占11.69%；工业耗水262.69万m³，占46.53%；生态环境耗水235.88万 m³，占41.78%。</w:t>
      </w:r>
    </w:p>
    <w:p w14:paraId="301FC4D0">
      <w:pPr>
        <w:ind w:firstLine="480"/>
        <w:rPr>
          <w:color w:val="auto"/>
        </w:rPr>
      </w:pPr>
      <w:r>
        <w:rPr>
          <w:color w:val="auto"/>
        </w:rPr>
        <w:t>2020年九龙工业园区C区综合耗水率为33.44%，总耗水量为275.48万m³，其中</w:t>
      </w:r>
    </w:p>
    <w:p w14:paraId="4ACD3F7A">
      <w:pPr>
        <w:snapToGrid w:val="0"/>
        <w:ind w:firstLine="0" w:firstLineChars="0"/>
        <w:rPr>
          <w:color w:val="auto"/>
          <w:szCs w:val="24"/>
        </w:rPr>
      </w:pPr>
      <w:r>
        <w:rPr>
          <w:color w:val="auto"/>
          <w:szCs w:val="24"/>
        </w:rPr>
        <w:t>居民生活耗水66.51万m³，占24.14%；工业耗水183.94万m³，占66.77%；生态环境耗水25.03万 m³，占9.09%。</w:t>
      </w:r>
    </w:p>
    <w:p w14:paraId="14121897">
      <w:pPr>
        <w:ind w:firstLine="480"/>
        <w:rPr>
          <w:color w:val="auto"/>
        </w:rPr>
      </w:pPr>
      <w:r>
        <w:rPr>
          <w:color w:val="auto"/>
        </w:rPr>
        <w:t>2020年九龙工业园区耗水量情况见表4.2-3。</w:t>
      </w:r>
    </w:p>
    <w:p w14:paraId="1908C23F">
      <w:pPr>
        <w:pStyle w:val="43"/>
        <w:rPr>
          <w:color w:val="auto"/>
        </w:rPr>
      </w:pPr>
      <w:r>
        <w:rPr>
          <w:color w:val="auto"/>
        </w:rPr>
        <w:t>表4.2-3               2020年九龙工业园区耗水量统计表           单位：万m³</w:t>
      </w:r>
    </w:p>
    <w:tbl>
      <w:tblPr>
        <w:tblStyle w:val="21"/>
        <w:tblW w:w="4998" w:type="pct"/>
        <w:jc w:val="center"/>
        <w:tblLayout w:type="autofit"/>
        <w:tblCellMar>
          <w:top w:w="0" w:type="dxa"/>
          <w:left w:w="108" w:type="dxa"/>
          <w:bottom w:w="0" w:type="dxa"/>
          <w:right w:w="108" w:type="dxa"/>
        </w:tblCellMar>
      </w:tblPr>
      <w:tblGrid>
        <w:gridCol w:w="1927"/>
        <w:gridCol w:w="2485"/>
        <w:gridCol w:w="1508"/>
        <w:gridCol w:w="1521"/>
        <w:gridCol w:w="1672"/>
      </w:tblGrid>
      <w:tr w14:paraId="73D017CE">
        <w:tblPrEx>
          <w:tblCellMar>
            <w:top w:w="0" w:type="dxa"/>
            <w:left w:w="108" w:type="dxa"/>
            <w:bottom w:w="0" w:type="dxa"/>
            <w:right w:w="108" w:type="dxa"/>
          </w:tblCellMar>
        </w:tblPrEx>
        <w:trPr>
          <w:trHeight w:val="340" w:hRule="atLeast"/>
          <w:jc w:val="center"/>
        </w:trPr>
        <w:tc>
          <w:tcPr>
            <w:tcW w:w="1057" w:type="pct"/>
            <w:tcBorders>
              <w:top w:val="single" w:color="000000" w:sz="12" w:space="0"/>
              <w:left w:val="single" w:color="000000" w:sz="12" w:space="0"/>
              <w:bottom w:val="single" w:color="000000" w:sz="4" w:space="0"/>
              <w:right w:val="single" w:color="000000" w:sz="4" w:space="0"/>
            </w:tcBorders>
            <w:shd w:val="clear" w:color="auto" w:fill="auto"/>
            <w:vAlign w:val="center"/>
          </w:tcPr>
          <w:p w14:paraId="3A0AAA45">
            <w:pPr>
              <w:spacing w:line="360" w:lineRule="exact"/>
              <w:ind w:firstLine="0" w:firstLineChars="0"/>
              <w:jc w:val="center"/>
              <w:rPr>
                <w:color w:val="auto"/>
                <w:sz w:val="21"/>
                <w:szCs w:val="21"/>
              </w:rPr>
            </w:pPr>
            <w:r>
              <w:rPr>
                <w:color w:val="auto"/>
                <w:sz w:val="21"/>
                <w:szCs w:val="21"/>
              </w:rPr>
              <w:t>园区</w:t>
            </w:r>
          </w:p>
        </w:tc>
        <w:tc>
          <w:tcPr>
            <w:tcW w:w="1363"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D6EA9D5">
            <w:pPr>
              <w:spacing w:line="360" w:lineRule="exact"/>
              <w:ind w:firstLine="0" w:firstLineChars="0"/>
              <w:jc w:val="center"/>
              <w:rPr>
                <w:color w:val="auto"/>
                <w:sz w:val="21"/>
                <w:szCs w:val="21"/>
              </w:rPr>
            </w:pPr>
            <w:r>
              <w:rPr>
                <w:color w:val="auto"/>
                <w:sz w:val="21"/>
                <w:szCs w:val="21"/>
              </w:rPr>
              <w:t>居民生活耗水量</w:t>
            </w:r>
          </w:p>
        </w:tc>
        <w:tc>
          <w:tcPr>
            <w:tcW w:w="82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6EA9131A">
            <w:pPr>
              <w:spacing w:line="360" w:lineRule="exact"/>
              <w:ind w:firstLine="0" w:firstLineChars="0"/>
              <w:jc w:val="center"/>
              <w:rPr>
                <w:color w:val="auto"/>
                <w:sz w:val="21"/>
                <w:szCs w:val="21"/>
              </w:rPr>
            </w:pPr>
            <w:r>
              <w:rPr>
                <w:color w:val="auto"/>
                <w:sz w:val="21"/>
                <w:szCs w:val="21"/>
              </w:rPr>
              <w:t>工业耗水量</w:t>
            </w:r>
          </w:p>
        </w:tc>
        <w:tc>
          <w:tcPr>
            <w:tcW w:w="834"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1D941253">
            <w:pPr>
              <w:spacing w:line="360" w:lineRule="exact"/>
              <w:ind w:firstLine="0" w:firstLineChars="0"/>
              <w:jc w:val="center"/>
              <w:rPr>
                <w:color w:val="auto"/>
                <w:sz w:val="21"/>
                <w:szCs w:val="21"/>
              </w:rPr>
            </w:pPr>
            <w:r>
              <w:rPr>
                <w:color w:val="auto"/>
                <w:sz w:val="21"/>
                <w:szCs w:val="21"/>
              </w:rPr>
              <w:t>生态环境</w:t>
            </w:r>
          </w:p>
          <w:p w14:paraId="4FB06C8C">
            <w:pPr>
              <w:spacing w:line="360" w:lineRule="exact"/>
              <w:ind w:firstLine="0" w:firstLineChars="0"/>
              <w:jc w:val="center"/>
              <w:rPr>
                <w:color w:val="auto"/>
                <w:sz w:val="21"/>
                <w:szCs w:val="21"/>
              </w:rPr>
            </w:pPr>
            <w:r>
              <w:rPr>
                <w:color w:val="auto"/>
                <w:sz w:val="21"/>
                <w:szCs w:val="21"/>
              </w:rPr>
              <w:t>耗水量</w:t>
            </w:r>
          </w:p>
        </w:tc>
        <w:tc>
          <w:tcPr>
            <w:tcW w:w="917"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4388FCBC">
            <w:pPr>
              <w:spacing w:line="360" w:lineRule="exact"/>
              <w:ind w:firstLine="0" w:firstLineChars="0"/>
              <w:jc w:val="center"/>
              <w:rPr>
                <w:color w:val="auto"/>
                <w:sz w:val="21"/>
                <w:szCs w:val="21"/>
              </w:rPr>
            </w:pPr>
            <w:r>
              <w:rPr>
                <w:color w:val="auto"/>
                <w:sz w:val="21"/>
                <w:szCs w:val="21"/>
              </w:rPr>
              <w:t>总耗水量</w:t>
            </w:r>
          </w:p>
        </w:tc>
      </w:tr>
      <w:tr w14:paraId="390BFE91">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3E91C14C">
            <w:pPr>
              <w:spacing w:line="360" w:lineRule="exact"/>
              <w:ind w:firstLine="0" w:firstLineChars="0"/>
              <w:jc w:val="center"/>
              <w:rPr>
                <w:color w:val="auto"/>
                <w:sz w:val="21"/>
                <w:szCs w:val="21"/>
              </w:rPr>
            </w:pPr>
            <w:r>
              <w:rPr>
                <w:color w:val="auto"/>
                <w:sz w:val="21"/>
                <w:szCs w:val="21"/>
              </w:rPr>
              <w:t>九龙工业园区A区</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5065">
            <w:pPr>
              <w:spacing w:line="360" w:lineRule="exact"/>
              <w:ind w:firstLine="0" w:firstLineChars="0"/>
              <w:jc w:val="center"/>
              <w:rPr>
                <w:color w:val="auto"/>
                <w:sz w:val="21"/>
                <w:szCs w:val="21"/>
              </w:rPr>
            </w:pPr>
            <w:r>
              <w:rPr>
                <w:color w:val="auto"/>
                <w:sz w:val="21"/>
                <w:szCs w:val="21"/>
              </w:rPr>
              <w:t xml:space="preserve">80.50 </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2A1A">
            <w:pPr>
              <w:spacing w:line="360" w:lineRule="exact"/>
              <w:ind w:firstLine="0" w:firstLineChars="0"/>
              <w:jc w:val="center"/>
              <w:rPr>
                <w:color w:val="auto"/>
                <w:sz w:val="21"/>
                <w:szCs w:val="21"/>
              </w:rPr>
            </w:pPr>
            <w:r>
              <w:rPr>
                <w:color w:val="auto"/>
                <w:sz w:val="21"/>
                <w:szCs w:val="21"/>
              </w:rPr>
              <w:t xml:space="preserve">23.87 </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CA13">
            <w:pPr>
              <w:spacing w:line="360" w:lineRule="exact"/>
              <w:ind w:firstLine="0" w:firstLineChars="0"/>
              <w:jc w:val="center"/>
              <w:rPr>
                <w:color w:val="auto"/>
                <w:sz w:val="21"/>
                <w:szCs w:val="21"/>
              </w:rPr>
            </w:pPr>
            <w:r>
              <w:rPr>
                <w:color w:val="auto"/>
                <w:sz w:val="21"/>
                <w:szCs w:val="21"/>
              </w:rPr>
              <w:t xml:space="preserve">121.37 </w:t>
            </w:r>
          </w:p>
        </w:tc>
        <w:tc>
          <w:tcPr>
            <w:tcW w:w="1672"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471A9D6">
            <w:pPr>
              <w:spacing w:line="360" w:lineRule="exact"/>
              <w:ind w:firstLine="0" w:firstLineChars="0"/>
              <w:jc w:val="center"/>
              <w:rPr>
                <w:color w:val="auto"/>
                <w:sz w:val="21"/>
                <w:szCs w:val="21"/>
              </w:rPr>
            </w:pPr>
            <w:r>
              <w:rPr>
                <w:color w:val="auto"/>
                <w:sz w:val="21"/>
                <w:szCs w:val="21"/>
              </w:rPr>
              <w:t xml:space="preserve">225.75 </w:t>
            </w:r>
          </w:p>
        </w:tc>
      </w:tr>
      <w:tr w14:paraId="28522B66">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308F38D">
            <w:pPr>
              <w:spacing w:line="360" w:lineRule="exact"/>
              <w:ind w:firstLine="0" w:firstLineChars="0"/>
              <w:jc w:val="center"/>
              <w:rPr>
                <w:color w:val="auto"/>
                <w:sz w:val="21"/>
                <w:szCs w:val="21"/>
              </w:rPr>
            </w:pPr>
            <w:r>
              <w:rPr>
                <w:color w:val="auto"/>
                <w:sz w:val="21"/>
                <w:szCs w:val="21"/>
              </w:rPr>
              <w:t>占比</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2C94">
            <w:pPr>
              <w:spacing w:line="360" w:lineRule="exact"/>
              <w:ind w:firstLine="0" w:firstLineChars="0"/>
              <w:jc w:val="center"/>
              <w:rPr>
                <w:color w:val="auto"/>
                <w:sz w:val="21"/>
                <w:szCs w:val="21"/>
              </w:rPr>
            </w:pPr>
            <w:r>
              <w:rPr>
                <w:color w:val="auto"/>
                <w:sz w:val="21"/>
                <w:szCs w:val="21"/>
              </w:rPr>
              <w:t>35.66%</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84F5">
            <w:pPr>
              <w:spacing w:line="360" w:lineRule="exact"/>
              <w:ind w:firstLine="0" w:firstLineChars="0"/>
              <w:jc w:val="center"/>
              <w:rPr>
                <w:color w:val="auto"/>
                <w:sz w:val="21"/>
                <w:szCs w:val="21"/>
              </w:rPr>
            </w:pPr>
            <w:r>
              <w:rPr>
                <w:color w:val="auto"/>
                <w:sz w:val="21"/>
                <w:szCs w:val="21"/>
              </w:rPr>
              <w:t>10.58%</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F60D">
            <w:pPr>
              <w:spacing w:line="360" w:lineRule="exact"/>
              <w:ind w:firstLine="0" w:firstLineChars="0"/>
              <w:jc w:val="center"/>
              <w:rPr>
                <w:color w:val="auto"/>
                <w:sz w:val="21"/>
                <w:szCs w:val="21"/>
              </w:rPr>
            </w:pPr>
            <w:r>
              <w:rPr>
                <w:color w:val="auto"/>
                <w:sz w:val="21"/>
                <w:szCs w:val="21"/>
              </w:rPr>
              <w:t>53.76%</w:t>
            </w:r>
          </w:p>
        </w:tc>
        <w:tc>
          <w:tcPr>
            <w:tcW w:w="1672"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12CA1AF3">
            <w:pPr>
              <w:spacing w:line="360" w:lineRule="exact"/>
              <w:ind w:firstLine="0" w:firstLineChars="0"/>
              <w:jc w:val="center"/>
              <w:rPr>
                <w:color w:val="auto"/>
                <w:sz w:val="21"/>
                <w:szCs w:val="21"/>
              </w:rPr>
            </w:pPr>
            <w:r>
              <w:rPr>
                <w:color w:val="auto"/>
                <w:sz w:val="21"/>
                <w:szCs w:val="21"/>
              </w:rPr>
              <w:t>/</w:t>
            </w:r>
          </w:p>
        </w:tc>
      </w:tr>
      <w:tr w14:paraId="74163075">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573A397">
            <w:pPr>
              <w:spacing w:line="360" w:lineRule="exact"/>
              <w:ind w:firstLine="0" w:firstLineChars="0"/>
              <w:jc w:val="center"/>
              <w:rPr>
                <w:color w:val="auto"/>
                <w:sz w:val="21"/>
                <w:szCs w:val="21"/>
              </w:rPr>
            </w:pPr>
            <w:r>
              <w:rPr>
                <w:color w:val="auto"/>
                <w:sz w:val="21"/>
                <w:szCs w:val="21"/>
              </w:rPr>
              <w:t>耗水率</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28B2">
            <w:pPr>
              <w:spacing w:line="360" w:lineRule="exact"/>
              <w:ind w:firstLine="0" w:firstLineChars="0"/>
              <w:jc w:val="center"/>
              <w:rPr>
                <w:color w:val="auto"/>
                <w:sz w:val="21"/>
                <w:szCs w:val="21"/>
              </w:rPr>
            </w:pPr>
            <w:r>
              <w:rPr>
                <w:color w:val="auto"/>
                <w:sz w:val="21"/>
                <w:szCs w:val="21"/>
              </w:rPr>
              <w:t>23.15%</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3F19">
            <w:pPr>
              <w:spacing w:line="360" w:lineRule="exact"/>
              <w:ind w:firstLine="0" w:firstLineChars="0"/>
              <w:jc w:val="center"/>
              <w:rPr>
                <w:color w:val="auto"/>
                <w:sz w:val="21"/>
                <w:szCs w:val="21"/>
              </w:rPr>
            </w:pPr>
            <w:r>
              <w:rPr>
                <w:color w:val="auto"/>
                <w:sz w:val="21"/>
                <w:szCs w:val="21"/>
              </w:rPr>
              <w:t>31.22%</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96C2">
            <w:pPr>
              <w:spacing w:line="360" w:lineRule="exact"/>
              <w:ind w:firstLine="0" w:firstLineChars="0"/>
              <w:jc w:val="center"/>
              <w:rPr>
                <w:color w:val="auto"/>
                <w:sz w:val="21"/>
                <w:szCs w:val="21"/>
              </w:rPr>
            </w:pPr>
            <w:r>
              <w:rPr>
                <w:color w:val="auto"/>
                <w:sz w:val="21"/>
                <w:szCs w:val="21"/>
              </w:rPr>
              <w:t>100.00%</w:t>
            </w:r>
          </w:p>
        </w:tc>
        <w:tc>
          <w:tcPr>
            <w:tcW w:w="1672"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C287B3E">
            <w:pPr>
              <w:spacing w:line="360" w:lineRule="exact"/>
              <w:ind w:firstLine="0" w:firstLineChars="0"/>
              <w:jc w:val="center"/>
              <w:rPr>
                <w:color w:val="auto"/>
                <w:sz w:val="21"/>
                <w:szCs w:val="21"/>
              </w:rPr>
            </w:pPr>
            <w:r>
              <w:rPr>
                <w:color w:val="auto"/>
                <w:sz w:val="21"/>
                <w:szCs w:val="21"/>
              </w:rPr>
              <w:t>41.38%</w:t>
            </w:r>
          </w:p>
        </w:tc>
      </w:tr>
      <w:tr w14:paraId="73D17FB4">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61BD8FDF">
            <w:pPr>
              <w:spacing w:line="360" w:lineRule="exact"/>
              <w:ind w:firstLine="0" w:firstLineChars="0"/>
              <w:jc w:val="center"/>
              <w:rPr>
                <w:color w:val="auto"/>
                <w:sz w:val="21"/>
                <w:szCs w:val="21"/>
              </w:rPr>
            </w:pPr>
            <w:r>
              <w:rPr>
                <w:color w:val="auto"/>
                <w:sz w:val="21"/>
                <w:szCs w:val="21"/>
              </w:rPr>
              <w:t>九龙工业园区B区</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F9C5">
            <w:pPr>
              <w:spacing w:line="360" w:lineRule="exact"/>
              <w:ind w:firstLine="0" w:firstLineChars="0"/>
              <w:jc w:val="center"/>
              <w:rPr>
                <w:color w:val="auto"/>
                <w:sz w:val="21"/>
                <w:szCs w:val="21"/>
              </w:rPr>
            </w:pPr>
            <w:r>
              <w:rPr>
                <w:color w:val="auto"/>
                <w:sz w:val="21"/>
                <w:szCs w:val="21"/>
              </w:rPr>
              <w:t xml:space="preserve">66.01 </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F45A">
            <w:pPr>
              <w:spacing w:line="360" w:lineRule="exact"/>
              <w:ind w:firstLine="0" w:firstLineChars="0"/>
              <w:jc w:val="center"/>
              <w:rPr>
                <w:color w:val="auto"/>
                <w:sz w:val="21"/>
                <w:szCs w:val="21"/>
              </w:rPr>
            </w:pPr>
            <w:r>
              <w:rPr>
                <w:color w:val="auto"/>
                <w:sz w:val="21"/>
                <w:szCs w:val="21"/>
              </w:rPr>
              <w:t xml:space="preserve">262.69 </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031D">
            <w:pPr>
              <w:spacing w:line="360" w:lineRule="exact"/>
              <w:ind w:firstLine="0" w:firstLineChars="0"/>
              <w:jc w:val="center"/>
              <w:rPr>
                <w:color w:val="auto"/>
                <w:sz w:val="21"/>
                <w:szCs w:val="21"/>
              </w:rPr>
            </w:pPr>
            <w:r>
              <w:rPr>
                <w:color w:val="auto"/>
                <w:sz w:val="21"/>
                <w:szCs w:val="21"/>
              </w:rPr>
              <w:t xml:space="preserve">235.88 </w:t>
            </w:r>
          </w:p>
        </w:tc>
        <w:tc>
          <w:tcPr>
            <w:tcW w:w="1672"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1C8E0B4">
            <w:pPr>
              <w:spacing w:line="360" w:lineRule="exact"/>
              <w:ind w:firstLine="0" w:firstLineChars="0"/>
              <w:jc w:val="center"/>
              <w:rPr>
                <w:color w:val="auto"/>
                <w:sz w:val="21"/>
                <w:szCs w:val="21"/>
              </w:rPr>
            </w:pPr>
            <w:r>
              <w:rPr>
                <w:color w:val="auto"/>
                <w:sz w:val="21"/>
                <w:szCs w:val="21"/>
              </w:rPr>
              <w:t xml:space="preserve">564.58 </w:t>
            </w:r>
          </w:p>
        </w:tc>
      </w:tr>
      <w:tr w14:paraId="1C52DE80">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DAFFCDD">
            <w:pPr>
              <w:spacing w:line="360" w:lineRule="exact"/>
              <w:ind w:firstLine="0" w:firstLineChars="0"/>
              <w:jc w:val="center"/>
              <w:rPr>
                <w:color w:val="auto"/>
                <w:sz w:val="21"/>
                <w:szCs w:val="21"/>
              </w:rPr>
            </w:pPr>
            <w:r>
              <w:rPr>
                <w:color w:val="auto"/>
                <w:sz w:val="21"/>
                <w:szCs w:val="21"/>
              </w:rPr>
              <w:t>占比</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0A0B">
            <w:pPr>
              <w:spacing w:line="360" w:lineRule="exact"/>
              <w:ind w:firstLine="0" w:firstLineChars="0"/>
              <w:jc w:val="center"/>
              <w:rPr>
                <w:color w:val="auto"/>
                <w:sz w:val="21"/>
                <w:szCs w:val="21"/>
              </w:rPr>
            </w:pPr>
            <w:r>
              <w:rPr>
                <w:color w:val="auto"/>
                <w:sz w:val="21"/>
                <w:szCs w:val="21"/>
              </w:rPr>
              <w:t>11.69%</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A74E">
            <w:pPr>
              <w:spacing w:line="360" w:lineRule="exact"/>
              <w:ind w:firstLine="0" w:firstLineChars="0"/>
              <w:jc w:val="center"/>
              <w:rPr>
                <w:color w:val="auto"/>
                <w:sz w:val="21"/>
                <w:szCs w:val="21"/>
              </w:rPr>
            </w:pPr>
            <w:r>
              <w:rPr>
                <w:color w:val="auto"/>
                <w:sz w:val="21"/>
                <w:szCs w:val="21"/>
              </w:rPr>
              <w:t>46.53%</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E366">
            <w:pPr>
              <w:spacing w:line="360" w:lineRule="exact"/>
              <w:ind w:firstLine="0" w:firstLineChars="0"/>
              <w:jc w:val="center"/>
              <w:rPr>
                <w:color w:val="auto"/>
                <w:sz w:val="21"/>
                <w:szCs w:val="21"/>
              </w:rPr>
            </w:pPr>
            <w:r>
              <w:rPr>
                <w:color w:val="auto"/>
                <w:sz w:val="21"/>
                <w:szCs w:val="21"/>
              </w:rPr>
              <w:t>41.78%</w:t>
            </w:r>
          </w:p>
        </w:tc>
        <w:tc>
          <w:tcPr>
            <w:tcW w:w="1672"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6A7684D6">
            <w:pPr>
              <w:spacing w:line="360" w:lineRule="exact"/>
              <w:ind w:firstLine="0" w:firstLineChars="0"/>
              <w:jc w:val="center"/>
              <w:rPr>
                <w:color w:val="auto"/>
                <w:sz w:val="21"/>
                <w:szCs w:val="21"/>
              </w:rPr>
            </w:pPr>
            <w:r>
              <w:rPr>
                <w:color w:val="auto"/>
                <w:sz w:val="21"/>
                <w:szCs w:val="21"/>
              </w:rPr>
              <w:t>/</w:t>
            </w:r>
          </w:p>
        </w:tc>
      </w:tr>
      <w:tr w14:paraId="48D87A99">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13F255ED">
            <w:pPr>
              <w:spacing w:line="360" w:lineRule="exact"/>
              <w:ind w:firstLine="0" w:firstLineChars="0"/>
              <w:jc w:val="center"/>
              <w:rPr>
                <w:color w:val="auto"/>
                <w:sz w:val="21"/>
                <w:szCs w:val="21"/>
              </w:rPr>
            </w:pPr>
            <w:r>
              <w:rPr>
                <w:color w:val="auto"/>
                <w:sz w:val="21"/>
                <w:szCs w:val="21"/>
              </w:rPr>
              <w:t>耗水率</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740F">
            <w:pPr>
              <w:spacing w:line="360" w:lineRule="exact"/>
              <w:ind w:firstLine="0" w:firstLineChars="0"/>
              <w:jc w:val="center"/>
              <w:rPr>
                <w:color w:val="auto"/>
                <w:sz w:val="21"/>
                <w:szCs w:val="21"/>
              </w:rPr>
            </w:pPr>
            <w:r>
              <w:rPr>
                <w:color w:val="auto"/>
                <w:sz w:val="21"/>
                <w:szCs w:val="21"/>
              </w:rPr>
              <w:t>22.71%</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B8DB">
            <w:pPr>
              <w:spacing w:line="360" w:lineRule="exact"/>
              <w:ind w:firstLine="0" w:firstLineChars="0"/>
              <w:jc w:val="center"/>
              <w:rPr>
                <w:color w:val="auto"/>
                <w:sz w:val="21"/>
                <w:szCs w:val="21"/>
              </w:rPr>
            </w:pPr>
            <w:r>
              <w:rPr>
                <w:color w:val="auto"/>
                <w:sz w:val="21"/>
                <w:szCs w:val="21"/>
              </w:rPr>
              <w:t>34.65%</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4BD4">
            <w:pPr>
              <w:spacing w:line="360" w:lineRule="exact"/>
              <w:ind w:firstLine="0" w:firstLineChars="0"/>
              <w:jc w:val="center"/>
              <w:rPr>
                <w:color w:val="auto"/>
                <w:sz w:val="21"/>
                <w:szCs w:val="21"/>
              </w:rPr>
            </w:pPr>
            <w:r>
              <w:rPr>
                <w:color w:val="auto"/>
                <w:sz w:val="21"/>
                <w:szCs w:val="21"/>
              </w:rPr>
              <w:t>100.00%</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68F2A13">
            <w:pPr>
              <w:spacing w:line="360" w:lineRule="exact"/>
              <w:ind w:firstLine="0" w:firstLineChars="0"/>
              <w:jc w:val="center"/>
              <w:rPr>
                <w:color w:val="auto"/>
                <w:sz w:val="21"/>
                <w:szCs w:val="21"/>
              </w:rPr>
            </w:pPr>
            <w:r>
              <w:rPr>
                <w:color w:val="auto"/>
                <w:sz w:val="21"/>
                <w:szCs w:val="21"/>
              </w:rPr>
              <w:t>43.95%</w:t>
            </w:r>
          </w:p>
        </w:tc>
      </w:tr>
      <w:tr w14:paraId="3FD41260">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DDD0915">
            <w:pPr>
              <w:spacing w:line="360" w:lineRule="exact"/>
              <w:ind w:firstLine="0" w:firstLineChars="0"/>
              <w:jc w:val="center"/>
              <w:rPr>
                <w:color w:val="auto"/>
                <w:sz w:val="21"/>
                <w:szCs w:val="21"/>
              </w:rPr>
            </w:pPr>
            <w:r>
              <w:rPr>
                <w:color w:val="auto"/>
                <w:sz w:val="21"/>
                <w:szCs w:val="21"/>
              </w:rPr>
              <w:t>九龙工业园区C区</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7D4B">
            <w:pPr>
              <w:spacing w:line="360" w:lineRule="exact"/>
              <w:ind w:firstLine="0" w:firstLineChars="0"/>
              <w:jc w:val="center"/>
              <w:rPr>
                <w:color w:val="auto"/>
                <w:sz w:val="21"/>
                <w:szCs w:val="21"/>
              </w:rPr>
            </w:pPr>
            <w:r>
              <w:rPr>
                <w:color w:val="auto"/>
                <w:sz w:val="21"/>
                <w:szCs w:val="21"/>
              </w:rPr>
              <w:t xml:space="preserve">66.51 </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6B0B">
            <w:pPr>
              <w:spacing w:line="360" w:lineRule="exact"/>
              <w:ind w:firstLine="0" w:firstLineChars="0"/>
              <w:jc w:val="center"/>
              <w:rPr>
                <w:color w:val="auto"/>
                <w:sz w:val="21"/>
                <w:szCs w:val="21"/>
              </w:rPr>
            </w:pPr>
            <w:r>
              <w:rPr>
                <w:color w:val="auto"/>
                <w:sz w:val="21"/>
                <w:szCs w:val="21"/>
              </w:rPr>
              <w:t xml:space="preserve">183.94 </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E0FA">
            <w:pPr>
              <w:spacing w:line="360" w:lineRule="exact"/>
              <w:ind w:firstLine="0" w:firstLineChars="0"/>
              <w:jc w:val="center"/>
              <w:rPr>
                <w:color w:val="auto"/>
                <w:sz w:val="21"/>
                <w:szCs w:val="21"/>
              </w:rPr>
            </w:pPr>
            <w:r>
              <w:rPr>
                <w:color w:val="auto"/>
                <w:sz w:val="21"/>
                <w:szCs w:val="21"/>
              </w:rPr>
              <w:t xml:space="preserve">25.03 </w:t>
            </w:r>
          </w:p>
        </w:tc>
        <w:tc>
          <w:tcPr>
            <w:tcW w:w="1672"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E46A1DA">
            <w:pPr>
              <w:spacing w:line="360" w:lineRule="exact"/>
              <w:ind w:firstLine="0" w:firstLineChars="0"/>
              <w:jc w:val="center"/>
              <w:rPr>
                <w:color w:val="auto"/>
                <w:sz w:val="21"/>
                <w:szCs w:val="21"/>
              </w:rPr>
            </w:pPr>
            <w:r>
              <w:rPr>
                <w:color w:val="auto"/>
                <w:sz w:val="21"/>
                <w:szCs w:val="21"/>
              </w:rPr>
              <w:t xml:space="preserve">275.48 </w:t>
            </w:r>
          </w:p>
        </w:tc>
      </w:tr>
      <w:tr w14:paraId="2FCEB01A">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03A7F1E">
            <w:pPr>
              <w:spacing w:line="360" w:lineRule="exact"/>
              <w:ind w:firstLine="0" w:firstLineChars="0"/>
              <w:jc w:val="center"/>
              <w:rPr>
                <w:color w:val="auto"/>
                <w:sz w:val="21"/>
                <w:szCs w:val="21"/>
              </w:rPr>
            </w:pPr>
            <w:r>
              <w:rPr>
                <w:color w:val="auto"/>
                <w:sz w:val="21"/>
                <w:szCs w:val="21"/>
              </w:rPr>
              <w:t>占比</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6A00">
            <w:pPr>
              <w:spacing w:line="360" w:lineRule="exact"/>
              <w:ind w:firstLine="0" w:firstLineChars="0"/>
              <w:jc w:val="center"/>
              <w:rPr>
                <w:color w:val="auto"/>
                <w:sz w:val="21"/>
                <w:szCs w:val="21"/>
              </w:rPr>
            </w:pPr>
            <w:r>
              <w:rPr>
                <w:color w:val="auto"/>
                <w:sz w:val="21"/>
                <w:szCs w:val="21"/>
              </w:rPr>
              <w:t>24.14%</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5033">
            <w:pPr>
              <w:spacing w:line="360" w:lineRule="exact"/>
              <w:ind w:firstLine="0" w:firstLineChars="0"/>
              <w:jc w:val="center"/>
              <w:rPr>
                <w:color w:val="auto"/>
                <w:sz w:val="21"/>
                <w:szCs w:val="21"/>
              </w:rPr>
            </w:pPr>
            <w:r>
              <w:rPr>
                <w:color w:val="auto"/>
                <w:sz w:val="21"/>
                <w:szCs w:val="21"/>
              </w:rPr>
              <w:t>66.77%</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F290">
            <w:pPr>
              <w:spacing w:line="360" w:lineRule="exact"/>
              <w:ind w:firstLine="0" w:firstLineChars="0"/>
              <w:jc w:val="center"/>
              <w:rPr>
                <w:color w:val="auto"/>
                <w:sz w:val="21"/>
                <w:szCs w:val="21"/>
              </w:rPr>
            </w:pPr>
            <w:r>
              <w:rPr>
                <w:color w:val="auto"/>
                <w:sz w:val="21"/>
                <w:szCs w:val="21"/>
              </w:rPr>
              <w:t>9.09%</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3647F2A">
            <w:pPr>
              <w:spacing w:line="360" w:lineRule="exact"/>
              <w:ind w:firstLine="0" w:firstLineChars="0"/>
              <w:jc w:val="center"/>
              <w:rPr>
                <w:color w:val="auto"/>
                <w:sz w:val="21"/>
                <w:szCs w:val="21"/>
              </w:rPr>
            </w:pPr>
            <w:r>
              <w:rPr>
                <w:color w:val="auto"/>
                <w:sz w:val="21"/>
                <w:szCs w:val="21"/>
              </w:rPr>
              <w:t>/</w:t>
            </w:r>
          </w:p>
        </w:tc>
      </w:tr>
      <w:tr w14:paraId="4B01E523">
        <w:tblPrEx>
          <w:tblCellMar>
            <w:top w:w="0" w:type="dxa"/>
            <w:left w:w="108" w:type="dxa"/>
            <w:bottom w:w="0" w:type="dxa"/>
            <w:right w:w="108" w:type="dxa"/>
          </w:tblCellMar>
        </w:tblPrEx>
        <w:trPr>
          <w:trHeight w:val="340" w:hRule="atLeast"/>
          <w:jc w:val="center"/>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27DD80B">
            <w:pPr>
              <w:spacing w:line="360" w:lineRule="exact"/>
              <w:ind w:firstLine="0" w:firstLineChars="0"/>
              <w:jc w:val="center"/>
              <w:rPr>
                <w:color w:val="auto"/>
                <w:sz w:val="21"/>
                <w:szCs w:val="21"/>
              </w:rPr>
            </w:pPr>
            <w:r>
              <w:rPr>
                <w:color w:val="auto"/>
                <w:sz w:val="21"/>
                <w:szCs w:val="21"/>
              </w:rPr>
              <w:t>耗水率</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1171">
            <w:pPr>
              <w:spacing w:line="360" w:lineRule="exact"/>
              <w:ind w:firstLine="0" w:firstLineChars="0"/>
              <w:jc w:val="center"/>
              <w:rPr>
                <w:color w:val="auto"/>
                <w:sz w:val="21"/>
                <w:szCs w:val="21"/>
              </w:rPr>
            </w:pPr>
            <w:r>
              <w:rPr>
                <w:color w:val="auto"/>
                <w:sz w:val="21"/>
                <w:szCs w:val="21"/>
              </w:rPr>
              <w:t>23.98%</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ADD3">
            <w:pPr>
              <w:spacing w:line="360" w:lineRule="exact"/>
              <w:ind w:firstLine="0" w:firstLineChars="0"/>
              <w:jc w:val="center"/>
              <w:rPr>
                <w:color w:val="auto"/>
                <w:sz w:val="21"/>
                <w:szCs w:val="21"/>
              </w:rPr>
            </w:pPr>
            <w:r>
              <w:rPr>
                <w:color w:val="auto"/>
                <w:sz w:val="21"/>
                <w:szCs w:val="21"/>
              </w:rPr>
              <w:t>35.28%</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5E2A">
            <w:pPr>
              <w:spacing w:line="360" w:lineRule="exact"/>
              <w:ind w:firstLine="0" w:firstLineChars="0"/>
              <w:jc w:val="center"/>
              <w:rPr>
                <w:color w:val="auto"/>
                <w:sz w:val="21"/>
                <w:szCs w:val="21"/>
              </w:rPr>
            </w:pPr>
            <w:r>
              <w:rPr>
                <w:color w:val="auto"/>
                <w:sz w:val="21"/>
                <w:szCs w:val="21"/>
              </w:rPr>
              <w:t>100.00%</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66BD003">
            <w:pPr>
              <w:spacing w:line="360" w:lineRule="exact"/>
              <w:ind w:firstLine="0" w:firstLineChars="0"/>
              <w:jc w:val="center"/>
              <w:rPr>
                <w:color w:val="auto"/>
                <w:sz w:val="21"/>
                <w:szCs w:val="21"/>
              </w:rPr>
            </w:pPr>
            <w:r>
              <w:rPr>
                <w:color w:val="auto"/>
                <w:sz w:val="21"/>
                <w:szCs w:val="21"/>
              </w:rPr>
              <w:t>33.44%</w:t>
            </w:r>
          </w:p>
        </w:tc>
      </w:tr>
      <w:tr w14:paraId="5AFF21DD">
        <w:tblPrEx>
          <w:tblCellMar>
            <w:top w:w="0" w:type="dxa"/>
            <w:left w:w="108" w:type="dxa"/>
            <w:bottom w:w="0" w:type="dxa"/>
            <w:right w:w="108" w:type="dxa"/>
          </w:tblCellMar>
        </w:tblPrEx>
        <w:trPr>
          <w:trHeight w:val="340" w:hRule="atLeast"/>
          <w:jc w:val="center"/>
        </w:trPr>
        <w:tc>
          <w:tcPr>
            <w:tcW w:w="1927" w:type="dxa"/>
            <w:tcBorders>
              <w:top w:val="single" w:color="000000" w:sz="4" w:space="0"/>
              <w:left w:val="single" w:color="000000" w:sz="12" w:space="0"/>
              <w:bottom w:val="single" w:color="000000" w:sz="12" w:space="0"/>
              <w:right w:val="single" w:color="000000" w:sz="4" w:space="0"/>
            </w:tcBorders>
            <w:shd w:val="clear" w:color="auto" w:fill="auto"/>
            <w:vAlign w:val="center"/>
          </w:tcPr>
          <w:p w14:paraId="3D9D6CA6">
            <w:pPr>
              <w:spacing w:line="360" w:lineRule="exact"/>
              <w:ind w:firstLine="0" w:firstLineChars="0"/>
              <w:jc w:val="center"/>
              <w:rPr>
                <w:color w:val="auto"/>
                <w:sz w:val="21"/>
                <w:szCs w:val="21"/>
              </w:rPr>
            </w:pPr>
            <w:r>
              <w:rPr>
                <w:color w:val="auto"/>
                <w:sz w:val="21"/>
                <w:szCs w:val="21"/>
              </w:rPr>
              <w:t>合计</w:t>
            </w:r>
          </w:p>
        </w:tc>
        <w:tc>
          <w:tcPr>
            <w:tcW w:w="2485"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4B01935">
            <w:pPr>
              <w:spacing w:line="360" w:lineRule="exact"/>
              <w:ind w:firstLine="0" w:firstLineChars="0"/>
              <w:jc w:val="center"/>
              <w:rPr>
                <w:color w:val="auto"/>
                <w:sz w:val="21"/>
                <w:szCs w:val="21"/>
              </w:rPr>
            </w:pPr>
            <w:r>
              <w:rPr>
                <w:color w:val="auto"/>
                <w:sz w:val="21"/>
                <w:szCs w:val="21"/>
              </w:rPr>
              <w:t xml:space="preserve">213.03 </w:t>
            </w:r>
          </w:p>
        </w:tc>
        <w:tc>
          <w:tcPr>
            <w:tcW w:w="1508"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2B7D3C4">
            <w:pPr>
              <w:spacing w:line="360" w:lineRule="exact"/>
              <w:ind w:firstLine="0" w:firstLineChars="0"/>
              <w:jc w:val="center"/>
              <w:rPr>
                <w:color w:val="auto"/>
                <w:sz w:val="21"/>
                <w:szCs w:val="21"/>
              </w:rPr>
            </w:pPr>
            <w:r>
              <w:rPr>
                <w:color w:val="auto"/>
                <w:sz w:val="21"/>
                <w:szCs w:val="21"/>
              </w:rPr>
              <w:t xml:space="preserve">470.50 </w:t>
            </w:r>
          </w:p>
        </w:tc>
        <w:tc>
          <w:tcPr>
            <w:tcW w:w="1521"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43678F1F">
            <w:pPr>
              <w:spacing w:line="360" w:lineRule="exact"/>
              <w:ind w:firstLine="0" w:firstLineChars="0"/>
              <w:jc w:val="center"/>
              <w:rPr>
                <w:color w:val="auto"/>
                <w:sz w:val="21"/>
                <w:szCs w:val="21"/>
              </w:rPr>
            </w:pPr>
            <w:r>
              <w:rPr>
                <w:color w:val="auto"/>
                <w:sz w:val="21"/>
                <w:szCs w:val="21"/>
              </w:rPr>
              <w:t xml:space="preserve">382.28 </w:t>
            </w:r>
          </w:p>
        </w:tc>
        <w:tc>
          <w:tcPr>
            <w:tcW w:w="1672"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10B7B510">
            <w:pPr>
              <w:spacing w:line="360" w:lineRule="exact"/>
              <w:ind w:firstLine="0" w:firstLineChars="0"/>
              <w:jc w:val="center"/>
              <w:rPr>
                <w:color w:val="auto"/>
                <w:sz w:val="21"/>
                <w:szCs w:val="21"/>
              </w:rPr>
            </w:pPr>
            <w:r>
              <w:rPr>
                <w:color w:val="auto"/>
                <w:sz w:val="21"/>
                <w:szCs w:val="21"/>
              </w:rPr>
              <w:t xml:space="preserve">1065.81 </w:t>
            </w:r>
          </w:p>
        </w:tc>
      </w:tr>
    </w:tbl>
    <w:p w14:paraId="2AD336D2">
      <w:pPr>
        <w:pStyle w:val="58"/>
        <w:ind w:firstLine="480"/>
        <w:jc w:val="both"/>
        <w:rPr>
          <w:rFonts w:ascii="Times New Roman" w:hAnsi="Times New Roman" w:eastAsia="宋体"/>
          <w:color w:val="auto"/>
          <w:szCs w:val="24"/>
        </w:rPr>
      </w:pPr>
      <w:r>
        <w:rPr>
          <w:rFonts w:ascii="Times New Roman" w:hAnsi="Times New Roman" w:eastAsia="宋体"/>
          <w:color w:val="auto"/>
          <w:szCs w:val="24"/>
        </w:rPr>
        <w:t>（4）退水量</w:t>
      </w:r>
    </w:p>
    <w:p w14:paraId="50587521">
      <w:pPr>
        <w:ind w:firstLine="480"/>
        <w:rPr>
          <w:color w:val="auto"/>
        </w:rPr>
      </w:pPr>
      <w:r>
        <w:rPr>
          <w:color w:val="auto"/>
        </w:rPr>
        <w:t>2020年园区总的退水量为1588.21万m</w:t>
      </w:r>
      <w:r>
        <w:rPr>
          <w:color w:val="auto"/>
          <w:vertAlign w:val="superscript"/>
        </w:rPr>
        <w:t>3</w:t>
      </w:r>
      <w:r>
        <w:rPr>
          <w:color w:val="auto"/>
        </w:rPr>
        <w:t>，其中居民生活退水量702.75万m</w:t>
      </w:r>
      <w:r>
        <w:rPr>
          <w:color w:val="auto"/>
          <w:vertAlign w:val="superscript"/>
        </w:rPr>
        <w:t>3</w:t>
      </w:r>
      <w:r>
        <w:rPr>
          <w:color w:val="auto"/>
        </w:rPr>
        <w:t>，工业退水量885.16万m</w:t>
      </w:r>
      <w:r>
        <w:rPr>
          <w:color w:val="auto"/>
          <w:vertAlign w:val="superscript"/>
        </w:rPr>
        <w:t>3</w:t>
      </w:r>
      <w:r>
        <w:rPr>
          <w:color w:val="auto"/>
        </w:rPr>
        <w:t>，生态环境退水量0万m</w:t>
      </w:r>
      <w:r>
        <w:rPr>
          <w:color w:val="auto"/>
          <w:vertAlign w:val="superscript"/>
        </w:rPr>
        <w:t>3</w:t>
      </w:r>
      <w:r>
        <w:rPr>
          <w:color w:val="auto"/>
        </w:rPr>
        <w:t>。</w:t>
      </w:r>
    </w:p>
    <w:p w14:paraId="28C1341B">
      <w:pPr>
        <w:ind w:firstLine="480"/>
        <w:rPr>
          <w:color w:val="auto"/>
        </w:rPr>
      </w:pPr>
      <w:r>
        <w:rPr>
          <w:color w:val="auto"/>
        </w:rPr>
        <w:t>2020年九龙工业园区A废污水排放总量共计319.84万m³，其中城镇居民生活污水排放量为267.24万m³，工业排放量为52.60万m³，分别占废污水排放总量的83.6%、16.44%。</w:t>
      </w:r>
    </w:p>
    <w:p w14:paraId="7DEA8D1F">
      <w:pPr>
        <w:ind w:firstLine="480"/>
        <w:rPr>
          <w:color w:val="auto"/>
        </w:rPr>
      </w:pPr>
      <w:r>
        <w:rPr>
          <w:color w:val="auto"/>
        </w:rPr>
        <w:t>2020年九龙工业园区B废污水排放总量共计720.08万m³，其中城镇居民生活污水排放量为224.65万m³，工业排放量为495.43万m³，分别占废污水排放总量的31.20%、68.80%。</w:t>
      </w:r>
    </w:p>
    <w:p w14:paraId="1A826D14">
      <w:pPr>
        <w:ind w:firstLine="480"/>
        <w:rPr>
          <w:color w:val="auto"/>
        </w:rPr>
      </w:pPr>
      <w:r>
        <w:rPr>
          <w:color w:val="auto"/>
        </w:rPr>
        <w:t>2020年九龙工业园区C废污水排放总量共计548.28万m³，其中城镇居民生活污水排放量为210.86万m³，工业排放量为337.43万m³，分别占废污水排放总量的38.46%、61.54%。</w:t>
      </w:r>
    </w:p>
    <w:p w14:paraId="19A44E89">
      <w:pPr>
        <w:pStyle w:val="43"/>
        <w:rPr>
          <w:color w:val="auto"/>
        </w:rPr>
      </w:pPr>
      <w:r>
        <w:rPr>
          <w:color w:val="auto"/>
        </w:rPr>
        <w:t>表4.2-4               2020年九龙工业园区退水量统计表           单位：万m³</w:t>
      </w:r>
    </w:p>
    <w:tbl>
      <w:tblPr>
        <w:tblStyle w:val="21"/>
        <w:tblW w:w="4998" w:type="pct"/>
        <w:tblInd w:w="0" w:type="dxa"/>
        <w:tblLayout w:type="autofit"/>
        <w:tblCellMar>
          <w:top w:w="0" w:type="dxa"/>
          <w:left w:w="108" w:type="dxa"/>
          <w:bottom w:w="0" w:type="dxa"/>
          <w:right w:w="108" w:type="dxa"/>
        </w:tblCellMar>
      </w:tblPr>
      <w:tblGrid>
        <w:gridCol w:w="1927"/>
        <w:gridCol w:w="2485"/>
        <w:gridCol w:w="1508"/>
        <w:gridCol w:w="1521"/>
        <w:gridCol w:w="1672"/>
      </w:tblGrid>
      <w:tr w14:paraId="29CDC1E6">
        <w:tblPrEx>
          <w:tblCellMar>
            <w:top w:w="0" w:type="dxa"/>
            <w:left w:w="108" w:type="dxa"/>
            <w:bottom w:w="0" w:type="dxa"/>
            <w:right w:w="108" w:type="dxa"/>
          </w:tblCellMar>
        </w:tblPrEx>
        <w:trPr>
          <w:trHeight w:val="360" w:hRule="atLeast"/>
        </w:trPr>
        <w:tc>
          <w:tcPr>
            <w:tcW w:w="1057" w:type="pct"/>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14:paraId="429AF73F">
            <w:pPr>
              <w:spacing w:line="360" w:lineRule="exact"/>
              <w:ind w:firstLine="0" w:firstLineChars="0"/>
              <w:jc w:val="center"/>
              <w:rPr>
                <w:color w:val="auto"/>
                <w:sz w:val="21"/>
                <w:szCs w:val="21"/>
              </w:rPr>
            </w:pPr>
            <w:r>
              <w:rPr>
                <w:color w:val="auto"/>
                <w:sz w:val="21"/>
                <w:szCs w:val="21"/>
              </w:rPr>
              <w:t>范围</w:t>
            </w:r>
          </w:p>
        </w:tc>
        <w:tc>
          <w:tcPr>
            <w:tcW w:w="1363"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2A8DD0DC">
            <w:pPr>
              <w:spacing w:line="360" w:lineRule="exact"/>
              <w:ind w:firstLine="0" w:firstLineChars="0"/>
              <w:jc w:val="center"/>
              <w:rPr>
                <w:color w:val="auto"/>
                <w:sz w:val="21"/>
                <w:szCs w:val="21"/>
              </w:rPr>
            </w:pPr>
            <w:r>
              <w:rPr>
                <w:color w:val="auto"/>
                <w:sz w:val="21"/>
                <w:szCs w:val="21"/>
              </w:rPr>
              <w:t>居民生活排水量</w:t>
            </w:r>
          </w:p>
        </w:tc>
        <w:tc>
          <w:tcPr>
            <w:tcW w:w="827"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60DA8C46">
            <w:pPr>
              <w:spacing w:line="360" w:lineRule="exact"/>
              <w:ind w:firstLine="0" w:firstLineChars="0"/>
              <w:jc w:val="center"/>
              <w:rPr>
                <w:color w:val="auto"/>
                <w:sz w:val="21"/>
                <w:szCs w:val="21"/>
              </w:rPr>
            </w:pPr>
            <w:r>
              <w:rPr>
                <w:color w:val="auto"/>
                <w:sz w:val="21"/>
                <w:szCs w:val="21"/>
              </w:rPr>
              <w:t>工业排水量</w:t>
            </w:r>
          </w:p>
        </w:tc>
        <w:tc>
          <w:tcPr>
            <w:tcW w:w="834"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295D1101">
            <w:pPr>
              <w:spacing w:line="360" w:lineRule="exact"/>
              <w:ind w:firstLine="0" w:firstLineChars="0"/>
              <w:jc w:val="center"/>
              <w:rPr>
                <w:color w:val="auto"/>
                <w:sz w:val="21"/>
                <w:szCs w:val="21"/>
              </w:rPr>
            </w:pPr>
            <w:r>
              <w:rPr>
                <w:color w:val="auto"/>
                <w:sz w:val="21"/>
                <w:szCs w:val="21"/>
              </w:rPr>
              <w:t>生态环境排水量</w:t>
            </w:r>
          </w:p>
        </w:tc>
        <w:tc>
          <w:tcPr>
            <w:tcW w:w="917" w:type="pct"/>
            <w:vMerge w:val="restart"/>
            <w:tcBorders>
              <w:top w:val="single" w:color="000000" w:sz="12" w:space="0"/>
              <w:left w:val="single" w:color="000000" w:sz="4" w:space="0"/>
              <w:bottom w:val="single" w:color="000000" w:sz="4" w:space="0"/>
              <w:right w:val="single" w:color="000000" w:sz="12" w:space="0"/>
            </w:tcBorders>
            <w:shd w:val="clear" w:color="auto" w:fill="auto"/>
            <w:vAlign w:val="center"/>
          </w:tcPr>
          <w:p w14:paraId="32C17289">
            <w:pPr>
              <w:spacing w:line="360" w:lineRule="exact"/>
              <w:ind w:firstLine="0" w:firstLineChars="0"/>
              <w:jc w:val="center"/>
              <w:rPr>
                <w:color w:val="auto"/>
                <w:sz w:val="21"/>
                <w:szCs w:val="21"/>
              </w:rPr>
            </w:pPr>
            <w:r>
              <w:rPr>
                <w:color w:val="auto"/>
                <w:sz w:val="21"/>
                <w:szCs w:val="21"/>
              </w:rPr>
              <w:t>总排水量</w:t>
            </w:r>
          </w:p>
        </w:tc>
      </w:tr>
      <w:tr w14:paraId="4F1B14A6">
        <w:tblPrEx>
          <w:tblCellMar>
            <w:top w:w="0" w:type="dxa"/>
            <w:left w:w="108" w:type="dxa"/>
            <w:bottom w:w="0" w:type="dxa"/>
            <w:right w:w="108" w:type="dxa"/>
          </w:tblCellMar>
        </w:tblPrEx>
        <w:trPr>
          <w:trHeight w:val="360" w:hRule="atLeast"/>
        </w:trPr>
        <w:tc>
          <w:tcPr>
            <w:tcW w:w="1057"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04004162">
            <w:pPr>
              <w:spacing w:line="360" w:lineRule="exact"/>
              <w:ind w:firstLine="0" w:firstLineChars="0"/>
              <w:jc w:val="center"/>
              <w:rPr>
                <w:color w:val="auto"/>
                <w:sz w:val="21"/>
                <w:szCs w:val="21"/>
              </w:rPr>
            </w:pPr>
          </w:p>
        </w:tc>
        <w:tc>
          <w:tcPr>
            <w:tcW w:w="1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A5441">
            <w:pPr>
              <w:spacing w:line="360" w:lineRule="exact"/>
              <w:ind w:firstLine="0" w:firstLineChars="0"/>
              <w:jc w:val="center"/>
              <w:rPr>
                <w:color w:val="auto"/>
                <w:sz w:val="21"/>
                <w:szCs w:val="21"/>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61F25">
            <w:pPr>
              <w:spacing w:line="360" w:lineRule="exact"/>
              <w:ind w:firstLine="0" w:firstLineChars="0"/>
              <w:jc w:val="center"/>
              <w:rPr>
                <w:color w:val="auto"/>
                <w:sz w:val="21"/>
                <w:szCs w:val="21"/>
              </w:rPr>
            </w:pPr>
          </w:p>
        </w:tc>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1A3BF">
            <w:pPr>
              <w:spacing w:line="360" w:lineRule="exact"/>
              <w:ind w:firstLine="0" w:firstLineChars="0"/>
              <w:jc w:val="center"/>
              <w:rPr>
                <w:color w:val="auto"/>
                <w:sz w:val="21"/>
                <w:szCs w:val="21"/>
              </w:rPr>
            </w:pPr>
          </w:p>
        </w:tc>
        <w:tc>
          <w:tcPr>
            <w:tcW w:w="917" w:type="pct"/>
            <w:vMerge w:val="continue"/>
            <w:tcBorders>
              <w:top w:val="single" w:color="000000" w:sz="4" w:space="0"/>
              <w:left w:val="single" w:color="000000" w:sz="4" w:space="0"/>
              <w:bottom w:val="single" w:color="000000" w:sz="4" w:space="0"/>
              <w:right w:val="single" w:color="000000" w:sz="12" w:space="0"/>
            </w:tcBorders>
            <w:shd w:val="clear" w:color="auto" w:fill="auto"/>
            <w:vAlign w:val="center"/>
          </w:tcPr>
          <w:p w14:paraId="48FC239C">
            <w:pPr>
              <w:spacing w:line="360" w:lineRule="exact"/>
              <w:ind w:firstLine="0" w:firstLineChars="0"/>
              <w:jc w:val="center"/>
              <w:rPr>
                <w:color w:val="auto"/>
                <w:sz w:val="21"/>
                <w:szCs w:val="21"/>
              </w:rPr>
            </w:pPr>
          </w:p>
        </w:tc>
      </w:tr>
      <w:tr w14:paraId="26A1E730">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FE4C33F">
            <w:pPr>
              <w:spacing w:line="360" w:lineRule="exact"/>
              <w:ind w:firstLine="0" w:firstLineChars="0"/>
              <w:jc w:val="center"/>
              <w:rPr>
                <w:color w:val="auto"/>
                <w:sz w:val="21"/>
                <w:szCs w:val="21"/>
              </w:rPr>
            </w:pPr>
            <w:r>
              <w:rPr>
                <w:color w:val="auto"/>
                <w:sz w:val="21"/>
                <w:szCs w:val="21"/>
              </w:rPr>
              <w:t>九龙工业园区A区</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E379">
            <w:pPr>
              <w:spacing w:line="360" w:lineRule="exact"/>
              <w:ind w:firstLine="0" w:firstLineChars="0"/>
              <w:jc w:val="center"/>
              <w:rPr>
                <w:color w:val="auto"/>
                <w:sz w:val="21"/>
                <w:szCs w:val="21"/>
              </w:rPr>
            </w:pPr>
            <w:r>
              <w:rPr>
                <w:color w:val="auto"/>
                <w:sz w:val="21"/>
                <w:szCs w:val="21"/>
              </w:rPr>
              <w:t xml:space="preserve">267.24 </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C820">
            <w:pPr>
              <w:spacing w:line="360" w:lineRule="exact"/>
              <w:ind w:firstLine="0" w:firstLineChars="0"/>
              <w:jc w:val="center"/>
              <w:rPr>
                <w:color w:val="auto"/>
                <w:sz w:val="21"/>
                <w:szCs w:val="21"/>
              </w:rPr>
            </w:pPr>
            <w:r>
              <w:rPr>
                <w:color w:val="auto"/>
                <w:sz w:val="21"/>
                <w:szCs w:val="21"/>
              </w:rPr>
              <w:t xml:space="preserve">52.60 </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3686">
            <w:pPr>
              <w:spacing w:line="360" w:lineRule="exact"/>
              <w:ind w:firstLine="0" w:firstLineChars="0"/>
              <w:jc w:val="center"/>
              <w:rPr>
                <w:color w:val="auto"/>
                <w:sz w:val="21"/>
                <w:szCs w:val="21"/>
              </w:rPr>
            </w:pPr>
            <w:r>
              <w:rPr>
                <w:color w:val="auto"/>
                <w:sz w:val="21"/>
                <w:szCs w:val="21"/>
              </w:rPr>
              <w:t xml:space="preserve">0.00 </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63296F">
            <w:pPr>
              <w:spacing w:line="360" w:lineRule="exact"/>
              <w:ind w:firstLine="0" w:firstLineChars="0"/>
              <w:jc w:val="center"/>
              <w:rPr>
                <w:color w:val="auto"/>
                <w:sz w:val="21"/>
                <w:szCs w:val="21"/>
              </w:rPr>
            </w:pPr>
            <w:r>
              <w:rPr>
                <w:color w:val="auto"/>
                <w:sz w:val="21"/>
                <w:szCs w:val="21"/>
              </w:rPr>
              <w:t xml:space="preserve">319.84 </w:t>
            </w:r>
          </w:p>
        </w:tc>
      </w:tr>
      <w:tr w14:paraId="10E48E28">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1F7F818C">
            <w:pPr>
              <w:spacing w:line="360" w:lineRule="exact"/>
              <w:ind w:firstLine="0" w:firstLineChars="0"/>
              <w:jc w:val="center"/>
              <w:rPr>
                <w:color w:val="auto"/>
                <w:sz w:val="21"/>
                <w:szCs w:val="21"/>
              </w:rPr>
            </w:pPr>
            <w:r>
              <w:rPr>
                <w:color w:val="auto"/>
                <w:sz w:val="21"/>
                <w:szCs w:val="21"/>
              </w:rPr>
              <w:t>占比</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7B20">
            <w:pPr>
              <w:spacing w:line="360" w:lineRule="exact"/>
              <w:ind w:firstLine="0" w:firstLineChars="0"/>
              <w:jc w:val="center"/>
              <w:rPr>
                <w:color w:val="auto"/>
                <w:sz w:val="21"/>
                <w:szCs w:val="21"/>
              </w:rPr>
            </w:pPr>
            <w:r>
              <w:rPr>
                <w:color w:val="auto"/>
                <w:sz w:val="21"/>
                <w:szCs w:val="21"/>
              </w:rPr>
              <w:t>83.56%</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334E">
            <w:pPr>
              <w:spacing w:line="360" w:lineRule="exact"/>
              <w:ind w:firstLine="0" w:firstLineChars="0"/>
              <w:jc w:val="center"/>
              <w:rPr>
                <w:color w:val="auto"/>
                <w:sz w:val="21"/>
                <w:szCs w:val="21"/>
              </w:rPr>
            </w:pPr>
            <w:r>
              <w:rPr>
                <w:color w:val="auto"/>
                <w:sz w:val="21"/>
                <w:szCs w:val="21"/>
              </w:rPr>
              <w:t>16.44%</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8195">
            <w:pPr>
              <w:spacing w:line="360" w:lineRule="exact"/>
              <w:ind w:firstLine="0" w:firstLineChars="0"/>
              <w:jc w:val="center"/>
              <w:rPr>
                <w:color w:val="auto"/>
                <w:sz w:val="21"/>
                <w:szCs w:val="21"/>
              </w:rPr>
            </w:pPr>
            <w:r>
              <w:rPr>
                <w:color w:val="auto"/>
                <w:sz w:val="21"/>
                <w:szCs w:val="21"/>
              </w:rPr>
              <w:t>0.00%</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AABAD5B">
            <w:pPr>
              <w:spacing w:line="360" w:lineRule="exact"/>
              <w:ind w:firstLine="0" w:firstLineChars="0"/>
              <w:jc w:val="center"/>
              <w:rPr>
                <w:color w:val="auto"/>
                <w:sz w:val="21"/>
                <w:szCs w:val="21"/>
              </w:rPr>
            </w:pPr>
            <w:r>
              <w:rPr>
                <w:color w:val="auto"/>
                <w:sz w:val="21"/>
                <w:szCs w:val="21"/>
              </w:rPr>
              <w:t>100.00%</w:t>
            </w:r>
          </w:p>
        </w:tc>
      </w:tr>
      <w:tr w14:paraId="6FB61D55">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C2A3123">
            <w:pPr>
              <w:spacing w:line="360" w:lineRule="exact"/>
              <w:ind w:firstLine="0" w:firstLineChars="0"/>
              <w:jc w:val="center"/>
              <w:rPr>
                <w:color w:val="auto"/>
                <w:sz w:val="21"/>
                <w:szCs w:val="21"/>
              </w:rPr>
            </w:pPr>
            <w:r>
              <w:rPr>
                <w:color w:val="auto"/>
                <w:sz w:val="21"/>
                <w:szCs w:val="21"/>
              </w:rPr>
              <w:t>九龙工业园区B区</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CE99">
            <w:pPr>
              <w:spacing w:line="360" w:lineRule="exact"/>
              <w:ind w:firstLine="0" w:firstLineChars="0"/>
              <w:jc w:val="center"/>
              <w:rPr>
                <w:color w:val="auto"/>
                <w:sz w:val="21"/>
                <w:szCs w:val="21"/>
              </w:rPr>
            </w:pPr>
            <w:r>
              <w:rPr>
                <w:color w:val="auto"/>
                <w:sz w:val="21"/>
                <w:szCs w:val="21"/>
              </w:rPr>
              <w:t xml:space="preserve">224.65 </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D064">
            <w:pPr>
              <w:spacing w:line="360" w:lineRule="exact"/>
              <w:ind w:firstLine="0" w:firstLineChars="0"/>
              <w:jc w:val="center"/>
              <w:rPr>
                <w:color w:val="auto"/>
                <w:sz w:val="21"/>
                <w:szCs w:val="21"/>
              </w:rPr>
            </w:pPr>
            <w:r>
              <w:rPr>
                <w:color w:val="auto"/>
                <w:sz w:val="21"/>
                <w:szCs w:val="21"/>
              </w:rPr>
              <w:t xml:space="preserve">495.43 </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7DC0">
            <w:pPr>
              <w:spacing w:line="360" w:lineRule="exact"/>
              <w:ind w:firstLine="0" w:firstLineChars="0"/>
              <w:jc w:val="center"/>
              <w:rPr>
                <w:color w:val="auto"/>
                <w:sz w:val="21"/>
                <w:szCs w:val="21"/>
              </w:rPr>
            </w:pPr>
            <w:r>
              <w:rPr>
                <w:color w:val="auto"/>
                <w:sz w:val="21"/>
                <w:szCs w:val="21"/>
              </w:rPr>
              <w:t xml:space="preserve">0.00 </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9E7E14C">
            <w:pPr>
              <w:spacing w:line="360" w:lineRule="exact"/>
              <w:ind w:firstLine="0" w:firstLineChars="0"/>
              <w:jc w:val="center"/>
              <w:rPr>
                <w:color w:val="auto"/>
                <w:sz w:val="21"/>
                <w:szCs w:val="21"/>
              </w:rPr>
            </w:pPr>
            <w:r>
              <w:rPr>
                <w:color w:val="auto"/>
                <w:sz w:val="21"/>
                <w:szCs w:val="21"/>
              </w:rPr>
              <w:t xml:space="preserve">720.08 </w:t>
            </w:r>
          </w:p>
        </w:tc>
      </w:tr>
      <w:tr w14:paraId="58D34961">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D2DB4DE">
            <w:pPr>
              <w:spacing w:line="360" w:lineRule="exact"/>
              <w:ind w:firstLine="0" w:firstLineChars="0"/>
              <w:jc w:val="center"/>
              <w:rPr>
                <w:color w:val="auto"/>
                <w:sz w:val="21"/>
                <w:szCs w:val="21"/>
              </w:rPr>
            </w:pPr>
            <w:r>
              <w:rPr>
                <w:color w:val="auto"/>
                <w:sz w:val="21"/>
                <w:szCs w:val="21"/>
              </w:rPr>
              <w:t>占比</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CA11">
            <w:pPr>
              <w:spacing w:line="360" w:lineRule="exact"/>
              <w:ind w:firstLine="0" w:firstLineChars="0"/>
              <w:jc w:val="center"/>
              <w:rPr>
                <w:color w:val="auto"/>
                <w:sz w:val="21"/>
                <w:szCs w:val="21"/>
              </w:rPr>
            </w:pPr>
            <w:r>
              <w:rPr>
                <w:color w:val="auto"/>
                <w:sz w:val="21"/>
                <w:szCs w:val="21"/>
              </w:rPr>
              <w:t>31.20%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7CAC">
            <w:pPr>
              <w:spacing w:line="360" w:lineRule="exact"/>
              <w:ind w:firstLine="0" w:firstLineChars="0"/>
              <w:jc w:val="center"/>
              <w:rPr>
                <w:color w:val="auto"/>
                <w:sz w:val="21"/>
                <w:szCs w:val="21"/>
              </w:rPr>
            </w:pPr>
            <w:r>
              <w:rPr>
                <w:color w:val="auto"/>
                <w:sz w:val="21"/>
                <w:szCs w:val="21"/>
              </w:rPr>
              <w:t>68.80%</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465A">
            <w:pPr>
              <w:spacing w:line="360" w:lineRule="exact"/>
              <w:ind w:firstLine="0" w:firstLineChars="0"/>
              <w:jc w:val="center"/>
              <w:rPr>
                <w:color w:val="auto"/>
                <w:sz w:val="21"/>
                <w:szCs w:val="21"/>
              </w:rPr>
            </w:pPr>
            <w:r>
              <w:rPr>
                <w:color w:val="auto"/>
                <w:sz w:val="21"/>
                <w:szCs w:val="21"/>
              </w:rPr>
              <w:t>0.00%</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CF1E0F4">
            <w:pPr>
              <w:spacing w:line="360" w:lineRule="exact"/>
              <w:ind w:firstLine="0" w:firstLineChars="0"/>
              <w:jc w:val="center"/>
              <w:rPr>
                <w:color w:val="auto"/>
                <w:sz w:val="21"/>
                <w:szCs w:val="21"/>
              </w:rPr>
            </w:pPr>
            <w:r>
              <w:rPr>
                <w:color w:val="auto"/>
                <w:sz w:val="21"/>
                <w:szCs w:val="21"/>
              </w:rPr>
              <w:t>100.00%</w:t>
            </w:r>
          </w:p>
        </w:tc>
      </w:tr>
      <w:tr w14:paraId="56A8AA13">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1E9D8359">
            <w:pPr>
              <w:spacing w:line="360" w:lineRule="exact"/>
              <w:ind w:firstLine="0" w:firstLineChars="0"/>
              <w:jc w:val="center"/>
              <w:rPr>
                <w:color w:val="auto"/>
                <w:sz w:val="21"/>
                <w:szCs w:val="21"/>
              </w:rPr>
            </w:pPr>
            <w:r>
              <w:rPr>
                <w:color w:val="auto"/>
                <w:sz w:val="21"/>
                <w:szCs w:val="21"/>
              </w:rPr>
              <w:t>九龙工业园区C区</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4D06">
            <w:pPr>
              <w:spacing w:line="360" w:lineRule="exact"/>
              <w:ind w:firstLine="0" w:firstLineChars="0"/>
              <w:jc w:val="center"/>
              <w:rPr>
                <w:color w:val="auto"/>
                <w:sz w:val="21"/>
                <w:szCs w:val="21"/>
              </w:rPr>
            </w:pPr>
            <w:r>
              <w:rPr>
                <w:color w:val="auto"/>
                <w:sz w:val="21"/>
                <w:szCs w:val="21"/>
              </w:rPr>
              <w:t xml:space="preserve">210.86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03D2">
            <w:pPr>
              <w:spacing w:line="360" w:lineRule="exact"/>
              <w:ind w:firstLine="0" w:firstLineChars="0"/>
              <w:jc w:val="center"/>
              <w:rPr>
                <w:color w:val="auto"/>
                <w:sz w:val="21"/>
                <w:szCs w:val="21"/>
              </w:rPr>
            </w:pPr>
            <w:r>
              <w:rPr>
                <w:color w:val="auto"/>
                <w:sz w:val="21"/>
                <w:szCs w:val="21"/>
              </w:rPr>
              <w:t xml:space="preserve">337.43 </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285A">
            <w:pPr>
              <w:spacing w:line="360" w:lineRule="exact"/>
              <w:ind w:firstLine="0" w:firstLineChars="0"/>
              <w:jc w:val="center"/>
              <w:rPr>
                <w:color w:val="auto"/>
                <w:sz w:val="21"/>
                <w:szCs w:val="21"/>
              </w:rPr>
            </w:pPr>
            <w:r>
              <w:rPr>
                <w:color w:val="auto"/>
                <w:sz w:val="21"/>
                <w:szCs w:val="21"/>
              </w:rPr>
              <w:t xml:space="preserve">0.00 </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6F9CFF9">
            <w:pPr>
              <w:spacing w:line="360" w:lineRule="exact"/>
              <w:ind w:firstLine="0" w:firstLineChars="0"/>
              <w:jc w:val="center"/>
              <w:rPr>
                <w:color w:val="auto"/>
                <w:sz w:val="21"/>
                <w:szCs w:val="21"/>
              </w:rPr>
            </w:pPr>
            <w:r>
              <w:rPr>
                <w:color w:val="auto"/>
                <w:sz w:val="21"/>
                <w:szCs w:val="21"/>
              </w:rPr>
              <w:t xml:space="preserve">548.28 </w:t>
            </w:r>
          </w:p>
        </w:tc>
      </w:tr>
      <w:tr w14:paraId="48874392">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3ABEFE57">
            <w:pPr>
              <w:spacing w:line="360" w:lineRule="exact"/>
              <w:ind w:firstLine="0" w:firstLineChars="0"/>
              <w:jc w:val="center"/>
              <w:rPr>
                <w:color w:val="auto"/>
                <w:sz w:val="21"/>
                <w:szCs w:val="21"/>
              </w:rPr>
            </w:pPr>
            <w:r>
              <w:rPr>
                <w:color w:val="auto"/>
                <w:sz w:val="21"/>
                <w:szCs w:val="21"/>
              </w:rPr>
              <w:t>占比</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675C">
            <w:pPr>
              <w:spacing w:line="360" w:lineRule="exact"/>
              <w:ind w:firstLine="0" w:firstLineChars="0"/>
              <w:jc w:val="center"/>
              <w:rPr>
                <w:color w:val="auto"/>
                <w:sz w:val="21"/>
                <w:szCs w:val="21"/>
              </w:rPr>
            </w:pPr>
            <w:r>
              <w:rPr>
                <w:color w:val="auto"/>
                <w:sz w:val="21"/>
                <w:szCs w:val="21"/>
              </w:rPr>
              <w:t>38.46%</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087D">
            <w:pPr>
              <w:spacing w:line="360" w:lineRule="exact"/>
              <w:ind w:firstLine="0" w:firstLineChars="0"/>
              <w:jc w:val="center"/>
              <w:rPr>
                <w:color w:val="auto"/>
                <w:sz w:val="21"/>
                <w:szCs w:val="21"/>
              </w:rPr>
            </w:pPr>
            <w:r>
              <w:rPr>
                <w:color w:val="auto"/>
                <w:sz w:val="21"/>
                <w:szCs w:val="21"/>
              </w:rPr>
              <w:t>61.54%</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CE0A">
            <w:pPr>
              <w:spacing w:line="360" w:lineRule="exact"/>
              <w:ind w:firstLine="0" w:firstLineChars="0"/>
              <w:jc w:val="center"/>
              <w:rPr>
                <w:color w:val="auto"/>
                <w:sz w:val="21"/>
                <w:szCs w:val="21"/>
              </w:rPr>
            </w:pPr>
            <w:r>
              <w:rPr>
                <w:color w:val="auto"/>
                <w:sz w:val="21"/>
                <w:szCs w:val="21"/>
              </w:rPr>
              <w:t>0.00%</w:t>
            </w:r>
          </w:p>
        </w:tc>
        <w:tc>
          <w:tcPr>
            <w:tcW w:w="167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26518A8">
            <w:pPr>
              <w:spacing w:line="360" w:lineRule="exact"/>
              <w:ind w:firstLine="0" w:firstLineChars="0"/>
              <w:jc w:val="center"/>
              <w:rPr>
                <w:color w:val="auto"/>
                <w:sz w:val="21"/>
                <w:szCs w:val="21"/>
              </w:rPr>
            </w:pPr>
            <w:r>
              <w:rPr>
                <w:color w:val="auto"/>
                <w:sz w:val="21"/>
                <w:szCs w:val="21"/>
              </w:rPr>
              <w:t>100.00%</w:t>
            </w:r>
          </w:p>
        </w:tc>
      </w:tr>
      <w:tr w14:paraId="742CA147">
        <w:tblPrEx>
          <w:tblCellMar>
            <w:top w:w="0" w:type="dxa"/>
            <w:left w:w="108" w:type="dxa"/>
            <w:bottom w:w="0" w:type="dxa"/>
            <w:right w:w="108" w:type="dxa"/>
          </w:tblCellMar>
        </w:tblPrEx>
        <w:trPr>
          <w:trHeight w:val="270" w:hRule="atLeast"/>
        </w:trPr>
        <w:tc>
          <w:tcPr>
            <w:tcW w:w="1057" w:type="pct"/>
            <w:tcBorders>
              <w:top w:val="single" w:color="000000" w:sz="4" w:space="0"/>
              <w:left w:val="single" w:color="000000" w:sz="12" w:space="0"/>
              <w:bottom w:val="single" w:color="000000" w:sz="12" w:space="0"/>
              <w:right w:val="single" w:color="000000" w:sz="4" w:space="0"/>
            </w:tcBorders>
            <w:shd w:val="clear" w:color="auto" w:fill="auto"/>
            <w:vAlign w:val="center"/>
          </w:tcPr>
          <w:p w14:paraId="11D20EE3">
            <w:pPr>
              <w:spacing w:line="360" w:lineRule="exact"/>
              <w:ind w:firstLine="0" w:firstLineChars="0"/>
              <w:jc w:val="center"/>
              <w:rPr>
                <w:color w:val="auto"/>
                <w:sz w:val="21"/>
                <w:szCs w:val="21"/>
              </w:rPr>
            </w:pPr>
            <w:r>
              <w:rPr>
                <w:color w:val="auto"/>
                <w:sz w:val="21"/>
                <w:szCs w:val="21"/>
              </w:rPr>
              <w:t>合计</w:t>
            </w:r>
          </w:p>
        </w:tc>
        <w:tc>
          <w:tcPr>
            <w:tcW w:w="2485"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C94D187">
            <w:pPr>
              <w:spacing w:line="360" w:lineRule="exact"/>
              <w:ind w:firstLine="0" w:firstLineChars="0"/>
              <w:jc w:val="center"/>
              <w:rPr>
                <w:color w:val="auto"/>
                <w:sz w:val="21"/>
                <w:szCs w:val="21"/>
              </w:rPr>
            </w:pPr>
            <w:r>
              <w:rPr>
                <w:color w:val="auto"/>
                <w:sz w:val="21"/>
                <w:szCs w:val="21"/>
              </w:rPr>
              <w:t xml:space="preserve">702.75 </w:t>
            </w:r>
          </w:p>
        </w:tc>
        <w:tc>
          <w:tcPr>
            <w:tcW w:w="1508"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71F68890">
            <w:pPr>
              <w:spacing w:line="360" w:lineRule="exact"/>
              <w:ind w:firstLine="0" w:firstLineChars="0"/>
              <w:jc w:val="center"/>
              <w:rPr>
                <w:color w:val="auto"/>
                <w:sz w:val="21"/>
                <w:szCs w:val="21"/>
              </w:rPr>
            </w:pPr>
            <w:r>
              <w:rPr>
                <w:color w:val="auto"/>
                <w:sz w:val="21"/>
                <w:szCs w:val="21"/>
              </w:rPr>
              <w:t xml:space="preserve">885.46 </w:t>
            </w:r>
          </w:p>
        </w:tc>
        <w:tc>
          <w:tcPr>
            <w:tcW w:w="1521"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650F3B79">
            <w:pPr>
              <w:spacing w:line="360" w:lineRule="exact"/>
              <w:ind w:firstLine="0" w:firstLineChars="0"/>
              <w:jc w:val="center"/>
              <w:rPr>
                <w:color w:val="auto"/>
                <w:sz w:val="21"/>
                <w:szCs w:val="21"/>
              </w:rPr>
            </w:pPr>
            <w:r>
              <w:rPr>
                <w:color w:val="auto"/>
                <w:sz w:val="21"/>
                <w:szCs w:val="21"/>
              </w:rPr>
              <w:t xml:space="preserve">0.00 </w:t>
            </w:r>
          </w:p>
        </w:tc>
        <w:tc>
          <w:tcPr>
            <w:tcW w:w="1672"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310F7B1E">
            <w:pPr>
              <w:spacing w:line="360" w:lineRule="exact"/>
              <w:ind w:firstLine="0" w:firstLineChars="0"/>
              <w:jc w:val="center"/>
              <w:rPr>
                <w:color w:val="auto"/>
                <w:sz w:val="21"/>
                <w:szCs w:val="21"/>
              </w:rPr>
            </w:pPr>
            <w:r>
              <w:rPr>
                <w:color w:val="auto"/>
                <w:sz w:val="21"/>
                <w:szCs w:val="21"/>
              </w:rPr>
              <w:t xml:space="preserve">1588.21 </w:t>
            </w:r>
          </w:p>
        </w:tc>
      </w:tr>
    </w:tbl>
    <w:p w14:paraId="39FDDAD5">
      <w:pPr>
        <w:ind w:firstLine="480"/>
        <w:rPr>
          <w:color w:val="auto"/>
        </w:rPr>
      </w:pPr>
      <w:r>
        <w:rPr>
          <w:color w:val="auto"/>
        </w:rPr>
        <w:t>（5）用水效率</w:t>
      </w:r>
    </w:p>
    <w:p w14:paraId="250BC957">
      <w:pPr>
        <w:ind w:firstLine="480"/>
        <w:rPr>
          <w:color w:val="auto"/>
          <w:szCs w:val="24"/>
        </w:rPr>
      </w:pPr>
      <w:r>
        <w:rPr>
          <w:color w:val="auto"/>
          <w:szCs w:val="24"/>
        </w:rPr>
        <w:t>根据园区2020年实际用水量，结合人口、工业产值等基础指标，推算得到现状年用水指标，2020九龙工业园区A区、B区、C区的人均生活用水量分别为208L/d、185L/d、161L/d，万元工业增加值用水量均为20m³/万元。</w:t>
      </w:r>
    </w:p>
    <w:p w14:paraId="1933CDE0">
      <w:pPr>
        <w:ind w:firstLine="480"/>
        <w:rPr>
          <w:color w:val="auto"/>
        </w:rPr>
      </w:pPr>
      <w:r>
        <w:rPr>
          <w:color w:val="auto"/>
        </w:rPr>
        <w:t>据《重庆市水资源公报》（2019）统计，2019年九龙坡区城镇居民生活日用水208L/d</w:t>
      </w:r>
      <w:r>
        <w:rPr>
          <w:rFonts w:hint="eastAsia"/>
          <w:color w:val="auto"/>
        </w:rPr>
        <w:t>，</w:t>
      </w:r>
      <w:r>
        <w:rPr>
          <w:color w:val="auto"/>
        </w:rPr>
        <w:t>万元工业增加值用水量21m³/万元。重庆市城镇居民生活日用水163L/d，万元工业增加值用水量42m³/万元。</w:t>
      </w:r>
    </w:p>
    <w:p w14:paraId="0AE909B8">
      <w:pPr>
        <w:ind w:firstLine="480"/>
        <w:rPr>
          <w:color w:val="auto"/>
        </w:rPr>
      </w:pPr>
      <w:r>
        <w:rPr>
          <w:color w:val="auto"/>
        </w:rPr>
        <w:t>九龙工业园区A区城镇居民生活日用水定额与九龙坡区一致，主要是因为A区主要以居住为主；九龙工业园区B、C区城镇居民生活日用水定额低于九龙坡区、全市平均水平，主要是由于园区主要以常住上班族为主，第三产业相对薄弱，居民生活用水定额偏低。</w:t>
      </w:r>
    </w:p>
    <w:p w14:paraId="6F0DF6C0">
      <w:pPr>
        <w:ind w:firstLine="480"/>
        <w:rPr>
          <w:color w:val="auto"/>
        </w:rPr>
      </w:pPr>
      <w:r>
        <w:rPr>
          <w:color w:val="auto"/>
        </w:rPr>
        <w:t>园区万元工业增加值用水量低于九龙坡区、全市平均水平，主要是园区主要发展高科技技术产业、汽车制造业、装备制造业等低耗水产业，用水效率相对偏高。</w:t>
      </w:r>
    </w:p>
    <w:p w14:paraId="22D72CB0">
      <w:pPr>
        <w:pStyle w:val="43"/>
        <w:rPr>
          <w:color w:val="auto"/>
        </w:rPr>
      </w:pPr>
      <w:bookmarkStart w:id="44" w:name="OLE_LINK162"/>
      <w:r>
        <w:rPr>
          <w:color w:val="auto"/>
        </w:rPr>
        <w:t>表4.2-5                       园区用水水平表</w:t>
      </w:r>
    </w:p>
    <w:bookmarkEnd w:id="44"/>
    <w:tbl>
      <w:tblPr>
        <w:tblStyle w:val="21"/>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3096"/>
        <w:gridCol w:w="3096"/>
      </w:tblGrid>
      <w:tr w14:paraId="4994F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094" w:type="dxa"/>
            <w:tcBorders>
              <w:tl2br w:val="nil"/>
              <w:tr2bl w:val="nil"/>
            </w:tcBorders>
            <w:shd w:val="clear" w:color="auto" w:fill="auto"/>
            <w:vAlign w:val="center"/>
          </w:tcPr>
          <w:p w14:paraId="75737225">
            <w:pPr>
              <w:spacing w:line="360" w:lineRule="exact"/>
              <w:ind w:firstLine="0" w:firstLineChars="0"/>
              <w:jc w:val="center"/>
              <w:rPr>
                <w:color w:val="auto"/>
                <w:sz w:val="21"/>
                <w:szCs w:val="21"/>
              </w:rPr>
            </w:pPr>
            <w:r>
              <w:rPr>
                <w:color w:val="auto"/>
                <w:sz w:val="21"/>
                <w:szCs w:val="21"/>
              </w:rPr>
              <w:t>行政区</w:t>
            </w:r>
          </w:p>
        </w:tc>
        <w:tc>
          <w:tcPr>
            <w:tcW w:w="3096" w:type="dxa"/>
            <w:tcBorders>
              <w:tl2br w:val="nil"/>
              <w:tr2bl w:val="nil"/>
            </w:tcBorders>
            <w:shd w:val="clear" w:color="auto" w:fill="auto"/>
            <w:vAlign w:val="center"/>
          </w:tcPr>
          <w:p w14:paraId="4BC607C5">
            <w:pPr>
              <w:spacing w:line="360" w:lineRule="exact"/>
              <w:ind w:firstLine="0" w:firstLineChars="0"/>
              <w:jc w:val="center"/>
              <w:rPr>
                <w:color w:val="auto"/>
                <w:sz w:val="21"/>
                <w:szCs w:val="21"/>
              </w:rPr>
            </w:pPr>
            <w:r>
              <w:rPr>
                <w:color w:val="auto"/>
                <w:sz w:val="21"/>
                <w:szCs w:val="21"/>
              </w:rPr>
              <w:t>城镇居民生活日用水（L/d）</w:t>
            </w:r>
          </w:p>
        </w:tc>
        <w:tc>
          <w:tcPr>
            <w:tcW w:w="3096" w:type="dxa"/>
            <w:tcBorders>
              <w:tl2br w:val="nil"/>
              <w:tr2bl w:val="nil"/>
            </w:tcBorders>
            <w:shd w:val="clear" w:color="auto" w:fill="auto"/>
            <w:vAlign w:val="center"/>
          </w:tcPr>
          <w:p w14:paraId="16ACA22B">
            <w:pPr>
              <w:spacing w:line="360" w:lineRule="exact"/>
              <w:ind w:firstLine="0" w:firstLineChars="0"/>
              <w:jc w:val="center"/>
              <w:rPr>
                <w:color w:val="auto"/>
                <w:sz w:val="21"/>
                <w:szCs w:val="21"/>
              </w:rPr>
            </w:pPr>
            <w:r>
              <w:rPr>
                <w:color w:val="auto"/>
                <w:sz w:val="21"/>
                <w:szCs w:val="21"/>
              </w:rPr>
              <w:t>万元工业增加值用水量</w:t>
            </w:r>
          </w:p>
          <w:p w14:paraId="209C0B8F">
            <w:pPr>
              <w:spacing w:line="360" w:lineRule="exact"/>
              <w:ind w:firstLine="0" w:firstLineChars="0"/>
              <w:jc w:val="center"/>
              <w:rPr>
                <w:color w:val="auto"/>
                <w:sz w:val="21"/>
                <w:szCs w:val="21"/>
              </w:rPr>
            </w:pPr>
            <w:r>
              <w:rPr>
                <w:color w:val="auto"/>
                <w:sz w:val="21"/>
                <w:szCs w:val="21"/>
              </w:rPr>
              <w:t>（m³/万元）</w:t>
            </w:r>
          </w:p>
        </w:tc>
      </w:tr>
      <w:tr w14:paraId="229C9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94" w:type="dxa"/>
            <w:tcBorders>
              <w:tl2br w:val="nil"/>
              <w:tr2bl w:val="nil"/>
            </w:tcBorders>
            <w:shd w:val="clear" w:color="auto" w:fill="auto"/>
            <w:vAlign w:val="center"/>
          </w:tcPr>
          <w:p w14:paraId="20B5E0C8">
            <w:pPr>
              <w:spacing w:line="360" w:lineRule="exact"/>
              <w:ind w:firstLine="0" w:firstLineChars="0"/>
              <w:jc w:val="center"/>
              <w:rPr>
                <w:color w:val="auto"/>
                <w:sz w:val="21"/>
                <w:szCs w:val="21"/>
              </w:rPr>
            </w:pPr>
            <w:r>
              <w:rPr>
                <w:color w:val="auto"/>
                <w:sz w:val="21"/>
                <w:szCs w:val="21"/>
              </w:rPr>
              <w:t>重庆市</w:t>
            </w:r>
          </w:p>
        </w:tc>
        <w:tc>
          <w:tcPr>
            <w:tcW w:w="3096" w:type="dxa"/>
            <w:tcBorders>
              <w:tl2br w:val="nil"/>
              <w:tr2bl w:val="nil"/>
            </w:tcBorders>
            <w:shd w:val="clear" w:color="auto" w:fill="auto"/>
            <w:vAlign w:val="center"/>
          </w:tcPr>
          <w:p w14:paraId="3C0BFDDE">
            <w:pPr>
              <w:spacing w:line="360" w:lineRule="exact"/>
              <w:ind w:firstLine="0" w:firstLineChars="0"/>
              <w:jc w:val="center"/>
              <w:rPr>
                <w:color w:val="auto"/>
                <w:sz w:val="21"/>
                <w:szCs w:val="21"/>
              </w:rPr>
            </w:pPr>
            <w:r>
              <w:rPr>
                <w:color w:val="auto"/>
                <w:sz w:val="21"/>
                <w:szCs w:val="21"/>
              </w:rPr>
              <w:t>163</w:t>
            </w:r>
          </w:p>
        </w:tc>
        <w:tc>
          <w:tcPr>
            <w:tcW w:w="3096" w:type="dxa"/>
            <w:tcBorders>
              <w:tl2br w:val="nil"/>
              <w:tr2bl w:val="nil"/>
            </w:tcBorders>
            <w:shd w:val="clear" w:color="auto" w:fill="auto"/>
            <w:vAlign w:val="center"/>
          </w:tcPr>
          <w:p w14:paraId="6A977101">
            <w:pPr>
              <w:spacing w:line="360" w:lineRule="exact"/>
              <w:ind w:firstLine="0" w:firstLineChars="0"/>
              <w:jc w:val="center"/>
              <w:rPr>
                <w:color w:val="auto"/>
                <w:sz w:val="21"/>
                <w:szCs w:val="21"/>
              </w:rPr>
            </w:pPr>
            <w:r>
              <w:rPr>
                <w:color w:val="auto"/>
                <w:sz w:val="21"/>
                <w:szCs w:val="21"/>
              </w:rPr>
              <w:t>42</w:t>
            </w:r>
          </w:p>
        </w:tc>
      </w:tr>
      <w:tr w14:paraId="435C4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94" w:type="dxa"/>
            <w:tcBorders>
              <w:tl2br w:val="nil"/>
              <w:tr2bl w:val="nil"/>
            </w:tcBorders>
            <w:shd w:val="clear" w:color="auto" w:fill="auto"/>
            <w:vAlign w:val="center"/>
          </w:tcPr>
          <w:p w14:paraId="541D8C8A">
            <w:pPr>
              <w:spacing w:line="360" w:lineRule="exact"/>
              <w:ind w:firstLine="0" w:firstLineChars="0"/>
              <w:jc w:val="center"/>
              <w:rPr>
                <w:color w:val="auto"/>
                <w:sz w:val="21"/>
                <w:szCs w:val="21"/>
              </w:rPr>
            </w:pPr>
            <w:r>
              <w:rPr>
                <w:color w:val="auto"/>
                <w:sz w:val="21"/>
                <w:szCs w:val="21"/>
              </w:rPr>
              <w:t>九龙坡区</w:t>
            </w:r>
          </w:p>
        </w:tc>
        <w:tc>
          <w:tcPr>
            <w:tcW w:w="3096" w:type="dxa"/>
            <w:tcBorders>
              <w:tl2br w:val="nil"/>
              <w:tr2bl w:val="nil"/>
            </w:tcBorders>
            <w:shd w:val="clear" w:color="auto" w:fill="auto"/>
            <w:vAlign w:val="center"/>
          </w:tcPr>
          <w:p w14:paraId="75F41895">
            <w:pPr>
              <w:spacing w:line="360" w:lineRule="exact"/>
              <w:ind w:firstLine="0" w:firstLineChars="0"/>
              <w:jc w:val="center"/>
              <w:rPr>
                <w:color w:val="auto"/>
                <w:sz w:val="21"/>
                <w:szCs w:val="21"/>
              </w:rPr>
            </w:pPr>
            <w:r>
              <w:rPr>
                <w:color w:val="auto"/>
                <w:sz w:val="21"/>
                <w:szCs w:val="21"/>
              </w:rPr>
              <w:t>208</w:t>
            </w:r>
          </w:p>
        </w:tc>
        <w:tc>
          <w:tcPr>
            <w:tcW w:w="3096" w:type="dxa"/>
            <w:tcBorders>
              <w:tl2br w:val="nil"/>
              <w:tr2bl w:val="nil"/>
            </w:tcBorders>
            <w:shd w:val="clear" w:color="auto" w:fill="auto"/>
            <w:vAlign w:val="center"/>
          </w:tcPr>
          <w:p w14:paraId="0B1DFB87">
            <w:pPr>
              <w:spacing w:line="360" w:lineRule="exact"/>
              <w:ind w:firstLine="0" w:firstLineChars="0"/>
              <w:jc w:val="center"/>
              <w:rPr>
                <w:color w:val="auto"/>
                <w:sz w:val="21"/>
                <w:szCs w:val="21"/>
              </w:rPr>
            </w:pPr>
            <w:r>
              <w:rPr>
                <w:color w:val="auto"/>
                <w:sz w:val="21"/>
                <w:szCs w:val="21"/>
              </w:rPr>
              <w:t>21</w:t>
            </w:r>
          </w:p>
        </w:tc>
      </w:tr>
      <w:tr w14:paraId="7B491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094" w:type="dxa"/>
            <w:tcBorders>
              <w:tl2br w:val="nil"/>
              <w:tr2bl w:val="nil"/>
            </w:tcBorders>
            <w:shd w:val="clear" w:color="auto" w:fill="auto"/>
            <w:vAlign w:val="center"/>
          </w:tcPr>
          <w:p w14:paraId="5FED8727">
            <w:pPr>
              <w:spacing w:line="360" w:lineRule="exact"/>
              <w:ind w:firstLine="0" w:firstLineChars="0"/>
              <w:jc w:val="center"/>
              <w:rPr>
                <w:color w:val="auto"/>
                <w:sz w:val="21"/>
                <w:szCs w:val="21"/>
              </w:rPr>
            </w:pPr>
            <w:r>
              <w:rPr>
                <w:color w:val="auto"/>
                <w:sz w:val="21"/>
                <w:szCs w:val="21"/>
              </w:rPr>
              <w:t>九龙工业园区A区</w:t>
            </w:r>
          </w:p>
        </w:tc>
        <w:tc>
          <w:tcPr>
            <w:tcW w:w="3096" w:type="dxa"/>
            <w:tcBorders>
              <w:tl2br w:val="nil"/>
              <w:tr2bl w:val="nil"/>
            </w:tcBorders>
            <w:shd w:val="clear" w:color="auto" w:fill="auto"/>
            <w:vAlign w:val="center"/>
          </w:tcPr>
          <w:p w14:paraId="6F7144AD">
            <w:pPr>
              <w:spacing w:line="360" w:lineRule="exact"/>
              <w:ind w:firstLine="0" w:firstLineChars="0"/>
              <w:jc w:val="center"/>
              <w:rPr>
                <w:color w:val="auto"/>
                <w:sz w:val="21"/>
                <w:szCs w:val="21"/>
              </w:rPr>
            </w:pPr>
            <w:r>
              <w:rPr>
                <w:color w:val="auto"/>
                <w:sz w:val="21"/>
                <w:szCs w:val="21"/>
              </w:rPr>
              <w:t>208</w:t>
            </w:r>
          </w:p>
        </w:tc>
        <w:tc>
          <w:tcPr>
            <w:tcW w:w="3096" w:type="dxa"/>
            <w:tcBorders>
              <w:tl2br w:val="nil"/>
              <w:tr2bl w:val="nil"/>
            </w:tcBorders>
            <w:shd w:val="clear" w:color="auto" w:fill="auto"/>
            <w:vAlign w:val="center"/>
          </w:tcPr>
          <w:p w14:paraId="1A4CF1BD">
            <w:pPr>
              <w:spacing w:line="360" w:lineRule="exact"/>
              <w:ind w:firstLine="0" w:firstLineChars="0"/>
              <w:jc w:val="center"/>
              <w:rPr>
                <w:color w:val="auto"/>
                <w:sz w:val="21"/>
                <w:szCs w:val="21"/>
              </w:rPr>
            </w:pPr>
            <w:r>
              <w:rPr>
                <w:color w:val="auto"/>
                <w:sz w:val="21"/>
                <w:szCs w:val="21"/>
              </w:rPr>
              <w:t>20</w:t>
            </w:r>
          </w:p>
        </w:tc>
      </w:tr>
      <w:tr w14:paraId="39C6F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94" w:type="dxa"/>
            <w:tcBorders>
              <w:tl2br w:val="nil"/>
              <w:tr2bl w:val="nil"/>
            </w:tcBorders>
            <w:shd w:val="clear" w:color="auto" w:fill="auto"/>
            <w:vAlign w:val="center"/>
          </w:tcPr>
          <w:p w14:paraId="40211AC8">
            <w:pPr>
              <w:spacing w:line="360" w:lineRule="exact"/>
              <w:ind w:firstLine="0" w:firstLineChars="0"/>
              <w:jc w:val="center"/>
              <w:rPr>
                <w:color w:val="auto"/>
                <w:sz w:val="21"/>
                <w:szCs w:val="21"/>
              </w:rPr>
            </w:pPr>
            <w:r>
              <w:rPr>
                <w:color w:val="auto"/>
                <w:sz w:val="21"/>
                <w:szCs w:val="21"/>
              </w:rPr>
              <w:t>九龙工业园区B区</w:t>
            </w:r>
          </w:p>
        </w:tc>
        <w:tc>
          <w:tcPr>
            <w:tcW w:w="3096" w:type="dxa"/>
            <w:tcBorders>
              <w:tl2br w:val="nil"/>
              <w:tr2bl w:val="nil"/>
            </w:tcBorders>
            <w:shd w:val="clear" w:color="auto" w:fill="auto"/>
            <w:vAlign w:val="center"/>
          </w:tcPr>
          <w:p w14:paraId="7CD1A30E">
            <w:pPr>
              <w:spacing w:line="360" w:lineRule="exact"/>
              <w:ind w:firstLine="0" w:firstLineChars="0"/>
              <w:jc w:val="center"/>
              <w:rPr>
                <w:color w:val="auto"/>
                <w:sz w:val="21"/>
                <w:szCs w:val="21"/>
              </w:rPr>
            </w:pPr>
            <w:r>
              <w:rPr>
                <w:color w:val="auto"/>
                <w:sz w:val="21"/>
                <w:szCs w:val="21"/>
              </w:rPr>
              <w:t>185</w:t>
            </w:r>
          </w:p>
        </w:tc>
        <w:tc>
          <w:tcPr>
            <w:tcW w:w="3096" w:type="dxa"/>
            <w:tcBorders>
              <w:tl2br w:val="nil"/>
              <w:tr2bl w:val="nil"/>
            </w:tcBorders>
            <w:shd w:val="clear" w:color="auto" w:fill="auto"/>
            <w:vAlign w:val="center"/>
          </w:tcPr>
          <w:p w14:paraId="269ABAD6">
            <w:pPr>
              <w:spacing w:line="360" w:lineRule="exact"/>
              <w:ind w:firstLine="0" w:firstLineChars="0"/>
              <w:jc w:val="center"/>
              <w:rPr>
                <w:color w:val="auto"/>
                <w:sz w:val="21"/>
                <w:szCs w:val="21"/>
              </w:rPr>
            </w:pPr>
            <w:r>
              <w:rPr>
                <w:color w:val="auto"/>
                <w:sz w:val="21"/>
                <w:szCs w:val="21"/>
              </w:rPr>
              <w:t>20</w:t>
            </w:r>
          </w:p>
        </w:tc>
      </w:tr>
      <w:tr w14:paraId="2ED34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94" w:type="dxa"/>
            <w:tcBorders>
              <w:tl2br w:val="nil"/>
              <w:tr2bl w:val="nil"/>
            </w:tcBorders>
            <w:shd w:val="clear" w:color="auto" w:fill="auto"/>
            <w:vAlign w:val="center"/>
          </w:tcPr>
          <w:p w14:paraId="47A4D17E">
            <w:pPr>
              <w:spacing w:line="360" w:lineRule="exact"/>
              <w:ind w:firstLine="0" w:firstLineChars="0"/>
              <w:jc w:val="center"/>
              <w:rPr>
                <w:color w:val="auto"/>
                <w:sz w:val="21"/>
                <w:szCs w:val="21"/>
              </w:rPr>
            </w:pPr>
            <w:r>
              <w:rPr>
                <w:color w:val="auto"/>
                <w:sz w:val="21"/>
                <w:szCs w:val="21"/>
              </w:rPr>
              <w:t>九龙工业园区C区</w:t>
            </w:r>
          </w:p>
        </w:tc>
        <w:tc>
          <w:tcPr>
            <w:tcW w:w="3096" w:type="dxa"/>
            <w:tcBorders>
              <w:tl2br w:val="nil"/>
              <w:tr2bl w:val="nil"/>
            </w:tcBorders>
            <w:shd w:val="clear" w:color="auto" w:fill="auto"/>
            <w:vAlign w:val="center"/>
          </w:tcPr>
          <w:p w14:paraId="78DDD277">
            <w:pPr>
              <w:spacing w:line="360" w:lineRule="exact"/>
              <w:ind w:firstLine="0" w:firstLineChars="0"/>
              <w:jc w:val="center"/>
              <w:rPr>
                <w:color w:val="auto"/>
                <w:sz w:val="21"/>
                <w:szCs w:val="21"/>
              </w:rPr>
            </w:pPr>
            <w:r>
              <w:rPr>
                <w:color w:val="auto"/>
                <w:sz w:val="21"/>
                <w:szCs w:val="21"/>
              </w:rPr>
              <w:t>161</w:t>
            </w:r>
          </w:p>
        </w:tc>
        <w:tc>
          <w:tcPr>
            <w:tcW w:w="3096" w:type="dxa"/>
            <w:tcBorders>
              <w:tl2br w:val="nil"/>
              <w:tr2bl w:val="nil"/>
            </w:tcBorders>
            <w:shd w:val="clear" w:color="auto" w:fill="auto"/>
            <w:vAlign w:val="center"/>
          </w:tcPr>
          <w:p w14:paraId="594EC4C8">
            <w:pPr>
              <w:spacing w:line="360" w:lineRule="exact"/>
              <w:ind w:firstLine="0" w:firstLineChars="0"/>
              <w:jc w:val="center"/>
              <w:rPr>
                <w:color w:val="auto"/>
                <w:sz w:val="21"/>
                <w:szCs w:val="21"/>
              </w:rPr>
            </w:pPr>
            <w:r>
              <w:rPr>
                <w:color w:val="auto"/>
                <w:sz w:val="21"/>
                <w:szCs w:val="21"/>
              </w:rPr>
              <w:t>20</w:t>
            </w:r>
          </w:p>
        </w:tc>
      </w:tr>
    </w:tbl>
    <w:p w14:paraId="1BCD4106">
      <w:pPr>
        <w:pStyle w:val="4"/>
        <w:numPr>
          <w:ilvl w:val="1"/>
          <w:numId w:val="0"/>
        </w:numPr>
        <w:spacing w:before="166" w:after="166"/>
        <w:rPr>
          <w:color w:val="auto"/>
        </w:rPr>
      </w:pPr>
      <w:bookmarkStart w:id="45" w:name="_Toc11163"/>
      <w:r>
        <w:rPr>
          <w:color w:val="auto"/>
        </w:rPr>
        <w:t>4.3需水预测</w:t>
      </w:r>
      <w:bookmarkEnd w:id="45"/>
    </w:p>
    <w:p w14:paraId="2F126B4C">
      <w:pPr>
        <w:ind w:firstLine="480"/>
        <w:rPr>
          <w:color w:val="auto"/>
        </w:rPr>
      </w:pPr>
      <w:r>
        <w:rPr>
          <w:color w:val="auto"/>
        </w:rPr>
        <w:t>由于重庆九龙工业园区分为A、B、C三个区域，且三个区域供水水厂不一致，相对独立，为了更好地做出水量平衡分析，本次分别预测A、B、C三个区域的需水量。</w:t>
      </w:r>
    </w:p>
    <w:p w14:paraId="7D6ACEC0">
      <w:pPr>
        <w:ind w:firstLine="482"/>
        <w:rPr>
          <w:b/>
          <w:bCs/>
          <w:color w:val="auto"/>
        </w:rPr>
      </w:pPr>
      <w:r>
        <w:rPr>
          <w:b/>
          <w:bCs/>
          <w:color w:val="auto"/>
          <w:szCs w:val="24"/>
        </w:rPr>
        <w:t>需水预测分别采用分类指标法及用地指标法计算园区</w:t>
      </w:r>
      <w:r>
        <w:rPr>
          <w:b/>
          <w:bCs/>
          <w:color w:val="auto"/>
        </w:rPr>
        <w:t>需水量：</w:t>
      </w:r>
    </w:p>
    <w:p w14:paraId="3727AFEF">
      <w:pPr>
        <w:pStyle w:val="5"/>
        <w:numPr>
          <w:ilvl w:val="0"/>
          <w:numId w:val="0"/>
        </w:numPr>
        <w:spacing w:before="0" w:beforeLines="0" w:after="0" w:afterLines="0"/>
        <w:ind w:firstLine="482" w:firstLineChars="200"/>
        <w:rPr>
          <w:color w:val="auto"/>
          <w:sz w:val="24"/>
          <w:szCs w:val="24"/>
        </w:rPr>
      </w:pPr>
      <w:r>
        <w:rPr>
          <w:color w:val="auto"/>
          <w:sz w:val="24"/>
          <w:szCs w:val="24"/>
        </w:rPr>
        <w:t>1、分类指标法</w:t>
      </w:r>
    </w:p>
    <w:p w14:paraId="72B0675D">
      <w:pPr>
        <w:ind w:firstLine="480"/>
        <w:rPr>
          <w:color w:val="auto"/>
        </w:rPr>
      </w:pPr>
      <w:r>
        <w:rPr>
          <w:color w:val="auto"/>
        </w:rPr>
        <w:t>根据《室外给水设计标准》（GB50013-2018），设计供水量由下列各项组成：</w:t>
      </w:r>
    </w:p>
    <w:p w14:paraId="4AAC9770">
      <w:pPr>
        <w:ind w:firstLine="480"/>
        <w:rPr>
          <w:color w:val="auto"/>
        </w:rPr>
      </w:pPr>
      <w:r>
        <w:rPr>
          <w:color w:val="auto"/>
        </w:rPr>
        <w:t>① 综合生活用水；</w:t>
      </w:r>
    </w:p>
    <w:p w14:paraId="10B4177F">
      <w:pPr>
        <w:ind w:firstLine="480"/>
        <w:rPr>
          <w:color w:val="auto"/>
        </w:rPr>
      </w:pPr>
      <w:r>
        <w:rPr>
          <w:color w:val="auto"/>
        </w:rPr>
        <w:t>② 工业企业用水</w:t>
      </w:r>
    </w:p>
    <w:p w14:paraId="57D826C7">
      <w:pPr>
        <w:ind w:firstLine="480"/>
        <w:rPr>
          <w:color w:val="auto"/>
        </w:rPr>
      </w:pPr>
      <w:r>
        <w:rPr>
          <w:color w:val="auto"/>
        </w:rPr>
        <w:t>③ 浇洒道路和绿地用水</w:t>
      </w:r>
    </w:p>
    <w:p w14:paraId="4D387837">
      <w:pPr>
        <w:ind w:firstLine="480"/>
        <w:rPr>
          <w:color w:val="auto"/>
        </w:rPr>
      </w:pPr>
      <w:r>
        <w:rPr>
          <w:color w:val="auto"/>
        </w:rPr>
        <w:t>④ 管网损失水量</w:t>
      </w:r>
    </w:p>
    <w:p w14:paraId="164AEAED">
      <w:pPr>
        <w:ind w:firstLine="480"/>
        <w:rPr>
          <w:color w:val="auto"/>
        </w:rPr>
      </w:pPr>
      <w:r>
        <w:rPr>
          <w:color w:val="auto"/>
        </w:rPr>
        <w:t>⑤ 未预见水量</w:t>
      </w:r>
    </w:p>
    <w:p w14:paraId="4DD2D7A7">
      <w:pPr>
        <w:ind w:firstLine="480"/>
        <w:rPr>
          <w:color w:val="auto"/>
        </w:rPr>
      </w:pPr>
      <w:r>
        <w:rPr>
          <w:color w:val="auto"/>
        </w:rPr>
        <w:t>⑥ 消防用水</w:t>
      </w:r>
    </w:p>
    <w:p w14:paraId="460CE3BD">
      <w:pPr>
        <w:ind w:firstLine="480"/>
        <w:rPr>
          <w:color w:val="auto"/>
        </w:rPr>
      </w:pPr>
      <w:r>
        <w:rPr>
          <w:color w:val="auto"/>
        </w:rPr>
        <w:t>⑦</w:t>
      </w:r>
      <w:r>
        <w:rPr>
          <w:color w:val="auto"/>
        </w:rPr>
        <w:tab/>
      </w:r>
      <w:r>
        <w:rPr>
          <w:color w:val="auto"/>
        </w:rPr>
        <w:t>水厂自用水量</w:t>
      </w:r>
    </w:p>
    <w:p w14:paraId="7FC7C5A6">
      <w:pPr>
        <w:pStyle w:val="11"/>
        <w:ind w:firstLine="482"/>
        <w:rPr>
          <w:b/>
          <w:bCs/>
          <w:color w:val="auto"/>
        </w:rPr>
      </w:pPr>
      <w:r>
        <w:rPr>
          <w:b/>
          <w:bCs/>
          <w:color w:val="auto"/>
        </w:rPr>
        <w:t>（1）居民综合生活用水定额</w:t>
      </w:r>
    </w:p>
    <w:p w14:paraId="50FD1149">
      <w:pPr>
        <w:spacing w:line="560" w:lineRule="exact"/>
        <w:ind w:firstLine="480"/>
        <w:rPr>
          <w:color w:val="auto"/>
        </w:rPr>
      </w:pPr>
      <w:r>
        <w:rPr>
          <w:color w:val="auto"/>
        </w:rPr>
        <w:t>根据《室外给水设计标准》（GB50013-2018）中第4.0.3条，“居民生活用水定额和综合生活用水定额应根据当地国民经济和社会发展、水资源充沛程度、用水习惯，现有用水定额基础上，结合城市总体规划和给水专业规划，本着节约用水的原则，综合分析确定。当缺乏实际用水资料情况下，可按表4.0.3-1和表4.0.3-4选用”。</w:t>
      </w:r>
    </w:p>
    <w:p w14:paraId="2AD19E17">
      <w:pPr>
        <w:tabs>
          <w:tab w:val="left" w:pos="5580"/>
        </w:tabs>
        <w:ind w:firstLine="0" w:firstLineChars="0"/>
        <w:rPr>
          <w:b/>
          <w:color w:val="auto"/>
          <w:lang w:val="zh-CN"/>
        </w:rPr>
      </w:pPr>
      <w:r>
        <w:rPr>
          <w:b/>
          <w:color w:val="auto"/>
          <w:lang w:val="zh-CN"/>
        </w:rPr>
        <w:t>表4.3-</w:t>
      </w:r>
      <w:r>
        <w:rPr>
          <w:b/>
          <w:color w:val="auto"/>
        </w:rPr>
        <w:t>1</w:t>
      </w:r>
      <w:r>
        <w:rPr>
          <w:b/>
          <w:color w:val="auto"/>
          <w:lang w:val="zh-CN"/>
        </w:rPr>
        <w:t xml:space="preserve">  </w:t>
      </w:r>
      <w:r>
        <w:rPr>
          <w:b/>
          <w:color w:val="auto"/>
        </w:rPr>
        <w:t xml:space="preserve">               平均日</w:t>
      </w:r>
      <w:r>
        <w:rPr>
          <w:b/>
          <w:color w:val="auto"/>
          <w:lang w:val="zh-CN"/>
        </w:rPr>
        <w:t>综合生活用水定额｛L/（人.d</w:t>
      </w:r>
      <w:r>
        <w:rPr>
          <w:rFonts w:hint="eastAsia"/>
          <w:b/>
          <w:color w:val="auto"/>
          <w:lang w:val="zh-CN"/>
        </w:rPr>
        <w:t>）</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5"/>
        <w:gridCol w:w="1152"/>
        <w:gridCol w:w="1300"/>
        <w:gridCol w:w="1136"/>
        <w:gridCol w:w="1136"/>
        <w:gridCol w:w="1136"/>
        <w:gridCol w:w="1136"/>
        <w:gridCol w:w="1136"/>
      </w:tblGrid>
      <w:tr w14:paraId="66C7E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tcPr>
          <w:p w14:paraId="38D600AB">
            <w:pPr>
              <w:spacing w:line="360" w:lineRule="exact"/>
              <w:ind w:firstLine="0" w:firstLineChars="0"/>
              <w:jc w:val="center"/>
              <w:rPr>
                <w:color w:val="auto"/>
                <w:sz w:val="18"/>
                <w:szCs w:val="18"/>
              </w:rPr>
            </w:pPr>
            <w:r>
              <w:rPr>
                <w:color w:val="auto"/>
                <w:sz w:val="18"/>
                <w:szCs w:val="18"/>
              </w:rPr>
              <w:t>城市类型</w:t>
            </w:r>
          </w:p>
        </w:tc>
        <w:tc>
          <w:tcPr>
            <w:tcW w:w="632" w:type="pct"/>
          </w:tcPr>
          <w:p w14:paraId="40A0915C">
            <w:pPr>
              <w:spacing w:line="360" w:lineRule="exact"/>
              <w:ind w:firstLine="0" w:firstLineChars="0"/>
              <w:jc w:val="center"/>
              <w:rPr>
                <w:color w:val="auto"/>
                <w:sz w:val="18"/>
                <w:szCs w:val="18"/>
              </w:rPr>
            </w:pPr>
            <w:r>
              <w:rPr>
                <w:color w:val="auto"/>
                <w:sz w:val="18"/>
                <w:szCs w:val="18"/>
              </w:rPr>
              <w:t>超大城市</w:t>
            </w:r>
          </w:p>
        </w:tc>
        <w:tc>
          <w:tcPr>
            <w:tcW w:w="713" w:type="pct"/>
          </w:tcPr>
          <w:p w14:paraId="4FF4B144">
            <w:pPr>
              <w:spacing w:line="360" w:lineRule="exact"/>
              <w:ind w:firstLine="0" w:firstLineChars="0"/>
              <w:jc w:val="center"/>
              <w:rPr>
                <w:color w:val="auto"/>
                <w:sz w:val="18"/>
                <w:szCs w:val="18"/>
              </w:rPr>
            </w:pPr>
            <w:r>
              <w:rPr>
                <w:color w:val="auto"/>
                <w:sz w:val="18"/>
                <w:szCs w:val="18"/>
              </w:rPr>
              <w:t>特大城市</w:t>
            </w:r>
          </w:p>
        </w:tc>
        <w:tc>
          <w:tcPr>
            <w:tcW w:w="623" w:type="pct"/>
          </w:tcPr>
          <w:p w14:paraId="675C324C">
            <w:pPr>
              <w:spacing w:line="360" w:lineRule="exact"/>
              <w:ind w:firstLine="0" w:firstLineChars="0"/>
              <w:jc w:val="center"/>
              <w:rPr>
                <w:color w:val="auto"/>
                <w:sz w:val="18"/>
                <w:szCs w:val="18"/>
              </w:rPr>
            </w:pPr>
            <w:r>
              <w:rPr>
                <w:color w:val="auto"/>
                <w:sz w:val="18"/>
                <w:szCs w:val="18"/>
              </w:rPr>
              <w:t>Ⅰ型大城市</w:t>
            </w:r>
          </w:p>
        </w:tc>
        <w:tc>
          <w:tcPr>
            <w:tcW w:w="623" w:type="pct"/>
          </w:tcPr>
          <w:p w14:paraId="069A4961">
            <w:pPr>
              <w:spacing w:line="360" w:lineRule="exact"/>
              <w:ind w:firstLine="0" w:firstLineChars="0"/>
              <w:jc w:val="center"/>
              <w:rPr>
                <w:color w:val="auto"/>
                <w:sz w:val="18"/>
                <w:szCs w:val="18"/>
              </w:rPr>
            </w:pPr>
            <w:r>
              <w:rPr>
                <w:color w:val="auto"/>
                <w:sz w:val="18"/>
                <w:szCs w:val="18"/>
              </w:rPr>
              <w:t>Ⅱ型大城市</w:t>
            </w:r>
          </w:p>
        </w:tc>
        <w:tc>
          <w:tcPr>
            <w:tcW w:w="623" w:type="pct"/>
          </w:tcPr>
          <w:p w14:paraId="79D725B4">
            <w:pPr>
              <w:spacing w:line="360" w:lineRule="exact"/>
              <w:ind w:firstLine="0" w:firstLineChars="0"/>
              <w:jc w:val="center"/>
              <w:rPr>
                <w:color w:val="auto"/>
                <w:sz w:val="18"/>
                <w:szCs w:val="18"/>
              </w:rPr>
            </w:pPr>
            <w:r>
              <w:rPr>
                <w:color w:val="auto"/>
                <w:sz w:val="18"/>
                <w:szCs w:val="18"/>
              </w:rPr>
              <w:t>中等城市</w:t>
            </w:r>
          </w:p>
        </w:tc>
        <w:tc>
          <w:tcPr>
            <w:tcW w:w="623" w:type="pct"/>
          </w:tcPr>
          <w:p w14:paraId="7570F0E8">
            <w:pPr>
              <w:spacing w:line="360" w:lineRule="exact"/>
              <w:ind w:firstLine="0" w:firstLineChars="0"/>
              <w:jc w:val="center"/>
              <w:rPr>
                <w:color w:val="auto"/>
                <w:sz w:val="18"/>
                <w:szCs w:val="18"/>
              </w:rPr>
            </w:pPr>
            <w:r>
              <w:rPr>
                <w:color w:val="auto"/>
                <w:sz w:val="18"/>
                <w:szCs w:val="18"/>
              </w:rPr>
              <w:t>Ⅰ型小城市</w:t>
            </w:r>
          </w:p>
        </w:tc>
        <w:tc>
          <w:tcPr>
            <w:tcW w:w="623" w:type="pct"/>
          </w:tcPr>
          <w:p w14:paraId="65CA61C2">
            <w:pPr>
              <w:spacing w:line="360" w:lineRule="exact"/>
              <w:ind w:firstLine="0" w:firstLineChars="0"/>
              <w:jc w:val="center"/>
              <w:rPr>
                <w:color w:val="auto"/>
                <w:sz w:val="18"/>
                <w:szCs w:val="18"/>
              </w:rPr>
            </w:pPr>
            <w:r>
              <w:rPr>
                <w:color w:val="auto"/>
                <w:sz w:val="18"/>
                <w:szCs w:val="18"/>
              </w:rPr>
              <w:t>Ⅱ型小城市</w:t>
            </w:r>
          </w:p>
        </w:tc>
      </w:tr>
      <w:tr w14:paraId="78C10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tcPr>
          <w:p w14:paraId="7725FA0D">
            <w:pPr>
              <w:spacing w:line="360" w:lineRule="exact"/>
              <w:ind w:firstLine="0" w:firstLineChars="0"/>
              <w:jc w:val="center"/>
              <w:rPr>
                <w:color w:val="auto"/>
                <w:sz w:val="18"/>
                <w:szCs w:val="18"/>
              </w:rPr>
            </w:pPr>
            <w:r>
              <w:rPr>
                <w:color w:val="auto"/>
                <w:sz w:val="18"/>
                <w:szCs w:val="18"/>
              </w:rPr>
              <w:t>一区</w:t>
            </w:r>
          </w:p>
        </w:tc>
        <w:tc>
          <w:tcPr>
            <w:tcW w:w="632" w:type="pct"/>
          </w:tcPr>
          <w:p w14:paraId="119052AE">
            <w:pPr>
              <w:spacing w:line="360" w:lineRule="exact"/>
              <w:ind w:firstLine="0" w:firstLineChars="0"/>
              <w:jc w:val="center"/>
              <w:rPr>
                <w:color w:val="auto"/>
                <w:sz w:val="18"/>
                <w:szCs w:val="18"/>
              </w:rPr>
            </w:pPr>
            <w:r>
              <w:rPr>
                <w:color w:val="auto"/>
                <w:sz w:val="18"/>
                <w:szCs w:val="18"/>
              </w:rPr>
              <w:t>210-400</w:t>
            </w:r>
          </w:p>
        </w:tc>
        <w:tc>
          <w:tcPr>
            <w:tcW w:w="713" w:type="pct"/>
          </w:tcPr>
          <w:p w14:paraId="19A7DE34">
            <w:pPr>
              <w:spacing w:line="360" w:lineRule="exact"/>
              <w:ind w:firstLine="0" w:firstLineChars="0"/>
              <w:jc w:val="center"/>
              <w:rPr>
                <w:color w:val="auto"/>
                <w:sz w:val="18"/>
                <w:szCs w:val="18"/>
              </w:rPr>
            </w:pPr>
            <w:r>
              <w:rPr>
                <w:color w:val="auto"/>
                <w:sz w:val="18"/>
                <w:szCs w:val="18"/>
              </w:rPr>
              <w:t>180-360</w:t>
            </w:r>
          </w:p>
        </w:tc>
        <w:tc>
          <w:tcPr>
            <w:tcW w:w="623" w:type="pct"/>
          </w:tcPr>
          <w:p w14:paraId="23BDFDC1">
            <w:pPr>
              <w:spacing w:line="360" w:lineRule="exact"/>
              <w:ind w:firstLine="0" w:firstLineChars="0"/>
              <w:jc w:val="center"/>
              <w:rPr>
                <w:color w:val="auto"/>
                <w:sz w:val="18"/>
                <w:szCs w:val="18"/>
              </w:rPr>
            </w:pPr>
            <w:r>
              <w:rPr>
                <w:color w:val="auto"/>
                <w:sz w:val="18"/>
                <w:szCs w:val="18"/>
              </w:rPr>
              <w:t>150-330</w:t>
            </w:r>
          </w:p>
        </w:tc>
        <w:tc>
          <w:tcPr>
            <w:tcW w:w="623" w:type="pct"/>
          </w:tcPr>
          <w:p w14:paraId="6DDCEE0E">
            <w:pPr>
              <w:spacing w:line="360" w:lineRule="exact"/>
              <w:ind w:firstLine="0" w:firstLineChars="0"/>
              <w:jc w:val="center"/>
              <w:rPr>
                <w:color w:val="auto"/>
                <w:sz w:val="18"/>
                <w:szCs w:val="18"/>
              </w:rPr>
            </w:pPr>
            <w:r>
              <w:rPr>
                <w:color w:val="auto"/>
                <w:sz w:val="18"/>
                <w:szCs w:val="18"/>
              </w:rPr>
              <w:t>140-300</w:t>
            </w:r>
          </w:p>
        </w:tc>
        <w:tc>
          <w:tcPr>
            <w:tcW w:w="623" w:type="pct"/>
          </w:tcPr>
          <w:p w14:paraId="5AFA7B29">
            <w:pPr>
              <w:spacing w:line="360" w:lineRule="exact"/>
              <w:ind w:firstLine="0" w:firstLineChars="0"/>
              <w:jc w:val="center"/>
              <w:rPr>
                <w:color w:val="auto"/>
                <w:sz w:val="18"/>
                <w:szCs w:val="18"/>
              </w:rPr>
            </w:pPr>
            <w:r>
              <w:rPr>
                <w:color w:val="auto"/>
                <w:sz w:val="18"/>
                <w:szCs w:val="18"/>
              </w:rPr>
              <w:t>130-280</w:t>
            </w:r>
          </w:p>
        </w:tc>
        <w:tc>
          <w:tcPr>
            <w:tcW w:w="623" w:type="pct"/>
          </w:tcPr>
          <w:p w14:paraId="05E7D48B">
            <w:pPr>
              <w:spacing w:line="360" w:lineRule="exact"/>
              <w:ind w:firstLine="0" w:firstLineChars="0"/>
              <w:jc w:val="center"/>
              <w:rPr>
                <w:color w:val="auto"/>
                <w:sz w:val="18"/>
                <w:szCs w:val="18"/>
              </w:rPr>
            </w:pPr>
            <w:r>
              <w:rPr>
                <w:color w:val="auto"/>
                <w:sz w:val="18"/>
                <w:szCs w:val="18"/>
              </w:rPr>
              <w:t>120-260</w:t>
            </w:r>
          </w:p>
        </w:tc>
        <w:tc>
          <w:tcPr>
            <w:tcW w:w="623" w:type="pct"/>
          </w:tcPr>
          <w:p w14:paraId="3916B9E2">
            <w:pPr>
              <w:spacing w:line="360" w:lineRule="exact"/>
              <w:ind w:firstLine="0" w:firstLineChars="0"/>
              <w:jc w:val="center"/>
              <w:rPr>
                <w:color w:val="auto"/>
                <w:sz w:val="18"/>
                <w:szCs w:val="18"/>
              </w:rPr>
            </w:pPr>
            <w:r>
              <w:rPr>
                <w:color w:val="auto"/>
                <w:sz w:val="18"/>
                <w:szCs w:val="18"/>
              </w:rPr>
              <w:t>110-240</w:t>
            </w:r>
          </w:p>
        </w:tc>
      </w:tr>
      <w:tr w14:paraId="66CF4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tcPr>
          <w:p w14:paraId="2B5FAD50">
            <w:pPr>
              <w:spacing w:line="360" w:lineRule="exact"/>
              <w:ind w:firstLine="0" w:firstLineChars="0"/>
              <w:jc w:val="center"/>
              <w:rPr>
                <w:color w:val="auto"/>
                <w:sz w:val="18"/>
                <w:szCs w:val="18"/>
              </w:rPr>
            </w:pPr>
            <w:r>
              <w:rPr>
                <w:color w:val="auto"/>
                <w:sz w:val="18"/>
                <w:szCs w:val="18"/>
              </w:rPr>
              <w:t>二区</w:t>
            </w:r>
          </w:p>
        </w:tc>
        <w:tc>
          <w:tcPr>
            <w:tcW w:w="632" w:type="pct"/>
          </w:tcPr>
          <w:p w14:paraId="60519C19">
            <w:pPr>
              <w:spacing w:line="360" w:lineRule="exact"/>
              <w:ind w:firstLine="0" w:firstLineChars="0"/>
              <w:jc w:val="center"/>
              <w:rPr>
                <w:color w:val="auto"/>
                <w:sz w:val="18"/>
                <w:szCs w:val="18"/>
              </w:rPr>
            </w:pPr>
            <w:r>
              <w:rPr>
                <w:color w:val="auto"/>
                <w:sz w:val="18"/>
                <w:szCs w:val="18"/>
              </w:rPr>
              <w:t>150-230</w:t>
            </w:r>
          </w:p>
        </w:tc>
        <w:tc>
          <w:tcPr>
            <w:tcW w:w="713" w:type="pct"/>
          </w:tcPr>
          <w:p w14:paraId="5DBB436B">
            <w:pPr>
              <w:spacing w:line="360" w:lineRule="exact"/>
              <w:ind w:firstLine="0" w:firstLineChars="0"/>
              <w:jc w:val="center"/>
              <w:rPr>
                <w:color w:val="auto"/>
                <w:sz w:val="18"/>
                <w:szCs w:val="18"/>
              </w:rPr>
            </w:pPr>
            <w:r>
              <w:rPr>
                <w:color w:val="auto"/>
                <w:sz w:val="18"/>
                <w:szCs w:val="18"/>
              </w:rPr>
              <w:t>130-210</w:t>
            </w:r>
          </w:p>
        </w:tc>
        <w:tc>
          <w:tcPr>
            <w:tcW w:w="623" w:type="pct"/>
          </w:tcPr>
          <w:p w14:paraId="3F32846C">
            <w:pPr>
              <w:spacing w:line="360" w:lineRule="exact"/>
              <w:ind w:firstLine="0" w:firstLineChars="0"/>
              <w:jc w:val="center"/>
              <w:rPr>
                <w:color w:val="auto"/>
                <w:sz w:val="18"/>
                <w:szCs w:val="18"/>
              </w:rPr>
            </w:pPr>
            <w:r>
              <w:rPr>
                <w:color w:val="auto"/>
                <w:sz w:val="18"/>
                <w:szCs w:val="18"/>
              </w:rPr>
              <w:t>110-190</w:t>
            </w:r>
          </w:p>
        </w:tc>
        <w:tc>
          <w:tcPr>
            <w:tcW w:w="623" w:type="pct"/>
          </w:tcPr>
          <w:p w14:paraId="4766ABD7">
            <w:pPr>
              <w:spacing w:line="360" w:lineRule="exact"/>
              <w:ind w:firstLine="0" w:firstLineChars="0"/>
              <w:jc w:val="center"/>
              <w:rPr>
                <w:color w:val="auto"/>
                <w:sz w:val="18"/>
                <w:szCs w:val="18"/>
              </w:rPr>
            </w:pPr>
            <w:r>
              <w:rPr>
                <w:color w:val="auto"/>
                <w:sz w:val="18"/>
                <w:szCs w:val="18"/>
              </w:rPr>
              <w:t>90-170</w:t>
            </w:r>
          </w:p>
        </w:tc>
        <w:tc>
          <w:tcPr>
            <w:tcW w:w="623" w:type="pct"/>
          </w:tcPr>
          <w:p w14:paraId="73A4F2EC">
            <w:pPr>
              <w:spacing w:line="360" w:lineRule="exact"/>
              <w:ind w:firstLine="0" w:firstLineChars="0"/>
              <w:jc w:val="center"/>
              <w:rPr>
                <w:color w:val="auto"/>
                <w:sz w:val="18"/>
                <w:szCs w:val="18"/>
              </w:rPr>
            </w:pPr>
            <w:r>
              <w:rPr>
                <w:color w:val="auto"/>
                <w:sz w:val="18"/>
                <w:szCs w:val="18"/>
              </w:rPr>
              <w:t>80-160</w:t>
            </w:r>
          </w:p>
        </w:tc>
        <w:tc>
          <w:tcPr>
            <w:tcW w:w="623" w:type="pct"/>
          </w:tcPr>
          <w:p w14:paraId="5448C141">
            <w:pPr>
              <w:spacing w:line="360" w:lineRule="exact"/>
              <w:ind w:firstLine="0" w:firstLineChars="0"/>
              <w:jc w:val="center"/>
              <w:rPr>
                <w:color w:val="auto"/>
                <w:sz w:val="18"/>
                <w:szCs w:val="18"/>
              </w:rPr>
            </w:pPr>
            <w:r>
              <w:rPr>
                <w:color w:val="auto"/>
                <w:sz w:val="18"/>
                <w:szCs w:val="18"/>
              </w:rPr>
              <w:t>70-150</w:t>
            </w:r>
          </w:p>
        </w:tc>
        <w:tc>
          <w:tcPr>
            <w:tcW w:w="623" w:type="pct"/>
          </w:tcPr>
          <w:p w14:paraId="08D9F8CB">
            <w:pPr>
              <w:spacing w:line="360" w:lineRule="exact"/>
              <w:ind w:firstLine="0" w:firstLineChars="0"/>
              <w:jc w:val="center"/>
              <w:rPr>
                <w:color w:val="auto"/>
                <w:sz w:val="18"/>
                <w:szCs w:val="18"/>
              </w:rPr>
            </w:pPr>
            <w:r>
              <w:rPr>
                <w:color w:val="auto"/>
                <w:sz w:val="18"/>
                <w:szCs w:val="18"/>
              </w:rPr>
              <w:t>60-140</w:t>
            </w:r>
          </w:p>
        </w:tc>
      </w:tr>
      <w:tr w14:paraId="50D3B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tcPr>
          <w:p w14:paraId="0FD9D34C">
            <w:pPr>
              <w:spacing w:line="360" w:lineRule="exact"/>
              <w:ind w:firstLine="0" w:firstLineChars="0"/>
              <w:jc w:val="center"/>
              <w:rPr>
                <w:color w:val="auto"/>
                <w:sz w:val="18"/>
                <w:szCs w:val="18"/>
              </w:rPr>
            </w:pPr>
            <w:r>
              <w:rPr>
                <w:color w:val="auto"/>
                <w:sz w:val="18"/>
                <w:szCs w:val="18"/>
              </w:rPr>
              <w:t>三区</w:t>
            </w:r>
          </w:p>
        </w:tc>
        <w:tc>
          <w:tcPr>
            <w:tcW w:w="632" w:type="pct"/>
          </w:tcPr>
          <w:p w14:paraId="7F12C1A2">
            <w:pPr>
              <w:spacing w:line="360" w:lineRule="exact"/>
              <w:ind w:firstLine="0" w:firstLineChars="0"/>
              <w:jc w:val="center"/>
              <w:rPr>
                <w:color w:val="auto"/>
                <w:sz w:val="18"/>
                <w:szCs w:val="18"/>
              </w:rPr>
            </w:pPr>
            <w:r>
              <w:rPr>
                <w:color w:val="auto"/>
                <w:sz w:val="18"/>
                <w:szCs w:val="18"/>
              </w:rPr>
              <w:t>-</w:t>
            </w:r>
          </w:p>
        </w:tc>
        <w:tc>
          <w:tcPr>
            <w:tcW w:w="713" w:type="pct"/>
          </w:tcPr>
          <w:p w14:paraId="426B095C">
            <w:pPr>
              <w:spacing w:line="360" w:lineRule="exact"/>
              <w:ind w:firstLine="0" w:firstLineChars="0"/>
              <w:jc w:val="center"/>
              <w:rPr>
                <w:color w:val="auto"/>
                <w:sz w:val="18"/>
                <w:szCs w:val="18"/>
              </w:rPr>
            </w:pPr>
            <w:r>
              <w:rPr>
                <w:color w:val="auto"/>
                <w:sz w:val="18"/>
                <w:szCs w:val="18"/>
              </w:rPr>
              <w:t>-</w:t>
            </w:r>
          </w:p>
        </w:tc>
        <w:tc>
          <w:tcPr>
            <w:tcW w:w="623" w:type="pct"/>
          </w:tcPr>
          <w:p w14:paraId="3FAA105A">
            <w:pPr>
              <w:spacing w:line="360" w:lineRule="exact"/>
              <w:ind w:firstLine="0" w:firstLineChars="0"/>
              <w:jc w:val="center"/>
              <w:rPr>
                <w:color w:val="auto"/>
                <w:sz w:val="18"/>
                <w:szCs w:val="18"/>
              </w:rPr>
            </w:pPr>
            <w:r>
              <w:rPr>
                <w:color w:val="auto"/>
                <w:sz w:val="18"/>
                <w:szCs w:val="18"/>
              </w:rPr>
              <w:t>-</w:t>
            </w:r>
          </w:p>
        </w:tc>
        <w:tc>
          <w:tcPr>
            <w:tcW w:w="623" w:type="pct"/>
          </w:tcPr>
          <w:p w14:paraId="11CB5A5D">
            <w:pPr>
              <w:spacing w:line="360" w:lineRule="exact"/>
              <w:ind w:firstLine="0" w:firstLineChars="0"/>
              <w:jc w:val="center"/>
              <w:rPr>
                <w:color w:val="auto"/>
                <w:sz w:val="18"/>
                <w:szCs w:val="18"/>
              </w:rPr>
            </w:pPr>
            <w:r>
              <w:rPr>
                <w:color w:val="auto"/>
                <w:sz w:val="18"/>
                <w:szCs w:val="18"/>
              </w:rPr>
              <w:t>90-160</w:t>
            </w:r>
          </w:p>
        </w:tc>
        <w:tc>
          <w:tcPr>
            <w:tcW w:w="623" w:type="pct"/>
          </w:tcPr>
          <w:p w14:paraId="65BBFBFE">
            <w:pPr>
              <w:spacing w:line="360" w:lineRule="exact"/>
              <w:ind w:firstLine="0" w:firstLineChars="0"/>
              <w:jc w:val="center"/>
              <w:rPr>
                <w:color w:val="auto"/>
                <w:sz w:val="18"/>
                <w:szCs w:val="18"/>
              </w:rPr>
            </w:pPr>
            <w:r>
              <w:rPr>
                <w:color w:val="auto"/>
                <w:sz w:val="18"/>
                <w:szCs w:val="18"/>
              </w:rPr>
              <w:t>80-150</w:t>
            </w:r>
          </w:p>
        </w:tc>
        <w:tc>
          <w:tcPr>
            <w:tcW w:w="623" w:type="pct"/>
          </w:tcPr>
          <w:p w14:paraId="3EECC107">
            <w:pPr>
              <w:spacing w:line="360" w:lineRule="exact"/>
              <w:ind w:firstLine="0" w:firstLineChars="0"/>
              <w:jc w:val="center"/>
              <w:rPr>
                <w:color w:val="auto"/>
                <w:sz w:val="18"/>
                <w:szCs w:val="18"/>
              </w:rPr>
            </w:pPr>
            <w:r>
              <w:rPr>
                <w:color w:val="auto"/>
                <w:sz w:val="18"/>
                <w:szCs w:val="18"/>
              </w:rPr>
              <w:t>70-140</w:t>
            </w:r>
          </w:p>
        </w:tc>
        <w:tc>
          <w:tcPr>
            <w:tcW w:w="623" w:type="pct"/>
          </w:tcPr>
          <w:p w14:paraId="2787E518">
            <w:pPr>
              <w:spacing w:line="360" w:lineRule="exact"/>
              <w:ind w:firstLine="0" w:firstLineChars="0"/>
              <w:jc w:val="center"/>
              <w:rPr>
                <w:color w:val="auto"/>
                <w:sz w:val="18"/>
                <w:szCs w:val="18"/>
              </w:rPr>
            </w:pPr>
            <w:r>
              <w:rPr>
                <w:color w:val="auto"/>
                <w:sz w:val="18"/>
                <w:szCs w:val="18"/>
              </w:rPr>
              <w:t>60-130</w:t>
            </w:r>
          </w:p>
        </w:tc>
      </w:tr>
    </w:tbl>
    <w:p w14:paraId="3E4E4728">
      <w:pPr>
        <w:ind w:firstLine="360"/>
        <w:rPr>
          <w:color w:val="auto"/>
          <w:sz w:val="18"/>
          <w:szCs w:val="18"/>
        </w:rPr>
      </w:pPr>
      <w:r>
        <w:rPr>
          <w:color w:val="auto"/>
          <w:sz w:val="18"/>
          <w:szCs w:val="18"/>
        </w:rPr>
        <w:t>注：1.超大城市指常住人口1000万及以上的城市，特大城市指城区常住人口500万以上1000万以下的城市，Ⅰ型大城市至城区常住人口300万以上500万以下的城市，Ⅱ型大城市至城区常住人口100万以上300万以下的城市，中型城市至城区常住人口50万以上100万以下的城市，Ⅰ型小城市指城区常住人口20万以上50万以下的城市，Ⅱ型小城市指城区常住人口20万以下的城市。以上包括本数，以下不包括本数。</w:t>
      </w:r>
    </w:p>
    <w:p w14:paraId="7E6EA4BB">
      <w:pPr>
        <w:ind w:firstLine="720" w:firstLineChars="400"/>
        <w:rPr>
          <w:color w:val="auto"/>
          <w:sz w:val="18"/>
          <w:szCs w:val="18"/>
        </w:rPr>
      </w:pPr>
      <w:r>
        <w:rPr>
          <w:color w:val="auto"/>
          <w:sz w:val="18"/>
          <w:szCs w:val="18"/>
        </w:rPr>
        <w:t>2.一区包括湖南、湖北、江西、浙江、福建、广东、广西、海南、上海、江苏、安徽。二区包括重庆、四川、贵州、云南、黑龙江、吉林、辽宁、北京、天津、河北、山西、河南、山东、宁夏、陕西、内蒙古河套以东和甘肃黄河以东的地区，三区包括：新疆、青海、西藏、内蒙古河套以西和甘肃黄河以西的地区。</w:t>
      </w:r>
    </w:p>
    <w:p w14:paraId="5EBE7DE5">
      <w:pPr>
        <w:ind w:firstLine="720" w:firstLineChars="400"/>
        <w:rPr>
          <w:color w:val="auto"/>
          <w:sz w:val="18"/>
          <w:szCs w:val="18"/>
        </w:rPr>
      </w:pPr>
      <w:r>
        <w:rPr>
          <w:color w:val="auto"/>
          <w:sz w:val="18"/>
          <w:szCs w:val="18"/>
        </w:rPr>
        <w:t>3.经济开发区和特区城市根据用水实际情况，用水定额可酌情增加</w:t>
      </w:r>
    </w:p>
    <w:p w14:paraId="21050DD4">
      <w:pPr>
        <w:adjustRightInd w:val="0"/>
        <w:ind w:firstLine="720" w:firstLineChars="400"/>
        <w:rPr>
          <w:color w:val="auto"/>
          <w:sz w:val="18"/>
          <w:szCs w:val="18"/>
          <w:lang w:val="zh-CN"/>
        </w:rPr>
      </w:pPr>
      <w:r>
        <w:rPr>
          <w:color w:val="auto"/>
          <w:sz w:val="18"/>
          <w:szCs w:val="18"/>
          <w:lang w:val="zh-CN"/>
        </w:rPr>
        <w:t>4.当采用海水或污水再生水等作为冲厕用水时，用水定额相应减少。</w:t>
      </w:r>
    </w:p>
    <w:p w14:paraId="676E8668">
      <w:pPr>
        <w:spacing w:line="560" w:lineRule="exact"/>
        <w:ind w:firstLine="480"/>
        <w:rPr>
          <w:color w:val="auto"/>
        </w:rPr>
      </w:pPr>
      <w:r>
        <w:rPr>
          <w:color w:val="auto"/>
        </w:rPr>
        <w:t>九龙坡区位于重庆主城区，属于二区超大城市，平均日综合生活用水量定额为150～230L/（人·d）。与此同时，参考重庆市水利局、重庆市城市管理委员会印发的《重庆市城市生活用水定额（2017年修订版）》（渝水[2018]66号），结合九龙坡区当前实际水平、节水技术应用及经济发展趋势，确定规划水平年2025年居民综合生活用水量指标为150L/cap·d，日变化系数取1.2。</w:t>
      </w:r>
    </w:p>
    <w:p w14:paraId="07869BBC">
      <w:pPr>
        <w:ind w:firstLine="482"/>
        <w:rPr>
          <w:b/>
          <w:bCs/>
          <w:color w:val="auto"/>
        </w:rPr>
      </w:pPr>
      <w:r>
        <w:rPr>
          <w:b/>
          <w:bCs/>
          <w:color w:val="auto"/>
        </w:rPr>
        <w:t>（2）工业企业用水定额</w:t>
      </w:r>
    </w:p>
    <w:p w14:paraId="2B25A227">
      <w:pPr>
        <w:adjustRightInd w:val="0"/>
        <w:ind w:firstLine="480"/>
        <w:rPr>
          <w:color w:val="auto"/>
        </w:rPr>
      </w:pPr>
      <w:r>
        <w:rPr>
          <w:color w:val="auto"/>
        </w:rPr>
        <w:t>根据业主提供的资料，现状年园区工业增加值为67.8亿元，其中A、B、C区的区工业增加值分别为3.82亿元、37.91亿元、26.07亿元。根据园区产业发展规划，考虑6%增长率，预计2025年A、B、C区工业增加值分别为5.21亿元、51.65亿元、35.52亿元。</w:t>
      </w:r>
    </w:p>
    <w:p w14:paraId="0E98EA04">
      <w:pPr>
        <w:ind w:firstLine="480"/>
        <w:rPr>
          <w:color w:val="auto"/>
        </w:rPr>
      </w:pPr>
      <w:r>
        <w:rPr>
          <w:color w:val="auto"/>
        </w:rPr>
        <w:t>根据现状用水水平分析，九龙工业园区A区、B区、C区万元工业增加值用水定额均为20m3/万元。根据《重庆市九龙坡区“十四五”节约用水规划》，规划年随着用水效率进一步提高，2025年万元工业增加值用水定额较2020年降低5%，因此本次规划万元工业增加值用水定额为19m</w:t>
      </w:r>
      <w:r>
        <w:rPr>
          <w:color w:val="auto"/>
          <w:vertAlign w:val="superscript"/>
        </w:rPr>
        <w:t>3</w:t>
      </w:r>
      <w:r>
        <w:rPr>
          <w:color w:val="auto"/>
        </w:rPr>
        <w:t>/万元。</w:t>
      </w:r>
    </w:p>
    <w:p w14:paraId="5135DD45">
      <w:pPr>
        <w:ind w:firstLine="482"/>
        <w:rPr>
          <w:b/>
          <w:bCs/>
          <w:color w:val="auto"/>
        </w:rPr>
      </w:pPr>
      <w:r>
        <w:rPr>
          <w:b/>
          <w:bCs/>
          <w:color w:val="auto"/>
        </w:rPr>
        <w:t>（3）浇洒道路和绿地用水量</w:t>
      </w:r>
    </w:p>
    <w:p w14:paraId="69BA27DF">
      <w:pPr>
        <w:spacing w:line="560" w:lineRule="exact"/>
        <w:ind w:firstLine="480"/>
        <w:rPr>
          <w:color w:val="auto"/>
        </w:rPr>
      </w:pPr>
      <w:r>
        <w:rPr>
          <w:color w:val="auto"/>
        </w:rPr>
        <w:t>根据《室外给水设计标准》GB50013-2018的4.0.6条，“浇洒道路用水可按浇洒面积乘以2.0～3.0L/m</w:t>
      </w:r>
      <w:r>
        <w:rPr>
          <w:color w:val="auto"/>
          <w:vertAlign w:val="superscript"/>
        </w:rPr>
        <w:t>2</w:t>
      </w:r>
      <w:r>
        <w:rPr>
          <w:color w:val="auto"/>
        </w:rPr>
        <w:t>.d计算；浇洒绿地用水可按浇洒面积乘以1.0～3.0L/m</w:t>
      </w:r>
      <w:r>
        <w:rPr>
          <w:color w:val="auto"/>
          <w:vertAlign w:val="superscript"/>
        </w:rPr>
        <w:t>2</w:t>
      </w:r>
      <w:r>
        <w:rPr>
          <w:color w:val="auto"/>
        </w:rPr>
        <w:t>.d计算。”本阶段道路浇洒定额取值2.0L/m</w:t>
      </w:r>
      <w:r>
        <w:rPr>
          <w:color w:val="auto"/>
          <w:vertAlign w:val="superscript"/>
        </w:rPr>
        <w:t>2</w:t>
      </w:r>
      <w:r>
        <w:rPr>
          <w:color w:val="auto"/>
        </w:rPr>
        <w:t>.d，绿地浇洒定额取值1.0L/m</w:t>
      </w:r>
      <w:r>
        <w:rPr>
          <w:color w:val="auto"/>
          <w:vertAlign w:val="superscript"/>
        </w:rPr>
        <w:t>2</w:t>
      </w:r>
      <w:r>
        <w:rPr>
          <w:color w:val="auto"/>
        </w:rPr>
        <w:t>.d。</w:t>
      </w:r>
    </w:p>
    <w:p w14:paraId="6081C98A">
      <w:pPr>
        <w:ind w:firstLine="480"/>
        <w:rPr>
          <w:color w:val="auto"/>
        </w:rPr>
      </w:pPr>
      <w:r>
        <w:rPr>
          <w:color w:val="auto"/>
        </w:rPr>
        <w:t>（4）管网损失水量</w:t>
      </w:r>
    </w:p>
    <w:p w14:paraId="2675D347">
      <w:pPr>
        <w:ind w:firstLine="480"/>
        <w:rPr>
          <w:color w:val="auto"/>
        </w:rPr>
      </w:pPr>
      <w:r>
        <w:rPr>
          <w:color w:val="auto"/>
        </w:rPr>
        <w:t>根据《室外给水设计标准》（GB50013-2018）的4.0.7条，“城镇配水管网的漏损水量宜按本规范第4.0.1条的 1～3 款水量之和的10%计算，当单位管长供水量小或供水压力高时可适当增加”。同时根据九龙坡区供水统计数据，结合《</w:t>
      </w:r>
      <w:r>
        <w:rPr>
          <w:color w:val="auto"/>
          <w:szCs w:val="24"/>
        </w:rPr>
        <w:t>2019年度九龙坡区水资源公报统计报表</w:t>
      </w:r>
      <w:r>
        <w:rPr>
          <w:color w:val="auto"/>
        </w:rPr>
        <w:t>》，评价区现状自来水厂供水管网漏失率为9.95%，预计规划年2025年供水管网漏失率控制到9%。</w:t>
      </w:r>
    </w:p>
    <w:p w14:paraId="7E9311D2">
      <w:pPr>
        <w:numPr>
          <w:ilvl w:val="0"/>
          <w:numId w:val="4"/>
        </w:numPr>
        <w:ind w:firstLine="480"/>
        <w:rPr>
          <w:color w:val="auto"/>
        </w:rPr>
      </w:pPr>
      <w:r>
        <w:rPr>
          <w:color w:val="auto"/>
        </w:rPr>
        <w:t>未预见水量</w:t>
      </w:r>
    </w:p>
    <w:p w14:paraId="21BDEC1F">
      <w:pPr>
        <w:ind w:firstLine="480"/>
        <w:rPr>
          <w:color w:val="auto"/>
        </w:rPr>
      </w:pPr>
      <w:r>
        <w:rPr>
          <w:color w:val="auto"/>
        </w:rPr>
        <w:t>根据《室外给水设计标准》（GB50013-2018）的 4.0.8 条，“未预见水量应根据水量预测时难以预见因素的程度确定，宜采用本规范第4.0.1 调的1～4 款水量之和的8%～ 12%”，本阶段取其中值10%。</w:t>
      </w:r>
    </w:p>
    <w:p w14:paraId="36FA2DC5">
      <w:pPr>
        <w:ind w:firstLine="480"/>
        <w:rPr>
          <w:color w:val="auto"/>
        </w:rPr>
      </w:pPr>
      <w:r>
        <w:rPr>
          <w:color w:val="auto"/>
        </w:rPr>
        <w:t>（6）水厂自用水</w:t>
      </w:r>
    </w:p>
    <w:p w14:paraId="3B3D9548">
      <w:pPr>
        <w:ind w:firstLine="480"/>
        <w:rPr>
          <w:color w:val="auto"/>
        </w:rPr>
      </w:pPr>
      <w:r>
        <w:rPr>
          <w:color w:val="auto"/>
        </w:rPr>
        <w:t>根据《室外给水设计规范》（GB50013-2006）的 9.1.2 条，“水厂自用水率应根据原水水质、所采用的处理工艺和构筑物类型等因素通过计算确定，一般可采用设计水量的 5%～10%”。水厂自用水为水厂耗水，不计入规划区用水。</w:t>
      </w:r>
    </w:p>
    <w:p w14:paraId="4BD01C26">
      <w:pPr>
        <w:ind w:firstLine="480"/>
        <w:rPr>
          <w:color w:val="auto"/>
        </w:rPr>
      </w:pPr>
      <w:r>
        <w:rPr>
          <w:color w:val="auto"/>
        </w:rPr>
        <w:t>（7）合计总需水量</w:t>
      </w:r>
    </w:p>
    <w:p w14:paraId="212006D0">
      <w:pPr>
        <w:ind w:firstLine="480"/>
        <w:rPr>
          <w:color w:val="auto"/>
        </w:rPr>
      </w:pPr>
      <w:r>
        <w:rPr>
          <w:color w:val="auto"/>
        </w:rPr>
        <w:t>根据前文分析统计的规划区人口、规划区用地情况、水量计算方法及定额得到九龙工业园区A、B、C三区的总的需水量分别为581.45万m</w:t>
      </w:r>
      <w:r>
        <w:rPr>
          <w:color w:val="auto"/>
          <w:vertAlign w:val="superscript"/>
        </w:rPr>
        <w:t>3</w:t>
      </w:r>
      <w:r>
        <w:rPr>
          <w:color w:val="auto"/>
        </w:rPr>
        <w:t>、1770.09万m</w:t>
      </w:r>
      <w:r>
        <w:rPr>
          <w:color w:val="auto"/>
          <w:vertAlign w:val="superscript"/>
        </w:rPr>
        <w:t>3</w:t>
      </w:r>
      <w:r>
        <w:rPr>
          <w:color w:val="auto"/>
        </w:rPr>
        <w:t>、1334.42万m</w:t>
      </w:r>
      <w:r>
        <w:rPr>
          <w:color w:val="auto"/>
          <w:vertAlign w:val="superscript"/>
        </w:rPr>
        <w:t>3</w:t>
      </w:r>
      <w:r>
        <w:rPr>
          <w:color w:val="auto"/>
        </w:rPr>
        <w:t>。日变化系数取 1.2，则A、B、C三区最高日需水量分别为1.91万 m³/d、5.82万 m³/d、4.39万 m³/d。</w:t>
      </w:r>
    </w:p>
    <w:p w14:paraId="052723F7">
      <w:pPr>
        <w:ind w:firstLine="480"/>
        <w:rPr>
          <w:color w:val="auto"/>
        </w:rPr>
      </w:pPr>
      <w:r>
        <w:rPr>
          <w:color w:val="auto"/>
        </w:rPr>
        <w:t>整个园区总的需水量为3685.95万m</w:t>
      </w:r>
      <w:r>
        <w:rPr>
          <w:color w:val="auto"/>
          <w:vertAlign w:val="superscript"/>
        </w:rPr>
        <w:t>3</w:t>
      </w:r>
      <w:r>
        <w:rPr>
          <w:color w:val="auto"/>
        </w:rPr>
        <w:t>。日变化系数取 1.2，最大日需水量为12.12万m³/d。</w:t>
      </w:r>
    </w:p>
    <w:p w14:paraId="57E7184B">
      <w:pPr>
        <w:ind w:firstLine="480"/>
        <w:rPr>
          <w:color w:val="auto"/>
        </w:rPr>
      </w:pPr>
      <w:r>
        <w:rPr>
          <w:color w:val="auto"/>
        </w:rPr>
        <w:t>具体计算详见表4.3-2、表4.3-3、表4.3-4、表4.3-5。</w:t>
      </w:r>
    </w:p>
    <w:p w14:paraId="2EF6D6ED">
      <w:pPr>
        <w:ind w:firstLine="0" w:firstLineChars="0"/>
        <w:jc w:val="left"/>
        <w:rPr>
          <w:b/>
          <w:color w:val="auto"/>
        </w:rPr>
      </w:pPr>
      <w:r>
        <w:rPr>
          <w:b/>
          <w:color w:val="auto"/>
        </w:rPr>
        <w:t>表4.3-2         A区规划水平年2025年需水量预测表（分类指标法）</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45"/>
        <w:gridCol w:w="1712"/>
        <w:gridCol w:w="1491"/>
        <w:gridCol w:w="1404"/>
        <w:gridCol w:w="1249"/>
        <w:gridCol w:w="1075"/>
        <w:gridCol w:w="1236"/>
      </w:tblGrid>
      <w:tr w14:paraId="5A9D07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vMerge w:val="restart"/>
            <w:tcBorders>
              <w:tl2br w:val="nil"/>
              <w:tr2bl w:val="nil"/>
            </w:tcBorders>
            <w:shd w:val="clear" w:color="auto" w:fill="auto"/>
            <w:vAlign w:val="center"/>
          </w:tcPr>
          <w:p w14:paraId="6C28F16D">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939" w:type="pct"/>
            <w:vMerge w:val="restart"/>
            <w:tcBorders>
              <w:tl2br w:val="nil"/>
              <w:tr2bl w:val="nil"/>
            </w:tcBorders>
            <w:shd w:val="clear" w:color="auto" w:fill="auto"/>
            <w:vAlign w:val="center"/>
          </w:tcPr>
          <w:p w14:paraId="29BD5B38">
            <w:pPr>
              <w:widowControl/>
              <w:spacing w:line="240" w:lineRule="auto"/>
              <w:ind w:firstLine="0" w:firstLineChars="0"/>
              <w:jc w:val="center"/>
              <w:textAlignment w:val="center"/>
              <w:rPr>
                <w:color w:val="auto"/>
                <w:sz w:val="21"/>
                <w:szCs w:val="21"/>
                <w:lang w:bidi="ar"/>
              </w:rPr>
            </w:pPr>
            <w:r>
              <w:rPr>
                <w:color w:val="auto"/>
                <w:sz w:val="21"/>
                <w:szCs w:val="21"/>
                <w:lang w:bidi="ar"/>
              </w:rPr>
              <w:t>项目</w:t>
            </w:r>
          </w:p>
        </w:tc>
        <w:tc>
          <w:tcPr>
            <w:tcW w:w="1588" w:type="pct"/>
            <w:gridSpan w:val="2"/>
            <w:tcBorders>
              <w:tl2br w:val="nil"/>
              <w:tr2bl w:val="nil"/>
            </w:tcBorders>
            <w:shd w:val="clear" w:color="auto" w:fill="auto"/>
            <w:vAlign w:val="center"/>
          </w:tcPr>
          <w:p w14:paraId="5569DD13">
            <w:pPr>
              <w:widowControl/>
              <w:spacing w:line="240" w:lineRule="auto"/>
              <w:ind w:firstLine="0" w:firstLineChars="0"/>
              <w:jc w:val="center"/>
              <w:textAlignment w:val="center"/>
              <w:rPr>
                <w:color w:val="auto"/>
                <w:sz w:val="21"/>
                <w:szCs w:val="21"/>
                <w:lang w:bidi="ar"/>
              </w:rPr>
            </w:pPr>
            <w:r>
              <w:rPr>
                <w:color w:val="auto"/>
                <w:sz w:val="21"/>
                <w:szCs w:val="21"/>
                <w:lang w:bidi="ar"/>
              </w:rPr>
              <w:t>定额及标准</w:t>
            </w:r>
          </w:p>
        </w:tc>
        <w:tc>
          <w:tcPr>
            <w:tcW w:w="1274" w:type="pct"/>
            <w:gridSpan w:val="2"/>
            <w:tcBorders>
              <w:tl2br w:val="nil"/>
              <w:tr2bl w:val="nil"/>
            </w:tcBorders>
            <w:shd w:val="clear" w:color="auto" w:fill="auto"/>
            <w:vAlign w:val="center"/>
          </w:tcPr>
          <w:p w14:paraId="6283C7FA">
            <w:pPr>
              <w:widowControl/>
              <w:spacing w:line="240" w:lineRule="auto"/>
              <w:ind w:firstLine="0" w:firstLineChars="0"/>
              <w:jc w:val="center"/>
              <w:textAlignment w:val="center"/>
              <w:rPr>
                <w:color w:val="auto"/>
                <w:sz w:val="21"/>
                <w:szCs w:val="21"/>
                <w:lang w:bidi="ar"/>
              </w:rPr>
            </w:pPr>
            <w:r>
              <w:rPr>
                <w:color w:val="auto"/>
                <w:sz w:val="21"/>
                <w:szCs w:val="21"/>
                <w:lang w:bidi="ar"/>
              </w:rPr>
              <w:t>规模</w:t>
            </w:r>
          </w:p>
        </w:tc>
        <w:tc>
          <w:tcPr>
            <w:tcW w:w="678" w:type="pct"/>
            <w:tcBorders>
              <w:tl2br w:val="nil"/>
              <w:tr2bl w:val="nil"/>
            </w:tcBorders>
            <w:shd w:val="clear" w:color="auto" w:fill="auto"/>
            <w:vAlign w:val="center"/>
          </w:tcPr>
          <w:p w14:paraId="414820CE">
            <w:pPr>
              <w:widowControl/>
              <w:spacing w:line="240" w:lineRule="auto"/>
              <w:ind w:firstLine="0" w:firstLineChars="0"/>
              <w:jc w:val="center"/>
              <w:textAlignment w:val="center"/>
              <w:rPr>
                <w:color w:val="auto"/>
                <w:sz w:val="21"/>
                <w:szCs w:val="21"/>
                <w:lang w:bidi="ar"/>
              </w:rPr>
            </w:pPr>
            <w:r>
              <w:rPr>
                <w:color w:val="auto"/>
                <w:sz w:val="21"/>
                <w:szCs w:val="21"/>
                <w:lang w:bidi="ar"/>
              </w:rPr>
              <w:t>需水量</w:t>
            </w:r>
          </w:p>
        </w:tc>
      </w:tr>
      <w:tr w14:paraId="33D27B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vMerge w:val="continue"/>
            <w:tcBorders>
              <w:tl2br w:val="nil"/>
              <w:tr2bl w:val="nil"/>
            </w:tcBorders>
            <w:shd w:val="clear" w:color="auto" w:fill="auto"/>
            <w:vAlign w:val="center"/>
          </w:tcPr>
          <w:p w14:paraId="6427F55D">
            <w:pPr>
              <w:widowControl/>
              <w:spacing w:line="240" w:lineRule="auto"/>
              <w:ind w:firstLine="0" w:firstLineChars="0"/>
              <w:jc w:val="center"/>
              <w:textAlignment w:val="center"/>
              <w:rPr>
                <w:color w:val="auto"/>
                <w:sz w:val="21"/>
                <w:szCs w:val="21"/>
                <w:lang w:bidi="ar"/>
              </w:rPr>
            </w:pPr>
          </w:p>
        </w:tc>
        <w:tc>
          <w:tcPr>
            <w:tcW w:w="939" w:type="pct"/>
            <w:vMerge w:val="continue"/>
            <w:tcBorders>
              <w:tl2br w:val="nil"/>
              <w:tr2bl w:val="nil"/>
            </w:tcBorders>
            <w:shd w:val="clear" w:color="auto" w:fill="auto"/>
            <w:vAlign w:val="center"/>
          </w:tcPr>
          <w:p w14:paraId="4D807023">
            <w:pPr>
              <w:widowControl/>
              <w:spacing w:line="240" w:lineRule="auto"/>
              <w:ind w:firstLine="0" w:firstLineChars="0"/>
              <w:jc w:val="center"/>
              <w:textAlignment w:val="center"/>
              <w:rPr>
                <w:color w:val="auto"/>
                <w:sz w:val="21"/>
                <w:szCs w:val="21"/>
                <w:lang w:bidi="ar"/>
              </w:rPr>
            </w:pPr>
          </w:p>
        </w:tc>
        <w:tc>
          <w:tcPr>
            <w:tcW w:w="818" w:type="pct"/>
            <w:tcBorders>
              <w:tl2br w:val="nil"/>
              <w:tr2bl w:val="nil"/>
            </w:tcBorders>
            <w:shd w:val="clear" w:color="auto" w:fill="auto"/>
            <w:vAlign w:val="center"/>
          </w:tcPr>
          <w:p w14:paraId="071A7D26">
            <w:pPr>
              <w:widowControl/>
              <w:spacing w:line="240" w:lineRule="auto"/>
              <w:ind w:firstLine="0" w:firstLineChars="0"/>
              <w:jc w:val="center"/>
              <w:textAlignment w:val="center"/>
              <w:rPr>
                <w:color w:val="auto"/>
                <w:sz w:val="21"/>
                <w:szCs w:val="21"/>
                <w:lang w:bidi="ar"/>
              </w:rPr>
            </w:pPr>
            <w:r>
              <w:rPr>
                <w:color w:val="auto"/>
                <w:sz w:val="21"/>
                <w:szCs w:val="21"/>
                <w:lang w:bidi="ar"/>
              </w:rPr>
              <w:t>数值</w:t>
            </w:r>
          </w:p>
        </w:tc>
        <w:tc>
          <w:tcPr>
            <w:tcW w:w="770" w:type="pct"/>
            <w:tcBorders>
              <w:tl2br w:val="nil"/>
              <w:tr2bl w:val="nil"/>
            </w:tcBorders>
            <w:shd w:val="clear" w:color="auto" w:fill="auto"/>
            <w:vAlign w:val="center"/>
          </w:tcPr>
          <w:p w14:paraId="37DBB512">
            <w:pPr>
              <w:widowControl/>
              <w:spacing w:line="240" w:lineRule="auto"/>
              <w:ind w:firstLine="0" w:firstLineChars="0"/>
              <w:jc w:val="center"/>
              <w:textAlignment w:val="center"/>
              <w:rPr>
                <w:color w:val="auto"/>
                <w:sz w:val="21"/>
                <w:szCs w:val="21"/>
                <w:lang w:bidi="ar"/>
              </w:rPr>
            </w:pPr>
            <w:r>
              <w:rPr>
                <w:color w:val="auto"/>
                <w:sz w:val="21"/>
                <w:szCs w:val="21"/>
                <w:lang w:bidi="ar"/>
              </w:rPr>
              <w:t>单位</w:t>
            </w:r>
          </w:p>
        </w:tc>
        <w:tc>
          <w:tcPr>
            <w:tcW w:w="685" w:type="pct"/>
            <w:tcBorders>
              <w:tl2br w:val="nil"/>
              <w:tr2bl w:val="nil"/>
            </w:tcBorders>
            <w:shd w:val="clear" w:color="auto" w:fill="auto"/>
            <w:vAlign w:val="center"/>
          </w:tcPr>
          <w:p w14:paraId="3922D591">
            <w:pPr>
              <w:widowControl/>
              <w:spacing w:line="240" w:lineRule="auto"/>
              <w:ind w:firstLine="0" w:firstLineChars="0"/>
              <w:jc w:val="center"/>
              <w:textAlignment w:val="center"/>
              <w:rPr>
                <w:color w:val="auto"/>
                <w:sz w:val="21"/>
                <w:szCs w:val="21"/>
                <w:lang w:bidi="ar"/>
              </w:rPr>
            </w:pPr>
            <w:r>
              <w:rPr>
                <w:color w:val="auto"/>
                <w:sz w:val="21"/>
                <w:szCs w:val="21"/>
                <w:lang w:bidi="ar"/>
              </w:rPr>
              <w:t>数值</w:t>
            </w:r>
          </w:p>
        </w:tc>
        <w:tc>
          <w:tcPr>
            <w:tcW w:w="589" w:type="pct"/>
            <w:tcBorders>
              <w:tl2br w:val="nil"/>
              <w:tr2bl w:val="nil"/>
            </w:tcBorders>
            <w:shd w:val="clear" w:color="auto" w:fill="auto"/>
            <w:vAlign w:val="center"/>
          </w:tcPr>
          <w:p w14:paraId="4FDF3201">
            <w:pPr>
              <w:widowControl/>
              <w:spacing w:line="240" w:lineRule="auto"/>
              <w:ind w:firstLine="0" w:firstLineChars="0"/>
              <w:jc w:val="center"/>
              <w:textAlignment w:val="center"/>
              <w:rPr>
                <w:color w:val="auto"/>
                <w:sz w:val="21"/>
                <w:szCs w:val="21"/>
                <w:lang w:bidi="ar"/>
              </w:rPr>
            </w:pPr>
            <w:r>
              <w:rPr>
                <w:color w:val="auto"/>
                <w:sz w:val="21"/>
                <w:szCs w:val="21"/>
                <w:lang w:bidi="ar"/>
              </w:rPr>
              <w:t>单位</w:t>
            </w:r>
          </w:p>
        </w:tc>
        <w:tc>
          <w:tcPr>
            <w:tcW w:w="678" w:type="pct"/>
            <w:tcBorders>
              <w:tl2br w:val="nil"/>
              <w:tr2bl w:val="nil"/>
            </w:tcBorders>
            <w:shd w:val="clear" w:color="auto" w:fill="auto"/>
            <w:vAlign w:val="center"/>
          </w:tcPr>
          <w:p w14:paraId="0EBB81EC">
            <w:pPr>
              <w:widowControl/>
              <w:spacing w:line="240" w:lineRule="auto"/>
              <w:ind w:firstLine="0" w:firstLineChars="0"/>
              <w:jc w:val="center"/>
              <w:textAlignment w:val="center"/>
              <w:rPr>
                <w:color w:val="auto"/>
                <w:sz w:val="21"/>
                <w:szCs w:val="21"/>
                <w:lang w:bidi="ar"/>
              </w:rPr>
            </w:pPr>
            <w:r>
              <w:rPr>
                <w:color w:val="auto"/>
                <w:sz w:val="21"/>
                <w:szCs w:val="21"/>
                <w:lang w:bidi="ar"/>
              </w:rPr>
              <w:t>（万m³）</w:t>
            </w:r>
          </w:p>
        </w:tc>
      </w:tr>
      <w:tr w14:paraId="162174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tcBorders>
              <w:tl2br w:val="nil"/>
              <w:tr2bl w:val="nil"/>
            </w:tcBorders>
            <w:shd w:val="clear" w:color="auto" w:fill="auto"/>
            <w:vAlign w:val="center"/>
          </w:tcPr>
          <w:p w14:paraId="5C695B3B">
            <w:pPr>
              <w:widowControl/>
              <w:spacing w:line="240" w:lineRule="auto"/>
              <w:ind w:firstLine="0" w:firstLineChars="0"/>
              <w:jc w:val="center"/>
              <w:textAlignment w:val="center"/>
              <w:rPr>
                <w:color w:val="auto"/>
                <w:sz w:val="21"/>
                <w:szCs w:val="21"/>
                <w:lang w:bidi="ar"/>
              </w:rPr>
            </w:pPr>
            <w:r>
              <w:rPr>
                <w:color w:val="auto"/>
                <w:sz w:val="21"/>
                <w:szCs w:val="21"/>
                <w:lang w:bidi="ar"/>
              </w:rPr>
              <w:t>①</w:t>
            </w:r>
          </w:p>
        </w:tc>
        <w:tc>
          <w:tcPr>
            <w:tcW w:w="939" w:type="pct"/>
            <w:tcBorders>
              <w:tl2br w:val="nil"/>
              <w:tr2bl w:val="nil"/>
            </w:tcBorders>
            <w:shd w:val="clear" w:color="auto" w:fill="auto"/>
            <w:vAlign w:val="center"/>
          </w:tcPr>
          <w:p w14:paraId="09E3E700">
            <w:pPr>
              <w:widowControl/>
              <w:spacing w:line="240" w:lineRule="auto"/>
              <w:ind w:firstLine="0" w:firstLineChars="0"/>
              <w:jc w:val="center"/>
              <w:textAlignment w:val="center"/>
              <w:rPr>
                <w:color w:val="auto"/>
                <w:sz w:val="21"/>
                <w:szCs w:val="21"/>
                <w:lang w:bidi="ar"/>
              </w:rPr>
            </w:pPr>
            <w:r>
              <w:rPr>
                <w:color w:val="auto"/>
                <w:sz w:val="21"/>
                <w:szCs w:val="21"/>
                <w:lang w:bidi="ar"/>
              </w:rPr>
              <w:t>综合生活用水</w:t>
            </w:r>
          </w:p>
        </w:tc>
        <w:tc>
          <w:tcPr>
            <w:tcW w:w="818" w:type="pct"/>
            <w:tcBorders>
              <w:tl2br w:val="nil"/>
              <w:tr2bl w:val="nil"/>
            </w:tcBorders>
            <w:shd w:val="clear" w:color="auto" w:fill="auto"/>
            <w:vAlign w:val="center"/>
          </w:tcPr>
          <w:p w14:paraId="201F3B05">
            <w:pPr>
              <w:widowControl/>
              <w:spacing w:line="240" w:lineRule="auto"/>
              <w:ind w:firstLine="0" w:firstLineChars="0"/>
              <w:jc w:val="center"/>
              <w:textAlignment w:val="center"/>
              <w:rPr>
                <w:color w:val="auto"/>
                <w:sz w:val="21"/>
                <w:szCs w:val="21"/>
                <w:lang w:bidi="ar"/>
              </w:rPr>
            </w:pPr>
            <w:r>
              <w:rPr>
                <w:color w:val="auto"/>
                <w:sz w:val="21"/>
                <w:szCs w:val="21"/>
                <w:lang w:bidi="ar"/>
              </w:rPr>
              <w:t>150</w:t>
            </w:r>
          </w:p>
        </w:tc>
        <w:tc>
          <w:tcPr>
            <w:tcW w:w="770" w:type="pct"/>
            <w:tcBorders>
              <w:tl2br w:val="nil"/>
              <w:tr2bl w:val="nil"/>
            </w:tcBorders>
            <w:shd w:val="clear" w:color="auto" w:fill="auto"/>
            <w:vAlign w:val="center"/>
          </w:tcPr>
          <w:p w14:paraId="164F842E">
            <w:pPr>
              <w:widowControl/>
              <w:spacing w:line="240" w:lineRule="auto"/>
              <w:ind w:firstLine="0" w:firstLineChars="0"/>
              <w:jc w:val="center"/>
              <w:textAlignment w:val="center"/>
              <w:rPr>
                <w:color w:val="auto"/>
                <w:sz w:val="21"/>
                <w:szCs w:val="21"/>
                <w:lang w:bidi="ar"/>
              </w:rPr>
            </w:pPr>
            <w:r>
              <w:rPr>
                <w:color w:val="auto"/>
                <w:sz w:val="21"/>
                <w:szCs w:val="21"/>
                <w:lang w:bidi="ar"/>
              </w:rPr>
              <w:t>L/（人·d）</w:t>
            </w:r>
          </w:p>
        </w:tc>
        <w:tc>
          <w:tcPr>
            <w:tcW w:w="685" w:type="pct"/>
            <w:tcBorders>
              <w:tl2br w:val="nil"/>
              <w:tr2bl w:val="nil"/>
            </w:tcBorders>
            <w:shd w:val="clear" w:color="auto" w:fill="auto"/>
            <w:vAlign w:val="center"/>
          </w:tcPr>
          <w:p w14:paraId="5ED0CF3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5.31 </w:t>
            </w:r>
          </w:p>
        </w:tc>
        <w:tc>
          <w:tcPr>
            <w:tcW w:w="589" w:type="pct"/>
            <w:tcBorders>
              <w:tl2br w:val="nil"/>
              <w:tr2bl w:val="nil"/>
            </w:tcBorders>
            <w:shd w:val="clear" w:color="auto" w:fill="auto"/>
            <w:vAlign w:val="center"/>
          </w:tcPr>
          <w:p w14:paraId="6B00101A">
            <w:pPr>
              <w:widowControl/>
              <w:spacing w:line="240" w:lineRule="auto"/>
              <w:ind w:firstLine="0" w:firstLineChars="0"/>
              <w:jc w:val="center"/>
              <w:textAlignment w:val="center"/>
              <w:rPr>
                <w:color w:val="auto"/>
                <w:sz w:val="21"/>
                <w:szCs w:val="21"/>
                <w:lang w:bidi="ar"/>
              </w:rPr>
            </w:pPr>
            <w:r>
              <w:rPr>
                <w:color w:val="auto"/>
                <w:sz w:val="21"/>
                <w:szCs w:val="21"/>
                <w:lang w:bidi="ar"/>
              </w:rPr>
              <w:t>万人</w:t>
            </w:r>
          </w:p>
        </w:tc>
        <w:tc>
          <w:tcPr>
            <w:tcW w:w="1236" w:type="dxa"/>
            <w:tcBorders>
              <w:tl2br w:val="nil"/>
              <w:tr2bl w:val="nil"/>
            </w:tcBorders>
            <w:shd w:val="clear" w:color="auto" w:fill="auto"/>
            <w:vAlign w:val="center"/>
          </w:tcPr>
          <w:p w14:paraId="5989A9B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290.72 </w:t>
            </w:r>
          </w:p>
        </w:tc>
      </w:tr>
      <w:tr w14:paraId="549B9D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tcBorders>
              <w:tl2br w:val="nil"/>
              <w:tr2bl w:val="nil"/>
            </w:tcBorders>
            <w:shd w:val="clear" w:color="auto" w:fill="auto"/>
            <w:vAlign w:val="center"/>
          </w:tcPr>
          <w:p w14:paraId="300D398E">
            <w:pPr>
              <w:widowControl/>
              <w:spacing w:line="240" w:lineRule="auto"/>
              <w:ind w:firstLine="0" w:firstLineChars="0"/>
              <w:jc w:val="center"/>
              <w:textAlignment w:val="center"/>
              <w:rPr>
                <w:color w:val="auto"/>
                <w:sz w:val="21"/>
                <w:szCs w:val="21"/>
                <w:lang w:bidi="ar"/>
              </w:rPr>
            </w:pPr>
            <w:r>
              <w:rPr>
                <w:color w:val="auto"/>
                <w:sz w:val="21"/>
                <w:szCs w:val="21"/>
                <w:lang w:bidi="ar"/>
              </w:rPr>
              <w:t>②</w:t>
            </w:r>
          </w:p>
        </w:tc>
        <w:tc>
          <w:tcPr>
            <w:tcW w:w="939" w:type="pct"/>
            <w:tcBorders>
              <w:tl2br w:val="nil"/>
              <w:tr2bl w:val="nil"/>
            </w:tcBorders>
            <w:shd w:val="clear" w:color="auto" w:fill="auto"/>
            <w:vAlign w:val="center"/>
          </w:tcPr>
          <w:p w14:paraId="185C1FFB">
            <w:pPr>
              <w:widowControl/>
              <w:spacing w:line="240" w:lineRule="auto"/>
              <w:ind w:firstLine="0" w:firstLineChars="0"/>
              <w:jc w:val="center"/>
              <w:textAlignment w:val="center"/>
              <w:rPr>
                <w:color w:val="auto"/>
                <w:sz w:val="21"/>
                <w:szCs w:val="21"/>
                <w:lang w:bidi="ar"/>
              </w:rPr>
            </w:pPr>
            <w:r>
              <w:rPr>
                <w:color w:val="auto"/>
                <w:sz w:val="21"/>
                <w:szCs w:val="21"/>
                <w:lang w:bidi="ar"/>
              </w:rPr>
              <w:t>工业用水</w:t>
            </w:r>
          </w:p>
        </w:tc>
        <w:tc>
          <w:tcPr>
            <w:tcW w:w="818" w:type="pct"/>
            <w:tcBorders>
              <w:tl2br w:val="nil"/>
              <w:tr2bl w:val="nil"/>
            </w:tcBorders>
            <w:shd w:val="clear" w:color="auto" w:fill="auto"/>
            <w:vAlign w:val="center"/>
          </w:tcPr>
          <w:p w14:paraId="47A0FF89">
            <w:pPr>
              <w:widowControl/>
              <w:spacing w:line="240" w:lineRule="auto"/>
              <w:ind w:firstLine="0" w:firstLineChars="0"/>
              <w:jc w:val="center"/>
              <w:textAlignment w:val="center"/>
              <w:rPr>
                <w:color w:val="auto"/>
                <w:sz w:val="21"/>
                <w:szCs w:val="21"/>
                <w:lang w:bidi="ar"/>
              </w:rPr>
            </w:pPr>
            <w:r>
              <w:rPr>
                <w:color w:val="auto"/>
                <w:sz w:val="21"/>
                <w:szCs w:val="21"/>
                <w:lang w:bidi="ar"/>
              </w:rPr>
              <w:t>19</w:t>
            </w:r>
          </w:p>
        </w:tc>
        <w:tc>
          <w:tcPr>
            <w:tcW w:w="770" w:type="pct"/>
            <w:tcBorders>
              <w:tl2br w:val="nil"/>
              <w:tr2bl w:val="nil"/>
            </w:tcBorders>
            <w:shd w:val="clear" w:color="auto" w:fill="auto"/>
            <w:noWrap/>
            <w:vAlign w:val="center"/>
          </w:tcPr>
          <w:p w14:paraId="150E41E7">
            <w:pPr>
              <w:widowControl/>
              <w:spacing w:line="240" w:lineRule="auto"/>
              <w:ind w:firstLine="0" w:firstLineChars="0"/>
              <w:jc w:val="center"/>
              <w:textAlignment w:val="center"/>
              <w:rPr>
                <w:color w:val="auto"/>
                <w:sz w:val="21"/>
                <w:szCs w:val="21"/>
                <w:lang w:bidi="ar"/>
              </w:rPr>
            </w:pPr>
            <w:r>
              <w:rPr>
                <w:color w:val="auto"/>
                <w:sz w:val="21"/>
                <w:szCs w:val="21"/>
                <w:lang w:bidi="ar"/>
              </w:rPr>
              <w:t>m</w:t>
            </w:r>
            <w:r>
              <w:rPr>
                <w:color w:val="auto"/>
                <w:sz w:val="21"/>
                <w:szCs w:val="21"/>
                <w:vertAlign w:val="superscript"/>
                <w:lang w:bidi="ar"/>
              </w:rPr>
              <w:t>3</w:t>
            </w:r>
            <w:r>
              <w:rPr>
                <w:color w:val="auto"/>
                <w:sz w:val="21"/>
                <w:szCs w:val="21"/>
                <w:lang w:bidi="ar"/>
              </w:rPr>
              <w:t>/万元</w:t>
            </w:r>
          </w:p>
        </w:tc>
        <w:tc>
          <w:tcPr>
            <w:tcW w:w="685" w:type="pct"/>
            <w:tcBorders>
              <w:tl2br w:val="nil"/>
              <w:tr2bl w:val="nil"/>
            </w:tcBorders>
            <w:shd w:val="clear" w:color="auto" w:fill="auto"/>
            <w:vAlign w:val="center"/>
          </w:tcPr>
          <w:p w14:paraId="67485A41">
            <w:pPr>
              <w:widowControl/>
              <w:spacing w:line="240" w:lineRule="auto"/>
              <w:ind w:firstLine="0" w:firstLineChars="0"/>
              <w:jc w:val="center"/>
              <w:textAlignment w:val="center"/>
              <w:rPr>
                <w:color w:val="auto"/>
                <w:sz w:val="21"/>
                <w:szCs w:val="21"/>
                <w:lang w:bidi="ar"/>
              </w:rPr>
            </w:pPr>
            <w:r>
              <w:rPr>
                <w:color w:val="auto"/>
                <w:sz w:val="21"/>
                <w:szCs w:val="21"/>
                <w:lang w:bidi="ar"/>
              </w:rPr>
              <w:t>5.21</w:t>
            </w:r>
          </w:p>
        </w:tc>
        <w:tc>
          <w:tcPr>
            <w:tcW w:w="589" w:type="pct"/>
            <w:tcBorders>
              <w:tl2br w:val="nil"/>
              <w:tr2bl w:val="nil"/>
            </w:tcBorders>
            <w:shd w:val="clear" w:color="auto" w:fill="auto"/>
            <w:vAlign w:val="center"/>
          </w:tcPr>
          <w:p w14:paraId="7ED36428">
            <w:pPr>
              <w:widowControl/>
              <w:spacing w:line="240" w:lineRule="auto"/>
              <w:ind w:firstLine="0" w:firstLineChars="0"/>
              <w:jc w:val="center"/>
              <w:textAlignment w:val="center"/>
              <w:rPr>
                <w:color w:val="auto"/>
                <w:sz w:val="21"/>
                <w:szCs w:val="21"/>
                <w:lang w:bidi="ar"/>
              </w:rPr>
            </w:pPr>
            <w:r>
              <w:rPr>
                <w:color w:val="auto"/>
                <w:sz w:val="21"/>
                <w:szCs w:val="21"/>
                <w:lang w:bidi="ar"/>
              </w:rPr>
              <w:t>亿元</w:t>
            </w:r>
          </w:p>
        </w:tc>
        <w:tc>
          <w:tcPr>
            <w:tcW w:w="1236" w:type="dxa"/>
            <w:tcBorders>
              <w:tl2br w:val="nil"/>
              <w:tr2bl w:val="nil"/>
            </w:tcBorders>
            <w:shd w:val="clear" w:color="auto" w:fill="auto"/>
            <w:vAlign w:val="center"/>
          </w:tcPr>
          <w:p w14:paraId="380CA50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98.99 </w:t>
            </w:r>
          </w:p>
        </w:tc>
      </w:tr>
      <w:tr w14:paraId="456D6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vMerge w:val="restart"/>
            <w:tcBorders>
              <w:tl2br w:val="nil"/>
              <w:tr2bl w:val="nil"/>
            </w:tcBorders>
            <w:shd w:val="clear" w:color="auto" w:fill="auto"/>
            <w:vAlign w:val="center"/>
          </w:tcPr>
          <w:p w14:paraId="214D0CE4">
            <w:pPr>
              <w:widowControl/>
              <w:spacing w:line="240" w:lineRule="auto"/>
              <w:ind w:firstLine="0" w:firstLineChars="0"/>
              <w:jc w:val="center"/>
              <w:textAlignment w:val="center"/>
              <w:rPr>
                <w:color w:val="auto"/>
                <w:sz w:val="21"/>
                <w:szCs w:val="21"/>
                <w:lang w:bidi="ar"/>
              </w:rPr>
            </w:pPr>
            <w:r>
              <w:rPr>
                <w:color w:val="auto"/>
                <w:sz w:val="21"/>
                <w:szCs w:val="21"/>
                <w:lang w:bidi="ar"/>
              </w:rPr>
              <w:t>③</w:t>
            </w:r>
          </w:p>
        </w:tc>
        <w:tc>
          <w:tcPr>
            <w:tcW w:w="939" w:type="pct"/>
            <w:tcBorders>
              <w:tl2br w:val="nil"/>
              <w:tr2bl w:val="nil"/>
            </w:tcBorders>
            <w:shd w:val="clear" w:color="auto" w:fill="auto"/>
            <w:vAlign w:val="center"/>
          </w:tcPr>
          <w:p w14:paraId="406233B4">
            <w:pPr>
              <w:widowControl/>
              <w:spacing w:line="240" w:lineRule="auto"/>
              <w:ind w:firstLine="0" w:firstLineChars="0"/>
              <w:jc w:val="center"/>
              <w:textAlignment w:val="center"/>
              <w:rPr>
                <w:color w:val="auto"/>
                <w:sz w:val="21"/>
                <w:szCs w:val="21"/>
                <w:lang w:bidi="ar"/>
              </w:rPr>
            </w:pPr>
            <w:r>
              <w:rPr>
                <w:color w:val="auto"/>
                <w:sz w:val="21"/>
                <w:szCs w:val="21"/>
                <w:lang w:bidi="ar"/>
              </w:rPr>
              <w:t>洒浇道路</w:t>
            </w:r>
          </w:p>
        </w:tc>
        <w:tc>
          <w:tcPr>
            <w:tcW w:w="818" w:type="pct"/>
            <w:tcBorders>
              <w:tl2br w:val="nil"/>
              <w:tr2bl w:val="nil"/>
            </w:tcBorders>
            <w:shd w:val="clear" w:color="auto" w:fill="auto"/>
            <w:vAlign w:val="center"/>
          </w:tcPr>
          <w:p w14:paraId="1C84B3A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2.00 </w:t>
            </w:r>
          </w:p>
        </w:tc>
        <w:tc>
          <w:tcPr>
            <w:tcW w:w="770" w:type="pct"/>
            <w:tcBorders>
              <w:tl2br w:val="nil"/>
              <w:tr2bl w:val="nil"/>
            </w:tcBorders>
            <w:shd w:val="clear" w:color="auto" w:fill="auto"/>
            <w:noWrap/>
            <w:vAlign w:val="center"/>
          </w:tcPr>
          <w:p w14:paraId="43FDDBFC">
            <w:pPr>
              <w:widowControl/>
              <w:spacing w:line="240" w:lineRule="auto"/>
              <w:ind w:firstLine="0" w:firstLineChars="0"/>
              <w:jc w:val="center"/>
              <w:textAlignment w:val="center"/>
              <w:rPr>
                <w:color w:val="auto"/>
                <w:sz w:val="21"/>
                <w:szCs w:val="21"/>
                <w:lang w:bidi="ar"/>
              </w:rPr>
            </w:pPr>
            <w:r>
              <w:rPr>
                <w:color w:val="auto"/>
                <w:sz w:val="21"/>
                <w:szCs w:val="21"/>
                <w:lang w:bidi="ar"/>
              </w:rPr>
              <w:t>L/(m2·d)</w:t>
            </w:r>
          </w:p>
        </w:tc>
        <w:tc>
          <w:tcPr>
            <w:tcW w:w="685" w:type="pct"/>
            <w:tcBorders>
              <w:tl2br w:val="nil"/>
              <w:tr2bl w:val="nil"/>
            </w:tcBorders>
            <w:shd w:val="clear" w:color="auto" w:fill="auto"/>
            <w:vAlign w:val="center"/>
          </w:tcPr>
          <w:p w14:paraId="05A3340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94.65 </w:t>
            </w:r>
          </w:p>
        </w:tc>
        <w:tc>
          <w:tcPr>
            <w:tcW w:w="589" w:type="pct"/>
            <w:tcBorders>
              <w:tl2br w:val="nil"/>
              <w:tr2bl w:val="nil"/>
            </w:tcBorders>
            <w:shd w:val="clear" w:color="auto" w:fill="auto"/>
            <w:vAlign w:val="center"/>
          </w:tcPr>
          <w:p w14:paraId="15ED13A8">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36" w:type="dxa"/>
            <w:tcBorders>
              <w:tl2br w:val="nil"/>
              <w:tr2bl w:val="nil"/>
            </w:tcBorders>
            <w:shd w:val="clear" w:color="auto" w:fill="auto"/>
            <w:vAlign w:val="center"/>
          </w:tcPr>
          <w:p w14:paraId="48C9724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69.09 </w:t>
            </w:r>
          </w:p>
        </w:tc>
      </w:tr>
      <w:tr w14:paraId="6CE9B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vMerge w:val="continue"/>
            <w:tcBorders>
              <w:tl2br w:val="nil"/>
              <w:tr2bl w:val="nil"/>
            </w:tcBorders>
            <w:shd w:val="clear" w:color="auto" w:fill="auto"/>
            <w:vAlign w:val="center"/>
          </w:tcPr>
          <w:p w14:paraId="63DFC0CD">
            <w:pPr>
              <w:widowControl/>
              <w:spacing w:line="240" w:lineRule="auto"/>
              <w:ind w:firstLine="0" w:firstLineChars="0"/>
              <w:jc w:val="center"/>
              <w:textAlignment w:val="center"/>
              <w:rPr>
                <w:color w:val="auto"/>
                <w:sz w:val="21"/>
                <w:szCs w:val="21"/>
                <w:lang w:bidi="ar"/>
              </w:rPr>
            </w:pPr>
          </w:p>
        </w:tc>
        <w:tc>
          <w:tcPr>
            <w:tcW w:w="939" w:type="pct"/>
            <w:tcBorders>
              <w:tl2br w:val="nil"/>
              <w:tr2bl w:val="nil"/>
            </w:tcBorders>
            <w:shd w:val="clear" w:color="auto" w:fill="auto"/>
            <w:vAlign w:val="center"/>
          </w:tcPr>
          <w:p w14:paraId="44D1A1B9">
            <w:pPr>
              <w:widowControl/>
              <w:spacing w:line="240" w:lineRule="auto"/>
              <w:ind w:firstLine="0" w:firstLineChars="0"/>
              <w:jc w:val="center"/>
              <w:textAlignment w:val="center"/>
              <w:rPr>
                <w:color w:val="auto"/>
                <w:sz w:val="21"/>
                <w:szCs w:val="21"/>
                <w:lang w:bidi="ar"/>
              </w:rPr>
            </w:pPr>
            <w:r>
              <w:rPr>
                <w:color w:val="auto"/>
                <w:sz w:val="21"/>
                <w:szCs w:val="21"/>
                <w:lang w:bidi="ar"/>
              </w:rPr>
              <w:t>绿地用水</w:t>
            </w:r>
          </w:p>
        </w:tc>
        <w:tc>
          <w:tcPr>
            <w:tcW w:w="818" w:type="pct"/>
            <w:tcBorders>
              <w:tl2br w:val="nil"/>
              <w:tr2bl w:val="nil"/>
            </w:tcBorders>
            <w:shd w:val="clear" w:color="auto" w:fill="auto"/>
            <w:vAlign w:val="center"/>
          </w:tcPr>
          <w:p w14:paraId="3CD1437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 </w:t>
            </w:r>
          </w:p>
        </w:tc>
        <w:tc>
          <w:tcPr>
            <w:tcW w:w="770" w:type="pct"/>
            <w:tcBorders>
              <w:tl2br w:val="nil"/>
              <w:tr2bl w:val="nil"/>
            </w:tcBorders>
            <w:shd w:val="clear" w:color="auto" w:fill="auto"/>
            <w:vAlign w:val="center"/>
          </w:tcPr>
          <w:p w14:paraId="5012C8F5">
            <w:pPr>
              <w:widowControl/>
              <w:spacing w:line="240" w:lineRule="auto"/>
              <w:ind w:firstLine="0" w:firstLineChars="0"/>
              <w:jc w:val="center"/>
              <w:textAlignment w:val="center"/>
              <w:rPr>
                <w:color w:val="auto"/>
                <w:sz w:val="21"/>
                <w:szCs w:val="21"/>
                <w:lang w:bidi="ar"/>
              </w:rPr>
            </w:pPr>
            <w:r>
              <w:rPr>
                <w:color w:val="auto"/>
                <w:sz w:val="21"/>
                <w:szCs w:val="21"/>
                <w:lang w:bidi="ar"/>
              </w:rPr>
              <w:t>L/(m2·d)</w:t>
            </w:r>
          </w:p>
        </w:tc>
        <w:tc>
          <w:tcPr>
            <w:tcW w:w="685" w:type="pct"/>
            <w:tcBorders>
              <w:tl2br w:val="nil"/>
              <w:tr2bl w:val="nil"/>
            </w:tcBorders>
            <w:shd w:val="clear" w:color="auto" w:fill="auto"/>
            <w:vAlign w:val="center"/>
          </w:tcPr>
          <w:p w14:paraId="0F0654E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71.61 </w:t>
            </w:r>
          </w:p>
        </w:tc>
        <w:tc>
          <w:tcPr>
            <w:tcW w:w="589" w:type="pct"/>
            <w:tcBorders>
              <w:tl2br w:val="nil"/>
              <w:tr2bl w:val="nil"/>
            </w:tcBorders>
            <w:shd w:val="clear" w:color="auto" w:fill="auto"/>
            <w:vAlign w:val="center"/>
          </w:tcPr>
          <w:p w14:paraId="4014A6BF">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36" w:type="dxa"/>
            <w:tcBorders>
              <w:tl2br w:val="nil"/>
              <w:tr2bl w:val="nil"/>
            </w:tcBorders>
            <w:shd w:val="clear" w:color="auto" w:fill="auto"/>
            <w:vAlign w:val="center"/>
          </w:tcPr>
          <w:p w14:paraId="6B58409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26.14 </w:t>
            </w:r>
          </w:p>
        </w:tc>
      </w:tr>
      <w:tr w14:paraId="06EBDD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tcBorders>
              <w:tl2br w:val="nil"/>
              <w:tr2bl w:val="nil"/>
            </w:tcBorders>
            <w:shd w:val="clear" w:color="auto" w:fill="auto"/>
            <w:vAlign w:val="center"/>
          </w:tcPr>
          <w:p w14:paraId="2DE4B2D0">
            <w:pPr>
              <w:widowControl/>
              <w:spacing w:line="240" w:lineRule="auto"/>
              <w:ind w:firstLine="0" w:firstLineChars="0"/>
              <w:jc w:val="center"/>
              <w:textAlignment w:val="center"/>
              <w:rPr>
                <w:color w:val="auto"/>
                <w:sz w:val="21"/>
                <w:szCs w:val="21"/>
                <w:lang w:bidi="ar"/>
              </w:rPr>
            </w:pPr>
            <w:r>
              <w:rPr>
                <w:color w:val="auto"/>
                <w:sz w:val="21"/>
                <w:szCs w:val="21"/>
                <w:lang w:bidi="ar"/>
              </w:rPr>
              <w:t>④</w:t>
            </w:r>
          </w:p>
        </w:tc>
        <w:tc>
          <w:tcPr>
            <w:tcW w:w="939" w:type="pct"/>
            <w:tcBorders>
              <w:tl2br w:val="nil"/>
              <w:tr2bl w:val="nil"/>
            </w:tcBorders>
            <w:shd w:val="clear" w:color="auto" w:fill="auto"/>
            <w:vAlign w:val="center"/>
          </w:tcPr>
          <w:p w14:paraId="4909FF82">
            <w:pPr>
              <w:widowControl/>
              <w:spacing w:line="240" w:lineRule="auto"/>
              <w:ind w:firstLine="0" w:firstLineChars="0"/>
              <w:jc w:val="center"/>
              <w:textAlignment w:val="center"/>
              <w:rPr>
                <w:color w:val="auto"/>
                <w:sz w:val="21"/>
                <w:szCs w:val="21"/>
                <w:lang w:bidi="ar"/>
              </w:rPr>
            </w:pPr>
            <w:r>
              <w:rPr>
                <w:color w:val="auto"/>
                <w:sz w:val="21"/>
                <w:szCs w:val="21"/>
                <w:lang w:bidi="ar"/>
              </w:rPr>
              <w:t>管网渗漏</w:t>
            </w:r>
          </w:p>
        </w:tc>
        <w:tc>
          <w:tcPr>
            <w:tcW w:w="2863" w:type="pct"/>
            <w:gridSpan w:val="4"/>
            <w:tcBorders>
              <w:tl2br w:val="nil"/>
              <w:tr2bl w:val="nil"/>
            </w:tcBorders>
            <w:shd w:val="clear" w:color="auto" w:fill="auto"/>
            <w:vAlign w:val="center"/>
          </w:tcPr>
          <w:p w14:paraId="1AF33F65">
            <w:pPr>
              <w:widowControl/>
              <w:spacing w:line="240" w:lineRule="auto"/>
              <w:ind w:firstLine="0" w:firstLineChars="0"/>
              <w:jc w:val="center"/>
              <w:textAlignment w:val="center"/>
              <w:rPr>
                <w:color w:val="auto"/>
                <w:sz w:val="21"/>
                <w:szCs w:val="21"/>
                <w:lang w:bidi="ar"/>
              </w:rPr>
            </w:pPr>
            <w:r>
              <w:rPr>
                <w:color w:val="auto"/>
                <w:sz w:val="21"/>
                <w:szCs w:val="21"/>
                <w:lang w:bidi="ar"/>
              </w:rPr>
              <w:t>(①+②+③)×9%</w:t>
            </w:r>
          </w:p>
        </w:tc>
        <w:tc>
          <w:tcPr>
            <w:tcW w:w="1236" w:type="dxa"/>
            <w:tcBorders>
              <w:tl2br w:val="nil"/>
              <w:tr2bl w:val="nil"/>
            </w:tcBorders>
            <w:shd w:val="clear" w:color="auto" w:fill="auto"/>
            <w:vAlign w:val="center"/>
          </w:tcPr>
          <w:p w14:paraId="242C874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43.65 </w:t>
            </w:r>
          </w:p>
        </w:tc>
      </w:tr>
      <w:tr w14:paraId="75E49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519" w:type="pct"/>
            <w:tcBorders>
              <w:tl2br w:val="nil"/>
              <w:tr2bl w:val="nil"/>
            </w:tcBorders>
            <w:shd w:val="clear" w:color="auto" w:fill="auto"/>
            <w:vAlign w:val="center"/>
          </w:tcPr>
          <w:p w14:paraId="1FA55216">
            <w:pPr>
              <w:widowControl/>
              <w:spacing w:line="240" w:lineRule="auto"/>
              <w:ind w:firstLine="0" w:firstLineChars="0"/>
              <w:jc w:val="center"/>
              <w:textAlignment w:val="center"/>
              <w:rPr>
                <w:color w:val="auto"/>
                <w:sz w:val="21"/>
                <w:szCs w:val="21"/>
                <w:lang w:bidi="ar"/>
              </w:rPr>
            </w:pPr>
            <w:r>
              <w:rPr>
                <w:color w:val="auto"/>
                <w:sz w:val="21"/>
                <w:szCs w:val="21"/>
                <w:lang w:bidi="ar"/>
              </w:rPr>
              <w:t>⑤</w:t>
            </w:r>
          </w:p>
        </w:tc>
        <w:tc>
          <w:tcPr>
            <w:tcW w:w="939" w:type="pct"/>
            <w:tcBorders>
              <w:tl2br w:val="nil"/>
              <w:tr2bl w:val="nil"/>
            </w:tcBorders>
            <w:shd w:val="clear" w:color="auto" w:fill="auto"/>
            <w:vAlign w:val="center"/>
          </w:tcPr>
          <w:p w14:paraId="4D70369E">
            <w:pPr>
              <w:widowControl/>
              <w:spacing w:line="240" w:lineRule="auto"/>
              <w:ind w:firstLine="0" w:firstLineChars="0"/>
              <w:jc w:val="center"/>
              <w:textAlignment w:val="center"/>
              <w:rPr>
                <w:color w:val="auto"/>
                <w:sz w:val="21"/>
                <w:szCs w:val="21"/>
                <w:lang w:bidi="ar"/>
              </w:rPr>
            </w:pPr>
            <w:r>
              <w:rPr>
                <w:color w:val="auto"/>
                <w:sz w:val="21"/>
                <w:szCs w:val="21"/>
                <w:lang w:bidi="ar"/>
              </w:rPr>
              <w:t>未预见水</w:t>
            </w:r>
          </w:p>
        </w:tc>
        <w:tc>
          <w:tcPr>
            <w:tcW w:w="2863" w:type="pct"/>
            <w:gridSpan w:val="4"/>
            <w:tcBorders>
              <w:tl2br w:val="nil"/>
              <w:tr2bl w:val="nil"/>
            </w:tcBorders>
            <w:shd w:val="clear" w:color="auto" w:fill="auto"/>
            <w:vAlign w:val="center"/>
          </w:tcPr>
          <w:p w14:paraId="0ECD0DD7">
            <w:pPr>
              <w:widowControl/>
              <w:spacing w:line="240" w:lineRule="auto"/>
              <w:ind w:firstLine="0" w:firstLineChars="0"/>
              <w:jc w:val="center"/>
              <w:textAlignment w:val="center"/>
              <w:rPr>
                <w:color w:val="auto"/>
                <w:sz w:val="21"/>
                <w:szCs w:val="21"/>
                <w:lang w:bidi="ar"/>
              </w:rPr>
            </w:pPr>
            <w:r>
              <w:rPr>
                <w:color w:val="auto"/>
                <w:sz w:val="21"/>
                <w:szCs w:val="21"/>
                <w:lang w:bidi="ar"/>
              </w:rPr>
              <w:t>(①+②+③+④)×10%</w:t>
            </w:r>
          </w:p>
        </w:tc>
        <w:tc>
          <w:tcPr>
            <w:tcW w:w="1236" w:type="dxa"/>
            <w:tcBorders>
              <w:tl2br w:val="nil"/>
              <w:tr2bl w:val="nil"/>
            </w:tcBorders>
            <w:shd w:val="clear" w:color="auto" w:fill="auto"/>
            <w:vAlign w:val="center"/>
          </w:tcPr>
          <w:p w14:paraId="4D41463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52.86 </w:t>
            </w:r>
          </w:p>
        </w:tc>
      </w:tr>
      <w:tr w14:paraId="4470C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946" w:type="dxa"/>
            <w:tcBorders>
              <w:tl2br w:val="nil"/>
              <w:tr2bl w:val="nil"/>
            </w:tcBorders>
            <w:shd w:val="clear" w:color="auto" w:fill="auto"/>
            <w:vAlign w:val="center"/>
          </w:tcPr>
          <w:p w14:paraId="3CE0B065">
            <w:pPr>
              <w:widowControl/>
              <w:spacing w:line="240" w:lineRule="auto"/>
              <w:ind w:firstLine="0" w:firstLineChars="0"/>
              <w:jc w:val="center"/>
              <w:textAlignment w:val="center"/>
              <w:rPr>
                <w:color w:val="auto"/>
                <w:sz w:val="21"/>
                <w:szCs w:val="21"/>
                <w:lang w:bidi="ar"/>
              </w:rPr>
            </w:pPr>
            <w:r>
              <w:rPr>
                <w:color w:val="auto"/>
                <w:sz w:val="21"/>
                <w:szCs w:val="21"/>
                <w:lang w:bidi="ar"/>
              </w:rPr>
              <w:t>⑥</w:t>
            </w:r>
          </w:p>
        </w:tc>
        <w:tc>
          <w:tcPr>
            <w:tcW w:w="939" w:type="pct"/>
            <w:tcBorders>
              <w:tl2br w:val="nil"/>
              <w:tr2bl w:val="nil"/>
            </w:tcBorders>
            <w:shd w:val="clear" w:color="auto" w:fill="auto"/>
            <w:vAlign w:val="center"/>
          </w:tcPr>
          <w:p w14:paraId="0AC83807">
            <w:pPr>
              <w:widowControl/>
              <w:spacing w:line="240" w:lineRule="auto"/>
              <w:ind w:firstLine="0" w:firstLineChars="0"/>
              <w:jc w:val="center"/>
              <w:textAlignment w:val="center"/>
              <w:rPr>
                <w:color w:val="auto"/>
                <w:sz w:val="21"/>
                <w:szCs w:val="21"/>
                <w:lang w:bidi="ar"/>
              </w:rPr>
            </w:pPr>
            <w:r>
              <w:rPr>
                <w:color w:val="auto"/>
                <w:sz w:val="21"/>
                <w:szCs w:val="21"/>
                <w:lang w:bidi="ar"/>
              </w:rPr>
              <w:t>总需水量</w:t>
            </w:r>
          </w:p>
        </w:tc>
        <w:tc>
          <w:tcPr>
            <w:tcW w:w="2863" w:type="pct"/>
            <w:gridSpan w:val="4"/>
            <w:tcBorders>
              <w:tl2br w:val="nil"/>
              <w:tr2bl w:val="nil"/>
            </w:tcBorders>
            <w:shd w:val="clear" w:color="auto" w:fill="auto"/>
            <w:vAlign w:val="center"/>
          </w:tcPr>
          <w:p w14:paraId="23178812">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w:t>
            </w:r>
          </w:p>
        </w:tc>
        <w:tc>
          <w:tcPr>
            <w:tcW w:w="1236" w:type="dxa"/>
            <w:tcBorders>
              <w:tl2br w:val="nil"/>
              <w:tr2bl w:val="nil"/>
            </w:tcBorders>
            <w:shd w:val="clear" w:color="auto" w:fill="auto"/>
            <w:vAlign w:val="center"/>
          </w:tcPr>
          <w:p w14:paraId="7842369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581.45 </w:t>
            </w:r>
          </w:p>
        </w:tc>
      </w:tr>
      <w:tr w14:paraId="631ACC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946" w:type="dxa"/>
            <w:tcBorders>
              <w:tl2br w:val="nil"/>
              <w:tr2bl w:val="nil"/>
            </w:tcBorders>
            <w:shd w:val="clear" w:color="auto" w:fill="auto"/>
          </w:tcPr>
          <w:p w14:paraId="74560C2B">
            <w:pPr>
              <w:widowControl/>
              <w:spacing w:line="240" w:lineRule="auto"/>
              <w:ind w:firstLine="0" w:firstLineChars="0"/>
              <w:jc w:val="center"/>
              <w:textAlignment w:val="center"/>
              <w:rPr>
                <w:color w:val="auto"/>
                <w:sz w:val="21"/>
                <w:szCs w:val="21"/>
                <w:lang w:bidi="ar"/>
              </w:rPr>
            </w:pPr>
            <w:r>
              <w:rPr>
                <w:color w:val="auto"/>
                <w:sz w:val="21"/>
                <w:szCs w:val="21"/>
                <w:lang w:bidi="ar"/>
              </w:rPr>
              <w:t>⑦</w:t>
            </w:r>
          </w:p>
        </w:tc>
        <w:tc>
          <w:tcPr>
            <w:tcW w:w="939" w:type="pct"/>
            <w:tcBorders>
              <w:tl2br w:val="nil"/>
              <w:tr2bl w:val="nil"/>
            </w:tcBorders>
            <w:shd w:val="clear" w:color="auto" w:fill="auto"/>
          </w:tcPr>
          <w:p w14:paraId="42EE5CCB">
            <w:pPr>
              <w:widowControl/>
              <w:spacing w:line="240" w:lineRule="auto"/>
              <w:ind w:firstLine="0" w:firstLineChars="0"/>
              <w:jc w:val="center"/>
              <w:textAlignment w:val="center"/>
              <w:rPr>
                <w:color w:val="auto"/>
                <w:sz w:val="21"/>
                <w:szCs w:val="21"/>
                <w:lang w:bidi="ar"/>
              </w:rPr>
            </w:pPr>
            <w:r>
              <w:rPr>
                <w:color w:val="auto"/>
                <w:sz w:val="21"/>
                <w:szCs w:val="21"/>
                <w:lang w:bidi="ar"/>
              </w:rPr>
              <w:t>最高日需水</w:t>
            </w:r>
          </w:p>
        </w:tc>
        <w:tc>
          <w:tcPr>
            <w:tcW w:w="2863" w:type="pct"/>
            <w:gridSpan w:val="4"/>
            <w:tcBorders>
              <w:tl2br w:val="nil"/>
              <w:tr2bl w:val="nil"/>
            </w:tcBorders>
            <w:shd w:val="clear" w:color="auto" w:fill="auto"/>
          </w:tcPr>
          <w:p w14:paraId="74C79397">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（①+②+③+④+⑤+⑥）/365*1.2</w:t>
            </w:r>
          </w:p>
        </w:tc>
        <w:tc>
          <w:tcPr>
            <w:tcW w:w="1236" w:type="dxa"/>
            <w:tcBorders>
              <w:tl2br w:val="nil"/>
              <w:tr2bl w:val="nil"/>
            </w:tcBorders>
            <w:shd w:val="clear" w:color="auto" w:fill="auto"/>
            <w:vAlign w:val="center"/>
          </w:tcPr>
          <w:p w14:paraId="4E958B67">
            <w:pPr>
              <w:widowControl/>
              <w:spacing w:line="240" w:lineRule="auto"/>
              <w:ind w:firstLine="0" w:firstLineChars="0"/>
              <w:jc w:val="center"/>
              <w:textAlignment w:val="center"/>
              <w:rPr>
                <w:color w:val="auto"/>
                <w:sz w:val="21"/>
                <w:szCs w:val="21"/>
                <w:lang w:bidi="ar"/>
              </w:rPr>
            </w:pPr>
            <w:r>
              <w:rPr>
                <w:color w:val="auto"/>
                <w:sz w:val="21"/>
                <w:szCs w:val="21"/>
                <w:lang w:bidi="ar"/>
              </w:rPr>
              <w:t>1.91</w:t>
            </w:r>
          </w:p>
        </w:tc>
      </w:tr>
      <w:tr w14:paraId="3498AF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946" w:type="dxa"/>
            <w:tcBorders>
              <w:tl2br w:val="nil"/>
              <w:tr2bl w:val="nil"/>
            </w:tcBorders>
            <w:shd w:val="clear" w:color="auto" w:fill="auto"/>
          </w:tcPr>
          <w:p w14:paraId="0ABE578D">
            <w:pPr>
              <w:widowControl/>
              <w:spacing w:line="240" w:lineRule="auto"/>
              <w:ind w:firstLine="0" w:firstLineChars="0"/>
              <w:jc w:val="center"/>
              <w:textAlignment w:val="center"/>
              <w:rPr>
                <w:color w:val="auto"/>
                <w:sz w:val="21"/>
                <w:szCs w:val="21"/>
                <w:lang w:bidi="ar"/>
              </w:rPr>
            </w:pPr>
            <w:r>
              <w:rPr>
                <w:color w:val="auto"/>
                <w:sz w:val="21"/>
                <w:szCs w:val="21"/>
                <w:lang w:bidi="ar"/>
              </w:rPr>
              <w:t>⑧</w:t>
            </w:r>
          </w:p>
        </w:tc>
        <w:tc>
          <w:tcPr>
            <w:tcW w:w="939" w:type="pct"/>
            <w:tcBorders>
              <w:tl2br w:val="nil"/>
              <w:tr2bl w:val="nil"/>
            </w:tcBorders>
            <w:shd w:val="clear" w:color="auto" w:fill="auto"/>
          </w:tcPr>
          <w:p w14:paraId="17D95D9C">
            <w:pPr>
              <w:widowControl/>
              <w:spacing w:line="240" w:lineRule="auto"/>
              <w:ind w:firstLine="0" w:firstLineChars="0"/>
              <w:jc w:val="center"/>
              <w:textAlignment w:val="center"/>
              <w:rPr>
                <w:color w:val="auto"/>
                <w:sz w:val="21"/>
                <w:szCs w:val="21"/>
                <w:lang w:bidi="ar"/>
              </w:rPr>
            </w:pPr>
            <w:r>
              <w:rPr>
                <w:color w:val="auto"/>
                <w:sz w:val="21"/>
                <w:szCs w:val="21"/>
                <w:lang w:bidi="ar"/>
              </w:rPr>
              <w:t>平均日需水</w:t>
            </w:r>
          </w:p>
        </w:tc>
        <w:tc>
          <w:tcPr>
            <w:tcW w:w="2863" w:type="pct"/>
            <w:gridSpan w:val="4"/>
            <w:tcBorders>
              <w:tl2br w:val="nil"/>
              <w:tr2bl w:val="nil"/>
            </w:tcBorders>
            <w:shd w:val="clear" w:color="auto" w:fill="auto"/>
          </w:tcPr>
          <w:p w14:paraId="32AA13FC">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（①+②+③+④+⑤+⑥）/365</w:t>
            </w:r>
          </w:p>
        </w:tc>
        <w:tc>
          <w:tcPr>
            <w:tcW w:w="1236" w:type="dxa"/>
            <w:tcBorders>
              <w:tl2br w:val="nil"/>
              <w:tr2bl w:val="nil"/>
            </w:tcBorders>
            <w:shd w:val="clear" w:color="auto" w:fill="auto"/>
            <w:vAlign w:val="center"/>
          </w:tcPr>
          <w:p w14:paraId="32D9F73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1.59 </w:t>
            </w:r>
          </w:p>
        </w:tc>
      </w:tr>
    </w:tbl>
    <w:p w14:paraId="794A0242">
      <w:pPr>
        <w:ind w:firstLine="0" w:firstLineChars="0"/>
        <w:jc w:val="left"/>
        <w:rPr>
          <w:b/>
          <w:color w:val="auto"/>
        </w:rPr>
      </w:pPr>
      <w:r>
        <w:rPr>
          <w:b/>
          <w:color w:val="auto"/>
        </w:rPr>
        <w:t>表4.3-3         B区规划水平年2025年需水量预测表（分类指标法）</w:t>
      </w:r>
    </w:p>
    <w:tbl>
      <w:tblPr>
        <w:tblStyle w:val="21"/>
        <w:tblW w:w="4997" w:type="pct"/>
        <w:tblInd w:w="0" w:type="dxa"/>
        <w:tblLayout w:type="autofit"/>
        <w:tblCellMar>
          <w:top w:w="0" w:type="dxa"/>
          <w:left w:w="108" w:type="dxa"/>
          <w:bottom w:w="0" w:type="dxa"/>
          <w:right w:w="108" w:type="dxa"/>
        </w:tblCellMar>
      </w:tblPr>
      <w:tblGrid>
        <w:gridCol w:w="924"/>
        <w:gridCol w:w="1763"/>
        <w:gridCol w:w="1566"/>
        <w:gridCol w:w="1375"/>
        <w:gridCol w:w="1229"/>
        <w:gridCol w:w="1043"/>
        <w:gridCol w:w="1212"/>
      </w:tblGrid>
      <w:tr w14:paraId="57115B82">
        <w:tblPrEx>
          <w:tblCellMar>
            <w:top w:w="0" w:type="dxa"/>
            <w:left w:w="108" w:type="dxa"/>
            <w:bottom w:w="0" w:type="dxa"/>
            <w:right w:w="108" w:type="dxa"/>
          </w:tblCellMar>
        </w:tblPrEx>
        <w:trPr>
          <w:trHeight w:val="270" w:hRule="atLeast"/>
        </w:trPr>
        <w:tc>
          <w:tcPr>
            <w:tcW w:w="507" w:type="pct"/>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14:paraId="1BA06840">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967"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2BBF1EDD">
            <w:pPr>
              <w:widowControl/>
              <w:spacing w:line="240" w:lineRule="auto"/>
              <w:ind w:firstLine="0" w:firstLineChars="0"/>
              <w:jc w:val="center"/>
              <w:textAlignment w:val="center"/>
              <w:rPr>
                <w:color w:val="auto"/>
                <w:sz w:val="21"/>
                <w:szCs w:val="21"/>
                <w:lang w:bidi="ar"/>
              </w:rPr>
            </w:pPr>
            <w:r>
              <w:rPr>
                <w:color w:val="auto"/>
                <w:sz w:val="21"/>
                <w:szCs w:val="21"/>
                <w:lang w:bidi="ar"/>
              </w:rPr>
              <w:t>项目</w:t>
            </w:r>
          </w:p>
        </w:tc>
        <w:tc>
          <w:tcPr>
            <w:tcW w:w="1613"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14:paraId="293D8125">
            <w:pPr>
              <w:widowControl/>
              <w:spacing w:line="240" w:lineRule="auto"/>
              <w:ind w:firstLine="0" w:firstLineChars="0"/>
              <w:jc w:val="center"/>
              <w:textAlignment w:val="center"/>
              <w:rPr>
                <w:color w:val="auto"/>
                <w:sz w:val="21"/>
                <w:szCs w:val="21"/>
                <w:lang w:bidi="ar"/>
              </w:rPr>
            </w:pPr>
            <w:r>
              <w:rPr>
                <w:color w:val="auto"/>
                <w:sz w:val="21"/>
                <w:szCs w:val="21"/>
                <w:lang w:bidi="ar"/>
              </w:rPr>
              <w:t>定额及标准</w:t>
            </w:r>
          </w:p>
        </w:tc>
        <w:tc>
          <w:tcPr>
            <w:tcW w:w="1246"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14:paraId="7008A839">
            <w:pPr>
              <w:widowControl/>
              <w:spacing w:line="240" w:lineRule="auto"/>
              <w:ind w:firstLine="0" w:firstLineChars="0"/>
              <w:jc w:val="center"/>
              <w:textAlignment w:val="center"/>
              <w:rPr>
                <w:color w:val="auto"/>
                <w:sz w:val="21"/>
                <w:szCs w:val="21"/>
                <w:lang w:bidi="ar"/>
              </w:rPr>
            </w:pPr>
            <w:r>
              <w:rPr>
                <w:color w:val="auto"/>
                <w:sz w:val="21"/>
                <w:szCs w:val="21"/>
                <w:lang w:bidi="ar"/>
              </w:rPr>
              <w:t>规模</w:t>
            </w:r>
          </w:p>
        </w:tc>
        <w:tc>
          <w:tcPr>
            <w:tcW w:w="665"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2BB33B46">
            <w:pPr>
              <w:widowControl/>
              <w:spacing w:line="240" w:lineRule="auto"/>
              <w:ind w:firstLine="0" w:firstLineChars="0"/>
              <w:jc w:val="center"/>
              <w:textAlignment w:val="center"/>
              <w:rPr>
                <w:color w:val="auto"/>
                <w:sz w:val="21"/>
                <w:szCs w:val="21"/>
                <w:lang w:bidi="ar"/>
              </w:rPr>
            </w:pPr>
            <w:r>
              <w:rPr>
                <w:color w:val="auto"/>
                <w:sz w:val="21"/>
                <w:szCs w:val="21"/>
                <w:lang w:bidi="ar"/>
              </w:rPr>
              <w:t>需水量</w:t>
            </w:r>
          </w:p>
        </w:tc>
      </w:tr>
      <w:tr w14:paraId="432D850E">
        <w:tblPrEx>
          <w:tblCellMar>
            <w:top w:w="0" w:type="dxa"/>
            <w:left w:w="108" w:type="dxa"/>
            <w:bottom w:w="0" w:type="dxa"/>
            <w:right w:w="108" w:type="dxa"/>
          </w:tblCellMar>
        </w:tblPrEx>
        <w:trPr>
          <w:trHeight w:val="270" w:hRule="atLeast"/>
        </w:trPr>
        <w:tc>
          <w:tcPr>
            <w:tcW w:w="507"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7A82F33A">
            <w:pPr>
              <w:widowControl/>
              <w:spacing w:line="240" w:lineRule="auto"/>
              <w:ind w:firstLine="0" w:firstLineChars="0"/>
              <w:jc w:val="center"/>
              <w:textAlignment w:val="center"/>
              <w:rPr>
                <w:color w:val="auto"/>
                <w:sz w:val="21"/>
                <w:szCs w:val="21"/>
                <w:lang w:bidi="ar"/>
              </w:rPr>
            </w:pPr>
          </w:p>
        </w:tc>
        <w:tc>
          <w:tcPr>
            <w:tcW w:w="9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0AE99">
            <w:pPr>
              <w:widowControl/>
              <w:spacing w:line="240" w:lineRule="auto"/>
              <w:ind w:firstLine="0" w:firstLineChars="0"/>
              <w:jc w:val="center"/>
              <w:textAlignment w:val="center"/>
              <w:rPr>
                <w:color w:val="auto"/>
                <w:sz w:val="21"/>
                <w:szCs w:val="21"/>
                <w:lang w:bidi="ar"/>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B3643">
            <w:pPr>
              <w:widowControl/>
              <w:spacing w:line="240" w:lineRule="auto"/>
              <w:ind w:firstLine="0" w:firstLineChars="0"/>
              <w:jc w:val="center"/>
              <w:textAlignment w:val="center"/>
              <w:rPr>
                <w:color w:val="auto"/>
                <w:sz w:val="21"/>
                <w:szCs w:val="21"/>
                <w:lang w:bidi="ar"/>
              </w:rPr>
            </w:pPr>
            <w:r>
              <w:rPr>
                <w:color w:val="auto"/>
                <w:sz w:val="21"/>
                <w:szCs w:val="21"/>
                <w:lang w:bidi="ar"/>
              </w:rPr>
              <w:t>数值</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EE12">
            <w:pPr>
              <w:widowControl/>
              <w:spacing w:line="240" w:lineRule="auto"/>
              <w:ind w:firstLine="0" w:firstLineChars="0"/>
              <w:jc w:val="center"/>
              <w:textAlignment w:val="center"/>
              <w:rPr>
                <w:color w:val="auto"/>
                <w:sz w:val="21"/>
                <w:szCs w:val="21"/>
                <w:lang w:bidi="ar"/>
              </w:rPr>
            </w:pPr>
            <w:r>
              <w:rPr>
                <w:color w:val="auto"/>
                <w:sz w:val="21"/>
                <w:szCs w:val="21"/>
                <w:lang w:bidi="ar"/>
              </w:rPr>
              <w:t>单位</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92A90">
            <w:pPr>
              <w:widowControl/>
              <w:spacing w:line="240" w:lineRule="auto"/>
              <w:ind w:firstLine="0" w:firstLineChars="0"/>
              <w:jc w:val="center"/>
              <w:textAlignment w:val="center"/>
              <w:rPr>
                <w:color w:val="auto"/>
                <w:sz w:val="21"/>
                <w:szCs w:val="21"/>
                <w:lang w:bidi="ar"/>
              </w:rPr>
            </w:pPr>
            <w:r>
              <w:rPr>
                <w:color w:val="auto"/>
                <w:sz w:val="21"/>
                <w:szCs w:val="21"/>
                <w:lang w:bidi="ar"/>
              </w:rPr>
              <w:t>数值</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D44FD">
            <w:pPr>
              <w:widowControl/>
              <w:spacing w:line="240" w:lineRule="auto"/>
              <w:ind w:firstLine="0" w:firstLineChars="0"/>
              <w:jc w:val="center"/>
              <w:textAlignment w:val="center"/>
              <w:rPr>
                <w:color w:val="auto"/>
                <w:sz w:val="21"/>
                <w:szCs w:val="21"/>
                <w:lang w:bidi="ar"/>
              </w:rPr>
            </w:pPr>
            <w:r>
              <w:rPr>
                <w:color w:val="auto"/>
                <w:sz w:val="21"/>
                <w:szCs w:val="21"/>
                <w:lang w:bidi="ar"/>
              </w:rPr>
              <w:t>单位</w:t>
            </w:r>
          </w:p>
        </w:tc>
        <w:tc>
          <w:tcPr>
            <w:tcW w:w="665"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2495D29">
            <w:pPr>
              <w:widowControl/>
              <w:spacing w:line="240" w:lineRule="auto"/>
              <w:ind w:firstLine="0" w:firstLineChars="0"/>
              <w:jc w:val="center"/>
              <w:textAlignment w:val="center"/>
              <w:rPr>
                <w:color w:val="auto"/>
                <w:sz w:val="21"/>
                <w:szCs w:val="21"/>
                <w:lang w:bidi="ar"/>
              </w:rPr>
            </w:pPr>
            <w:r>
              <w:rPr>
                <w:color w:val="auto"/>
                <w:sz w:val="21"/>
                <w:szCs w:val="21"/>
                <w:lang w:bidi="ar"/>
              </w:rPr>
              <w:t>（万 m³）</w:t>
            </w:r>
          </w:p>
        </w:tc>
      </w:tr>
      <w:tr w14:paraId="1040A14B">
        <w:tblPrEx>
          <w:tblCellMar>
            <w:top w:w="0" w:type="dxa"/>
            <w:left w:w="108" w:type="dxa"/>
            <w:bottom w:w="0" w:type="dxa"/>
            <w:right w:w="108" w:type="dxa"/>
          </w:tblCellMar>
        </w:tblPrEx>
        <w:trPr>
          <w:trHeight w:val="270" w:hRule="atLeast"/>
        </w:trPr>
        <w:tc>
          <w:tcPr>
            <w:tcW w:w="50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3EE6EC6B">
            <w:pPr>
              <w:widowControl/>
              <w:spacing w:line="240" w:lineRule="auto"/>
              <w:ind w:firstLine="0" w:firstLineChars="0"/>
              <w:jc w:val="center"/>
              <w:textAlignment w:val="center"/>
              <w:rPr>
                <w:color w:val="auto"/>
                <w:sz w:val="21"/>
                <w:szCs w:val="21"/>
                <w:lang w:bidi="ar"/>
              </w:rPr>
            </w:pPr>
            <w:r>
              <w:rPr>
                <w:color w:val="auto"/>
                <w:sz w:val="21"/>
                <w:szCs w:val="21"/>
                <w:lang w:bidi="ar"/>
              </w:rPr>
              <w:t>①</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CBD2">
            <w:pPr>
              <w:widowControl/>
              <w:spacing w:line="240" w:lineRule="auto"/>
              <w:ind w:firstLine="0" w:firstLineChars="0"/>
              <w:jc w:val="center"/>
              <w:textAlignment w:val="center"/>
              <w:rPr>
                <w:color w:val="auto"/>
                <w:sz w:val="21"/>
                <w:szCs w:val="21"/>
                <w:lang w:bidi="ar"/>
              </w:rPr>
            </w:pPr>
            <w:r>
              <w:rPr>
                <w:color w:val="auto"/>
                <w:sz w:val="21"/>
                <w:szCs w:val="21"/>
                <w:lang w:bidi="ar"/>
              </w:rPr>
              <w:t>综合生活用水</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C2F99">
            <w:pPr>
              <w:widowControl/>
              <w:spacing w:line="240" w:lineRule="auto"/>
              <w:ind w:firstLine="0" w:firstLineChars="0"/>
              <w:jc w:val="center"/>
              <w:textAlignment w:val="center"/>
              <w:rPr>
                <w:color w:val="auto"/>
                <w:sz w:val="21"/>
                <w:szCs w:val="21"/>
                <w:lang w:bidi="ar"/>
              </w:rPr>
            </w:pPr>
            <w:r>
              <w:rPr>
                <w:color w:val="auto"/>
                <w:sz w:val="21"/>
                <w:szCs w:val="21"/>
                <w:lang w:bidi="ar"/>
              </w:rPr>
              <w:t>150</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F4EAC">
            <w:pPr>
              <w:widowControl/>
              <w:spacing w:line="240" w:lineRule="auto"/>
              <w:ind w:firstLine="0" w:firstLineChars="0"/>
              <w:jc w:val="center"/>
              <w:textAlignment w:val="center"/>
              <w:rPr>
                <w:color w:val="auto"/>
                <w:sz w:val="21"/>
                <w:szCs w:val="21"/>
                <w:lang w:bidi="ar"/>
              </w:rPr>
            </w:pPr>
            <w:r>
              <w:rPr>
                <w:color w:val="auto"/>
                <w:sz w:val="21"/>
                <w:szCs w:val="21"/>
                <w:lang w:bidi="ar"/>
              </w:rPr>
              <w:t>L/（人·d）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F9A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4.99 </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10C1D">
            <w:pPr>
              <w:widowControl/>
              <w:spacing w:line="240" w:lineRule="auto"/>
              <w:ind w:firstLine="0" w:firstLineChars="0"/>
              <w:jc w:val="center"/>
              <w:textAlignment w:val="center"/>
              <w:rPr>
                <w:color w:val="auto"/>
                <w:sz w:val="21"/>
                <w:szCs w:val="21"/>
                <w:lang w:bidi="ar"/>
              </w:rPr>
            </w:pPr>
            <w:r>
              <w:rPr>
                <w:color w:val="auto"/>
                <w:sz w:val="21"/>
                <w:szCs w:val="21"/>
                <w:lang w:bidi="ar"/>
              </w:rPr>
              <w:t>万人</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049F40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273.20 </w:t>
            </w:r>
          </w:p>
        </w:tc>
      </w:tr>
      <w:tr w14:paraId="58891FA9">
        <w:tblPrEx>
          <w:tblCellMar>
            <w:top w:w="0" w:type="dxa"/>
            <w:left w:w="108" w:type="dxa"/>
            <w:bottom w:w="0" w:type="dxa"/>
            <w:right w:w="108" w:type="dxa"/>
          </w:tblCellMar>
        </w:tblPrEx>
        <w:trPr>
          <w:trHeight w:val="360" w:hRule="atLeast"/>
        </w:trPr>
        <w:tc>
          <w:tcPr>
            <w:tcW w:w="50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3951D2DF">
            <w:pPr>
              <w:widowControl/>
              <w:spacing w:line="240" w:lineRule="auto"/>
              <w:ind w:firstLine="0" w:firstLineChars="0"/>
              <w:jc w:val="center"/>
              <w:textAlignment w:val="center"/>
              <w:rPr>
                <w:color w:val="auto"/>
                <w:sz w:val="21"/>
                <w:szCs w:val="21"/>
                <w:lang w:bidi="ar"/>
              </w:rPr>
            </w:pPr>
            <w:r>
              <w:rPr>
                <w:color w:val="auto"/>
                <w:sz w:val="21"/>
                <w:szCs w:val="21"/>
                <w:lang w:bidi="ar"/>
              </w:rPr>
              <w:t>②</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0BD3D">
            <w:pPr>
              <w:widowControl/>
              <w:spacing w:line="240" w:lineRule="auto"/>
              <w:ind w:firstLine="0" w:firstLineChars="0"/>
              <w:jc w:val="center"/>
              <w:textAlignment w:val="center"/>
              <w:rPr>
                <w:color w:val="auto"/>
                <w:sz w:val="21"/>
                <w:szCs w:val="21"/>
                <w:lang w:bidi="ar"/>
              </w:rPr>
            </w:pPr>
            <w:r>
              <w:rPr>
                <w:color w:val="auto"/>
                <w:sz w:val="21"/>
                <w:szCs w:val="21"/>
                <w:lang w:bidi="ar"/>
              </w:rPr>
              <w:t>工业用水</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34556">
            <w:pPr>
              <w:widowControl/>
              <w:spacing w:line="240" w:lineRule="auto"/>
              <w:ind w:firstLine="0" w:firstLineChars="0"/>
              <w:jc w:val="center"/>
              <w:textAlignment w:val="center"/>
              <w:rPr>
                <w:color w:val="auto"/>
                <w:sz w:val="21"/>
                <w:szCs w:val="21"/>
                <w:lang w:bidi="ar"/>
              </w:rPr>
            </w:pPr>
            <w:r>
              <w:rPr>
                <w:color w:val="auto"/>
                <w:sz w:val="21"/>
                <w:szCs w:val="21"/>
                <w:lang w:bidi="ar"/>
              </w:rPr>
              <w:t>19</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FA6C">
            <w:pPr>
              <w:widowControl/>
              <w:spacing w:line="240" w:lineRule="auto"/>
              <w:ind w:firstLine="0" w:firstLineChars="0"/>
              <w:jc w:val="center"/>
              <w:textAlignment w:val="center"/>
              <w:rPr>
                <w:color w:val="auto"/>
                <w:sz w:val="21"/>
                <w:szCs w:val="21"/>
                <w:lang w:bidi="ar"/>
              </w:rPr>
            </w:pPr>
            <w:r>
              <w:rPr>
                <w:color w:val="auto"/>
                <w:sz w:val="21"/>
                <w:szCs w:val="21"/>
                <w:lang w:bidi="ar"/>
              </w:rPr>
              <w:t>m</w:t>
            </w:r>
            <w:r>
              <w:rPr>
                <w:color w:val="auto"/>
                <w:sz w:val="21"/>
                <w:szCs w:val="21"/>
                <w:vertAlign w:val="superscript"/>
                <w:lang w:bidi="ar"/>
              </w:rPr>
              <w:t>3</w:t>
            </w:r>
            <w:r>
              <w:rPr>
                <w:color w:val="auto"/>
                <w:sz w:val="21"/>
                <w:szCs w:val="21"/>
                <w:lang w:bidi="ar"/>
              </w:rPr>
              <w:t>/万元</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A00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51.65 </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BF860">
            <w:pPr>
              <w:widowControl/>
              <w:spacing w:line="240" w:lineRule="auto"/>
              <w:ind w:firstLine="0" w:firstLineChars="0"/>
              <w:jc w:val="center"/>
              <w:textAlignment w:val="center"/>
              <w:rPr>
                <w:color w:val="auto"/>
                <w:sz w:val="21"/>
                <w:szCs w:val="21"/>
                <w:lang w:bidi="ar"/>
              </w:rPr>
            </w:pPr>
            <w:r>
              <w:rPr>
                <w:color w:val="auto"/>
                <w:sz w:val="21"/>
                <w:szCs w:val="21"/>
                <w:lang w:bidi="ar"/>
              </w:rPr>
              <w:t>亿元</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3AA833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981.35 </w:t>
            </w:r>
          </w:p>
        </w:tc>
      </w:tr>
      <w:tr w14:paraId="328BD6D6">
        <w:tblPrEx>
          <w:tblCellMar>
            <w:top w:w="0" w:type="dxa"/>
            <w:left w:w="108" w:type="dxa"/>
            <w:bottom w:w="0" w:type="dxa"/>
            <w:right w:w="108" w:type="dxa"/>
          </w:tblCellMar>
        </w:tblPrEx>
        <w:trPr>
          <w:trHeight w:val="315" w:hRule="atLeast"/>
        </w:trPr>
        <w:tc>
          <w:tcPr>
            <w:tcW w:w="507" w:type="pct"/>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14:paraId="4895B4A0">
            <w:pPr>
              <w:widowControl/>
              <w:spacing w:line="240" w:lineRule="auto"/>
              <w:ind w:firstLine="0" w:firstLineChars="0"/>
              <w:jc w:val="center"/>
              <w:textAlignment w:val="center"/>
              <w:rPr>
                <w:color w:val="auto"/>
                <w:sz w:val="21"/>
                <w:szCs w:val="21"/>
                <w:lang w:bidi="ar"/>
              </w:rPr>
            </w:pPr>
            <w:r>
              <w:rPr>
                <w:color w:val="auto"/>
                <w:sz w:val="21"/>
                <w:szCs w:val="21"/>
                <w:lang w:bidi="ar"/>
              </w:rPr>
              <w:t>③</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52B9">
            <w:pPr>
              <w:widowControl/>
              <w:spacing w:line="240" w:lineRule="auto"/>
              <w:ind w:firstLine="0" w:firstLineChars="0"/>
              <w:jc w:val="center"/>
              <w:textAlignment w:val="center"/>
              <w:rPr>
                <w:color w:val="auto"/>
                <w:sz w:val="21"/>
                <w:szCs w:val="21"/>
                <w:lang w:bidi="ar"/>
              </w:rPr>
            </w:pPr>
            <w:r>
              <w:rPr>
                <w:color w:val="auto"/>
                <w:sz w:val="21"/>
                <w:szCs w:val="21"/>
                <w:lang w:bidi="ar"/>
              </w:rPr>
              <w:t>洒浇道路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B248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2.00 </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1004">
            <w:pPr>
              <w:widowControl/>
              <w:spacing w:line="240" w:lineRule="auto"/>
              <w:ind w:firstLine="0" w:firstLineChars="0"/>
              <w:jc w:val="center"/>
              <w:textAlignment w:val="center"/>
              <w:rPr>
                <w:color w:val="auto"/>
                <w:sz w:val="21"/>
                <w:szCs w:val="21"/>
                <w:lang w:bidi="ar"/>
              </w:rPr>
            </w:pPr>
            <w:r>
              <w:rPr>
                <w:color w:val="auto"/>
                <w:sz w:val="21"/>
                <w:szCs w:val="21"/>
                <w:lang w:bidi="ar"/>
              </w:rPr>
              <w:t>L/(m2·d)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D30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243.61 </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DAD7E">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5E4604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177.84 </w:t>
            </w:r>
          </w:p>
        </w:tc>
      </w:tr>
      <w:tr w14:paraId="04A73E70">
        <w:tblPrEx>
          <w:tblCellMar>
            <w:top w:w="0" w:type="dxa"/>
            <w:left w:w="108" w:type="dxa"/>
            <w:bottom w:w="0" w:type="dxa"/>
            <w:right w:w="108" w:type="dxa"/>
          </w:tblCellMar>
        </w:tblPrEx>
        <w:trPr>
          <w:trHeight w:val="270" w:hRule="atLeast"/>
        </w:trPr>
        <w:tc>
          <w:tcPr>
            <w:tcW w:w="507"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18A88A2C">
            <w:pPr>
              <w:widowControl/>
              <w:spacing w:line="240" w:lineRule="auto"/>
              <w:ind w:firstLine="0" w:firstLineChars="0"/>
              <w:jc w:val="center"/>
              <w:textAlignment w:val="center"/>
              <w:rPr>
                <w:color w:val="auto"/>
                <w:sz w:val="21"/>
                <w:szCs w:val="21"/>
                <w:lang w:bidi="ar"/>
              </w:rPr>
            </w:pP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6620">
            <w:pPr>
              <w:widowControl/>
              <w:spacing w:line="240" w:lineRule="auto"/>
              <w:ind w:firstLine="0" w:firstLineChars="0"/>
              <w:jc w:val="center"/>
              <w:textAlignment w:val="center"/>
              <w:rPr>
                <w:color w:val="auto"/>
                <w:sz w:val="21"/>
                <w:szCs w:val="21"/>
                <w:lang w:bidi="ar"/>
              </w:rPr>
            </w:pPr>
            <w:r>
              <w:rPr>
                <w:color w:val="auto"/>
                <w:sz w:val="21"/>
                <w:szCs w:val="21"/>
                <w:lang w:bidi="ar"/>
              </w:rPr>
              <w:t>绿地用水</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A25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 </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E434">
            <w:pPr>
              <w:widowControl/>
              <w:spacing w:line="240" w:lineRule="auto"/>
              <w:ind w:firstLine="0" w:firstLineChars="0"/>
              <w:jc w:val="center"/>
              <w:textAlignment w:val="center"/>
              <w:rPr>
                <w:color w:val="auto"/>
                <w:sz w:val="21"/>
                <w:szCs w:val="21"/>
                <w:lang w:bidi="ar"/>
              </w:rPr>
            </w:pPr>
            <w:r>
              <w:rPr>
                <w:color w:val="auto"/>
                <w:sz w:val="21"/>
                <w:szCs w:val="21"/>
                <w:lang w:bidi="ar"/>
              </w:rPr>
              <w:t>L/(m2·d)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2CD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120.32 </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2C1E">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162C61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43.92 </w:t>
            </w:r>
          </w:p>
        </w:tc>
      </w:tr>
      <w:tr w14:paraId="43AC2624">
        <w:tblPrEx>
          <w:tblCellMar>
            <w:top w:w="0" w:type="dxa"/>
            <w:left w:w="108" w:type="dxa"/>
            <w:bottom w:w="0" w:type="dxa"/>
            <w:right w:w="108" w:type="dxa"/>
          </w:tblCellMar>
        </w:tblPrEx>
        <w:trPr>
          <w:trHeight w:val="270" w:hRule="atLeast"/>
        </w:trPr>
        <w:tc>
          <w:tcPr>
            <w:tcW w:w="50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10D97AA">
            <w:pPr>
              <w:widowControl/>
              <w:spacing w:line="240" w:lineRule="auto"/>
              <w:ind w:firstLine="0" w:firstLineChars="0"/>
              <w:jc w:val="center"/>
              <w:textAlignment w:val="center"/>
              <w:rPr>
                <w:color w:val="auto"/>
                <w:sz w:val="21"/>
                <w:szCs w:val="21"/>
                <w:lang w:bidi="ar"/>
              </w:rPr>
            </w:pPr>
            <w:r>
              <w:rPr>
                <w:color w:val="auto"/>
                <w:sz w:val="21"/>
                <w:szCs w:val="21"/>
                <w:lang w:bidi="ar"/>
              </w:rPr>
              <w:t>④</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FE5A9">
            <w:pPr>
              <w:widowControl/>
              <w:spacing w:line="240" w:lineRule="auto"/>
              <w:ind w:firstLine="0" w:firstLineChars="0"/>
              <w:jc w:val="center"/>
              <w:textAlignment w:val="center"/>
              <w:rPr>
                <w:color w:val="auto"/>
                <w:sz w:val="21"/>
                <w:szCs w:val="21"/>
                <w:lang w:bidi="ar"/>
              </w:rPr>
            </w:pPr>
            <w:r>
              <w:rPr>
                <w:color w:val="auto"/>
                <w:sz w:val="21"/>
                <w:szCs w:val="21"/>
                <w:lang w:bidi="ar"/>
              </w:rPr>
              <w:t>管网渗漏</w:t>
            </w:r>
          </w:p>
        </w:tc>
        <w:tc>
          <w:tcPr>
            <w:tcW w:w="285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0368F6">
            <w:pPr>
              <w:widowControl/>
              <w:spacing w:line="240" w:lineRule="auto"/>
              <w:ind w:firstLine="0" w:firstLineChars="0"/>
              <w:jc w:val="center"/>
              <w:textAlignment w:val="center"/>
              <w:rPr>
                <w:color w:val="auto"/>
                <w:sz w:val="21"/>
                <w:szCs w:val="21"/>
                <w:lang w:bidi="ar"/>
              </w:rPr>
            </w:pPr>
            <w:r>
              <w:rPr>
                <w:color w:val="auto"/>
                <w:sz w:val="21"/>
                <w:szCs w:val="21"/>
                <w:lang w:bidi="ar"/>
              </w:rPr>
              <w:t>(①+②+③)×9%</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15B5BF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132.87 </w:t>
            </w:r>
          </w:p>
        </w:tc>
      </w:tr>
      <w:tr w14:paraId="009EC1D6">
        <w:tblPrEx>
          <w:tblCellMar>
            <w:top w:w="0" w:type="dxa"/>
            <w:left w:w="108" w:type="dxa"/>
            <w:bottom w:w="0" w:type="dxa"/>
            <w:right w:w="108" w:type="dxa"/>
          </w:tblCellMar>
        </w:tblPrEx>
        <w:trPr>
          <w:trHeight w:val="270" w:hRule="atLeast"/>
        </w:trPr>
        <w:tc>
          <w:tcPr>
            <w:tcW w:w="507"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3DF8B11B">
            <w:pPr>
              <w:widowControl/>
              <w:spacing w:line="240" w:lineRule="auto"/>
              <w:ind w:firstLine="0" w:firstLineChars="0"/>
              <w:jc w:val="center"/>
              <w:textAlignment w:val="center"/>
              <w:rPr>
                <w:color w:val="auto"/>
                <w:sz w:val="21"/>
                <w:szCs w:val="21"/>
                <w:lang w:bidi="ar"/>
              </w:rPr>
            </w:pPr>
            <w:r>
              <w:rPr>
                <w:color w:val="auto"/>
                <w:sz w:val="21"/>
                <w:szCs w:val="21"/>
                <w:lang w:bidi="ar"/>
              </w:rPr>
              <w:t>⑤</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C2F38">
            <w:pPr>
              <w:widowControl/>
              <w:spacing w:line="240" w:lineRule="auto"/>
              <w:ind w:firstLine="0" w:firstLineChars="0"/>
              <w:jc w:val="center"/>
              <w:textAlignment w:val="center"/>
              <w:rPr>
                <w:color w:val="auto"/>
                <w:sz w:val="21"/>
                <w:szCs w:val="21"/>
                <w:lang w:bidi="ar"/>
              </w:rPr>
            </w:pPr>
            <w:r>
              <w:rPr>
                <w:color w:val="auto"/>
                <w:sz w:val="21"/>
                <w:szCs w:val="21"/>
                <w:lang w:bidi="ar"/>
              </w:rPr>
              <w:t>未预见水</w:t>
            </w:r>
          </w:p>
        </w:tc>
        <w:tc>
          <w:tcPr>
            <w:tcW w:w="285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5C3166">
            <w:pPr>
              <w:widowControl/>
              <w:spacing w:line="240" w:lineRule="auto"/>
              <w:ind w:firstLine="0" w:firstLineChars="0"/>
              <w:jc w:val="center"/>
              <w:textAlignment w:val="center"/>
              <w:rPr>
                <w:color w:val="auto"/>
                <w:sz w:val="21"/>
                <w:szCs w:val="21"/>
                <w:lang w:bidi="ar"/>
              </w:rPr>
            </w:pPr>
            <w:r>
              <w:rPr>
                <w:color w:val="auto"/>
                <w:sz w:val="21"/>
                <w:szCs w:val="21"/>
                <w:lang w:bidi="ar"/>
              </w:rPr>
              <w:t>(①+②+③+④)×10%</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2CCE71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160.92 </w:t>
            </w:r>
          </w:p>
        </w:tc>
      </w:tr>
      <w:tr w14:paraId="0231AC4C">
        <w:tblPrEx>
          <w:tblCellMar>
            <w:top w:w="0" w:type="dxa"/>
            <w:left w:w="108" w:type="dxa"/>
            <w:bottom w:w="0" w:type="dxa"/>
            <w:right w:w="108" w:type="dxa"/>
          </w:tblCellMar>
        </w:tblPrEx>
        <w:trPr>
          <w:trHeight w:val="270" w:hRule="atLeast"/>
        </w:trPr>
        <w:tc>
          <w:tcPr>
            <w:tcW w:w="925"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0073277">
            <w:pPr>
              <w:widowControl/>
              <w:spacing w:line="240" w:lineRule="auto"/>
              <w:ind w:firstLine="0" w:firstLineChars="0"/>
              <w:jc w:val="center"/>
              <w:textAlignment w:val="center"/>
              <w:rPr>
                <w:color w:val="auto"/>
                <w:sz w:val="21"/>
                <w:szCs w:val="21"/>
                <w:lang w:bidi="ar"/>
              </w:rPr>
            </w:pPr>
            <w:r>
              <w:rPr>
                <w:color w:val="auto"/>
                <w:sz w:val="21"/>
                <w:szCs w:val="21"/>
                <w:lang w:bidi="ar"/>
              </w:rPr>
              <w:t>⑥</w:t>
            </w:r>
          </w:p>
        </w:tc>
        <w:tc>
          <w:tcPr>
            <w:tcW w:w="9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E58E">
            <w:pPr>
              <w:widowControl/>
              <w:spacing w:line="240" w:lineRule="auto"/>
              <w:ind w:firstLine="0" w:firstLineChars="0"/>
              <w:jc w:val="center"/>
              <w:textAlignment w:val="center"/>
              <w:rPr>
                <w:color w:val="auto"/>
                <w:sz w:val="21"/>
                <w:szCs w:val="21"/>
                <w:lang w:bidi="ar"/>
              </w:rPr>
            </w:pPr>
            <w:r>
              <w:rPr>
                <w:color w:val="auto"/>
                <w:sz w:val="21"/>
                <w:szCs w:val="21"/>
                <w:lang w:bidi="ar"/>
              </w:rPr>
              <w:t>总需水量</w:t>
            </w:r>
          </w:p>
        </w:tc>
        <w:tc>
          <w:tcPr>
            <w:tcW w:w="285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EFDFEE">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92A524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1770.09 </w:t>
            </w:r>
          </w:p>
        </w:tc>
      </w:tr>
      <w:tr w14:paraId="2EE3E00A">
        <w:tblPrEx>
          <w:tblCellMar>
            <w:top w:w="0" w:type="dxa"/>
            <w:left w:w="108" w:type="dxa"/>
            <w:bottom w:w="0" w:type="dxa"/>
            <w:right w:w="108" w:type="dxa"/>
          </w:tblCellMar>
        </w:tblPrEx>
        <w:trPr>
          <w:trHeight w:val="270" w:hRule="atLeast"/>
        </w:trPr>
        <w:tc>
          <w:tcPr>
            <w:tcW w:w="925" w:type="dxa"/>
            <w:tcBorders>
              <w:top w:val="single" w:color="000000" w:sz="4" w:space="0"/>
              <w:left w:val="single" w:color="000000" w:sz="12" w:space="0"/>
              <w:bottom w:val="single" w:color="000000" w:sz="4" w:space="0"/>
              <w:right w:val="single" w:color="000000" w:sz="4" w:space="0"/>
            </w:tcBorders>
            <w:shd w:val="clear" w:color="auto" w:fill="auto"/>
          </w:tcPr>
          <w:p w14:paraId="137FFB8C">
            <w:pPr>
              <w:widowControl/>
              <w:spacing w:line="240" w:lineRule="auto"/>
              <w:ind w:firstLine="0" w:firstLineChars="0"/>
              <w:jc w:val="center"/>
              <w:textAlignment w:val="center"/>
              <w:rPr>
                <w:color w:val="auto"/>
                <w:sz w:val="21"/>
                <w:szCs w:val="21"/>
                <w:lang w:bidi="ar"/>
              </w:rPr>
            </w:pPr>
            <w:r>
              <w:rPr>
                <w:color w:val="auto"/>
                <w:sz w:val="21"/>
                <w:szCs w:val="21"/>
                <w:lang w:bidi="ar"/>
              </w:rPr>
              <w:t>⑦</w:t>
            </w:r>
          </w:p>
        </w:tc>
        <w:tc>
          <w:tcPr>
            <w:tcW w:w="967" w:type="pct"/>
            <w:tcBorders>
              <w:top w:val="single" w:color="000000" w:sz="4" w:space="0"/>
              <w:left w:val="single" w:color="000000" w:sz="4" w:space="0"/>
              <w:bottom w:val="single" w:color="000000" w:sz="4" w:space="0"/>
              <w:right w:val="single" w:color="000000" w:sz="4" w:space="0"/>
            </w:tcBorders>
            <w:shd w:val="clear" w:color="auto" w:fill="auto"/>
          </w:tcPr>
          <w:p w14:paraId="4E7DF1DE">
            <w:pPr>
              <w:widowControl/>
              <w:spacing w:line="240" w:lineRule="auto"/>
              <w:ind w:firstLine="0" w:firstLineChars="0"/>
              <w:jc w:val="center"/>
              <w:textAlignment w:val="center"/>
              <w:rPr>
                <w:color w:val="auto"/>
                <w:sz w:val="21"/>
                <w:szCs w:val="21"/>
                <w:lang w:bidi="ar"/>
              </w:rPr>
            </w:pPr>
            <w:r>
              <w:rPr>
                <w:color w:val="auto"/>
                <w:sz w:val="21"/>
                <w:szCs w:val="21"/>
                <w:lang w:bidi="ar"/>
              </w:rPr>
              <w:t>最高日需水</w:t>
            </w:r>
          </w:p>
        </w:tc>
        <w:tc>
          <w:tcPr>
            <w:tcW w:w="2859" w:type="pct"/>
            <w:gridSpan w:val="4"/>
            <w:tcBorders>
              <w:top w:val="single" w:color="000000" w:sz="4" w:space="0"/>
              <w:left w:val="single" w:color="000000" w:sz="4" w:space="0"/>
              <w:bottom w:val="single" w:color="000000" w:sz="4" w:space="0"/>
              <w:right w:val="single" w:color="000000" w:sz="4" w:space="0"/>
            </w:tcBorders>
            <w:shd w:val="clear" w:color="auto" w:fill="auto"/>
          </w:tcPr>
          <w:p w14:paraId="11F75B68">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（①+②+③+④+⑤+⑥）/365*1.2</w:t>
            </w:r>
          </w:p>
        </w:tc>
        <w:tc>
          <w:tcPr>
            <w:tcW w:w="1212"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340816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5.82 </w:t>
            </w:r>
          </w:p>
        </w:tc>
      </w:tr>
      <w:tr w14:paraId="2B5D5942">
        <w:tblPrEx>
          <w:tblCellMar>
            <w:top w:w="0" w:type="dxa"/>
            <w:left w:w="108" w:type="dxa"/>
            <w:bottom w:w="0" w:type="dxa"/>
            <w:right w:w="108" w:type="dxa"/>
          </w:tblCellMar>
        </w:tblPrEx>
        <w:trPr>
          <w:trHeight w:val="270" w:hRule="atLeast"/>
        </w:trPr>
        <w:tc>
          <w:tcPr>
            <w:tcW w:w="925" w:type="dxa"/>
            <w:tcBorders>
              <w:top w:val="single" w:color="000000" w:sz="4" w:space="0"/>
              <w:left w:val="single" w:color="000000" w:sz="12" w:space="0"/>
              <w:bottom w:val="single" w:color="000000" w:sz="12" w:space="0"/>
              <w:right w:val="single" w:color="000000" w:sz="4" w:space="0"/>
            </w:tcBorders>
            <w:shd w:val="clear" w:color="auto" w:fill="auto"/>
          </w:tcPr>
          <w:p w14:paraId="185B50CE">
            <w:pPr>
              <w:widowControl/>
              <w:spacing w:line="240" w:lineRule="auto"/>
              <w:ind w:firstLine="0" w:firstLineChars="0"/>
              <w:jc w:val="center"/>
              <w:textAlignment w:val="center"/>
              <w:rPr>
                <w:color w:val="auto"/>
                <w:sz w:val="21"/>
                <w:szCs w:val="21"/>
                <w:lang w:bidi="ar"/>
              </w:rPr>
            </w:pPr>
            <w:r>
              <w:rPr>
                <w:color w:val="auto"/>
                <w:sz w:val="21"/>
                <w:szCs w:val="21"/>
                <w:lang w:bidi="ar"/>
              </w:rPr>
              <w:t>⑧</w:t>
            </w:r>
          </w:p>
        </w:tc>
        <w:tc>
          <w:tcPr>
            <w:tcW w:w="967" w:type="pct"/>
            <w:tcBorders>
              <w:top w:val="single" w:color="000000" w:sz="4" w:space="0"/>
              <w:left w:val="single" w:color="000000" w:sz="4" w:space="0"/>
              <w:bottom w:val="single" w:color="000000" w:sz="12" w:space="0"/>
              <w:right w:val="single" w:color="000000" w:sz="4" w:space="0"/>
            </w:tcBorders>
            <w:shd w:val="clear" w:color="auto" w:fill="auto"/>
          </w:tcPr>
          <w:p w14:paraId="3E182452">
            <w:pPr>
              <w:widowControl/>
              <w:spacing w:line="240" w:lineRule="auto"/>
              <w:ind w:firstLine="0" w:firstLineChars="0"/>
              <w:jc w:val="center"/>
              <w:textAlignment w:val="center"/>
              <w:rPr>
                <w:color w:val="auto"/>
                <w:sz w:val="21"/>
                <w:szCs w:val="21"/>
                <w:lang w:bidi="ar"/>
              </w:rPr>
            </w:pPr>
            <w:r>
              <w:rPr>
                <w:color w:val="auto"/>
                <w:sz w:val="21"/>
                <w:szCs w:val="21"/>
                <w:lang w:bidi="ar"/>
              </w:rPr>
              <w:t>平均日需水</w:t>
            </w:r>
          </w:p>
        </w:tc>
        <w:tc>
          <w:tcPr>
            <w:tcW w:w="2859" w:type="pct"/>
            <w:gridSpan w:val="4"/>
            <w:tcBorders>
              <w:top w:val="single" w:color="000000" w:sz="4" w:space="0"/>
              <w:left w:val="single" w:color="000000" w:sz="4" w:space="0"/>
              <w:bottom w:val="single" w:color="000000" w:sz="12" w:space="0"/>
              <w:right w:val="single" w:color="000000" w:sz="4" w:space="0"/>
            </w:tcBorders>
            <w:shd w:val="clear" w:color="auto" w:fill="auto"/>
          </w:tcPr>
          <w:p w14:paraId="102F13CC">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（①+②+③+④+⑤+⑥）/365</w:t>
            </w:r>
          </w:p>
        </w:tc>
        <w:tc>
          <w:tcPr>
            <w:tcW w:w="1212"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60A593C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4.85 </w:t>
            </w:r>
          </w:p>
        </w:tc>
      </w:tr>
    </w:tbl>
    <w:p w14:paraId="7F40A755">
      <w:pPr>
        <w:ind w:firstLine="0" w:firstLineChars="0"/>
        <w:jc w:val="left"/>
        <w:rPr>
          <w:color w:val="auto"/>
        </w:rPr>
      </w:pPr>
      <w:r>
        <w:rPr>
          <w:b/>
          <w:color w:val="auto"/>
        </w:rPr>
        <w:t>表4.3-4         C区规划水平年2025年需水量预测表（分类指标法）</w:t>
      </w:r>
    </w:p>
    <w:tbl>
      <w:tblPr>
        <w:tblStyle w:val="21"/>
        <w:tblW w:w="4997" w:type="pct"/>
        <w:tblInd w:w="0" w:type="dxa"/>
        <w:tblLayout w:type="autofit"/>
        <w:tblCellMar>
          <w:top w:w="0" w:type="dxa"/>
          <w:left w:w="108" w:type="dxa"/>
          <w:bottom w:w="0" w:type="dxa"/>
          <w:right w:w="108" w:type="dxa"/>
        </w:tblCellMar>
      </w:tblPr>
      <w:tblGrid>
        <w:gridCol w:w="925"/>
        <w:gridCol w:w="1748"/>
        <w:gridCol w:w="1579"/>
        <w:gridCol w:w="1378"/>
        <w:gridCol w:w="1229"/>
        <w:gridCol w:w="1041"/>
        <w:gridCol w:w="1212"/>
      </w:tblGrid>
      <w:tr w14:paraId="7F0DE5AD">
        <w:tblPrEx>
          <w:tblCellMar>
            <w:top w:w="0" w:type="dxa"/>
            <w:left w:w="108" w:type="dxa"/>
            <w:bottom w:w="0" w:type="dxa"/>
            <w:right w:w="108" w:type="dxa"/>
          </w:tblCellMar>
        </w:tblPrEx>
        <w:trPr>
          <w:trHeight w:val="270" w:hRule="atLeast"/>
        </w:trPr>
        <w:tc>
          <w:tcPr>
            <w:tcW w:w="508" w:type="pct"/>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14:paraId="079AA613">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959"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569F81AD">
            <w:pPr>
              <w:widowControl/>
              <w:spacing w:line="240" w:lineRule="auto"/>
              <w:ind w:firstLine="0" w:firstLineChars="0"/>
              <w:jc w:val="center"/>
              <w:textAlignment w:val="center"/>
              <w:rPr>
                <w:color w:val="auto"/>
                <w:sz w:val="21"/>
                <w:szCs w:val="21"/>
                <w:lang w:bidi="ar"/>
              </w:rPr>
            </w:pPr>
            <w:r>
              <w:rPr>
                <w:color w:val="auto"/>
                <w:sz w:val="21"/>
                <w:szCs w:val="21"/>
                <w:lang w:bidi="ar"/>
              </w:rPr>
              <w:t>项目</w:t>
            </w:r>
          </w:p>
        </w:tc>
        <w:tc>
          <w:tcPr>
            <w:tcW w:w="1622"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14:paraId="4D78361F">
            <w:pPr>
              <w:widowControl/>
              <w:spacing w:line="240" w:lineRule="auto"/>
              <w:ind w:firstLine="0" w:firstLineChars="0"/>
              <w:jc w:val="center"/>
              <w:textAlignment w:val="center"/>
              <w:rPr>
                <w:color w:val="auto"/>
                <w:sz w:val="21"/>
                <w:szCs w:val="21"/>
                <w:lang w:bidi="ar"/>
              </w:rPr>
            </w:pPr>
            <w:r>
              <w:rPr>
                <w:color w:val="auto"/>
                <w:sz w:val="21"/>
                <w:szCs w:val="21"/>
                <w:lang w:bidi="ar"/>
              </w:rPr>
              <w:t>定额及标准</w:t>
            </w:r>
          </w:p>
        </w:tc>
        <w:tc>
          <w:tcPr>
            <w:tcW w:w="1245"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14:paraId="35215B33">
            <w:pPr>
              <w:widowControl/>
              <w:spacing w:line="240" w:lineRule="auto"/>
              <w:ind w:firstLine="0" w:firstLineChars="0"/>
              <w:jc w:val="center"/>
              <w:textAlignment w:val="center"/>
              <w:rPr>
                <w:color w:val="auto"/>
                <w:sz w:val="21"/>
                <w:szCs w:val="21"/>
                <w:lang w:bidi="ar"/>
              </w:rPr>
            </w:pPr>
            <w:r>
              <w:rPr>
                <w:color w:val="auto"/>
                <w:sz w:val="21"/>
                <w:szCs w:val="21"/>
                <w:lang w:bidi="ar"/>
              </w:rPr>
              <w:t>规模</w:t>
            </w:r>
          </w:p>
        </w:tc>
        <w:tc>
          <w:tcPr>
            <w:tcW w:w="665"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61E6CCB7">
            <w:pPr>
              <w:widowControl/>
              <w:spacing w:line="240" w:lineRule="auto"/>
              <w:ind w:firstLine="0" w:firstLineChars="0"/>
              <w:jc w:val="center"/>
              <w:textAlignment w:val="center"/>
              <w:rPr>
                <w:color w:val="auto"/>
                <w:sz w:val="21"/>
                <w:szCs w:val="21"/>
                <w:lang w:bidi="ar"/>
              </w:rPr>
            </w:pPr>
            <w:r>
              <w:rPr>
                <w:color w:val="auto"/>
                <w:sz w:val="21"/>
                <w:szCs w:val="21"/>
                <w:lang w:bidi="ar"/>
              </w:rPr>
              <w:t>需水量</w:t>
            </w:r>
          </w:p>
        </w:tc>
      </w:tr>
      <w:tr w14:paraId="53195A82">
        <w:tblPrEx>
          <w:tblCellMar>
            <w:top w:w="0" w:type="dxa"/>
            <w:left w:w="108" w:type="dxa"/>
            <w:bottom w:w="0" w:type="dxa"/>
            <w:right w:w="108" w:type="dxa"/>
          </w:tblCellMar>
        </w:tblPrEx>
        <w:trPr>
          <w:trHeight w:val="270" w:hRule="atLeast"/>
        </w:trPr>
        <w:tc>
          <w:tcPr>
            <w:tcW w:w="508"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5FC3DBEB">
            <w:pPr>
              <w:widowControl/>
              <w:spacing w:line="240" w:lineRule="auto"/>
              <w:ind w:firstLine="0" w:firstLineChars="0"/>
              <w:jc w:val="center"/>
              <w:textAlignment w:val="center"/>
              <w:rPr>
                <w:color w:val="auto"/>
                <w:sz w:val="21"/>
                <w:szCs w:val="21"/>
                <w:lang w:bidi="ar"/>
              </w:rPr>
            </w:pPr>
          </w:p>
        </w:tc>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6C3F0">
            <w:pPr>
              <w:widowControl/>
              <w:spacing w:line="240" w:lineRule="auto"/>
              <w:ind w:firstLine="0" w:firstLineChars="0"/>
              <w:jc w:val="center"/>
              <w:textAlignment w:val="center"/>
              <w:rPr>
                <w:color w:val="auto"/>
                <w:sz w:val="21"/>
                <w:szCs w:val="21"/>
                <w:lang w:bidi="ar"/>
              </w:rPr>
            </w:pP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08B08">
            <w:pPr>
              <w:widowControl/>
              <w:spacing w:line="240" w:lineRule="auto"/>
              <w:ind w:firstLine="0" w:firstLineChars="0"/>
              <w:jc w:val="center"/>
              <w:textAlignment w:val="center"/>
              <w:rPr>
                <w:color w:val="auto"/>
                <w:sz w:val="21"/>
                <w:szCs w:val="21"/>
                <w:lang w:bidi="ar"/>
              </w:rPr>
            </w:pPr>
            <w:r>
              <w:rPr>
                <w:color w:val="auto"/>
                <w:sz w:val="21"/>
                <w:szCs w:val="21"/>
                <w:lang w:bidi="ar"/>
              </w:rPr>
              <w:t>数值</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510C">
            <w:pPr>
              <w:widowControl/>
              <w:spacing w:line="240" w:lineRule="auto"/>
              <w:ind w:firstLine="0" w:firstLineChars="0"/>
              <w:jc w:val="center"/>
              <w:textAlignment w:val="center"/>
              <w:rPr>
                <w:color w:val="auto"/>
                <w:sz w:val="21"/>
                <w:szCs w:val="21"/>
                <w:lang w:bidi="ar"/>
              </w:rPr>
            </w:pPr>
            <w:r>
              <w:rPr>
                <w:color w:val="auto"/>
                <w:sz w:val="21"/>
                <w:szCs w:val="21"/>
                <w:lang w:bidi="ar"/>
              </w:rPr>
              <w:t>单位</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F8E77">
            <w:pPr>
              <w:widowControl/>
              <w:spacing w:line="240" w:lineRule="auto"/>
              <w:ind w:firstLine="0" w:firstLineChars="0"/>
              <w:jc w:val="center"/>
              <w:textAlignment w:val="center"/>
              <w:rPr>
                <w:color w:val="auto"/>
                <w:sz w:val="21"/>
                <w:szCs w:val="21"/>
                <w:lang w:bidi="ar"/>
              </w:rPr>
            </w:pPr>
            <w:r>
              <w:rPr>
                <w:color w:val="auto"/>
                <w:sz w:val="21"/>
                <w:szCs w:val="21"/>
                <w:lang w:bidi="ar"/>
              </w:rPr>
              <w:t>数值</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96AA5">
            <w:pPr>
              <w:widowControl/>
              <w:spacing w:line="240" w:lineRule="auto"/>
              <w:ind w:firstLine="0" w:firstLineChars="0"/>
              <w:jc w:val="center"/>
              <w:textAlignment w:val="center"/>
              <w:rPr>
                <w:color w:val="auto"/>
                <w:sz w:val="21"/>
                <w:szCs w:val="21"/>
                <w:lang w:bidi="ar"/>
              </w:rPr>
            </w:pPr>
            <w:r>
              <w:rPr>
                <w:color w:val="auto"/>
                <w:sz w:val="21"/>
                <w:szCs w:val="21"/>
                <w:lang w:bidi="ar"/>
              </w:rPr>
              <w:t>单位</w:t>
            </w:r>
          </w:p>
        </w:tc>
        <w:tc>
          <w:tcPr>
            <w:tcW w:w="665"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B1398E5">
            <w:pPr>
              <w:widowControl/>
              <w:spacing w:line="240" w:lineRule="auto"/>
              <w:ind w:firstLine="0" w:firstLineChars="0"/>
              <w:jc w:val="center"/>
              <w:textAlignment w:val="center"/>
              <w:rPr>
                <w:color w:val="auto"/>
                <w:sz w:val="21"/>
                <w:szCs w:val="21"/>
                <w:lang w:bidi="ar"/>
              </w:rPr>
            </w:pPr>
            <w:r>
              <w:rPr>
                <w:color w:val="auto"/>
                <w:sz w:val="21"/>
                <w:szCs w:val="21"/>
                <w:lang w:bidi="ar"/>
              </w:rPr>
              <w:t>（万 m³）</w:t>
            </w:r>
          </w:p>
        </w:tc>
      </w:tr>
      <w:tr w14:paraId="13709558">
        <w:tblPrEx>
          <w:tblCellMar>
            <w:top w:w="0" w:type="dxa"/>
            <w:left w:w="108" w:type="dxa"/>
            <w:bottom w:w="0" w:type="dxa"/>
            <w:right w:w="108" w:type="dxa"/>
          </w:tblCellMar>
        </w:tblPrEx>
        <w:trPr>
          <w:trHeight w:val="270" w:hRule="atLeast"/>
        </w:trPr>
        <w:tc>
          <w:tcPr>
            <w:tcW w:w="508"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9EB9B93">
            <w:pPr>
              <w:widowControl/>
              <w:spacing w:line="240" w:lineRule="auto"/>
              <w:ind w:firstLine="0" w:firstLineChars="0"/>
              <w:jc w:val="center"/>
              <w:textAlignment w:val="center"/>
              <w:rPr>
                <w:color w:val="auto"/>
                <w:sz w:val="21"/>
                <w:szCs w:val="21"/>
                <w:lang w:bidi="ar"/>
              </w:rPr>
            </w:pPr>
            <w:r>
              <w:rPr>
                <w:color w:val="auto"/>
                <w:sz w:val="21"/>
                <w:szCs w:val="21"/>
                <w:lang w:bidi="ar"/>
              </w:rPr>
              <w:t>①</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DBBE">
            <w:pPr>
              <w:widowControl/>
              <w:spacing w:line="240" w:lineRule="auto"/>
              <w:ind w:firstLine="0" w:firstLineChars="0"/>
              <w:jc w:val="center"/>
              <w:textAlignment w:val="center"/>
              <w:rPr>
                <w:color w:val="auto"/>
                <w:sz w:val="21"/>
                <w:szCs w:val="21"/>
                <w:lang w:bidi="ar"/>
              </w:rPr>
            </w:pPr>
            <w:r>
              <w:rPr>
                <w:color w:val="auto"/>
                <w:sz w:val="21"/>
                <w:szCs w:val="21"/>
                <w:lang w:bidi="ar"/>
              </w:rPr>
              <w:t>综合生活用水</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43C6">
            <w:pPr>
              <w:widowControl/>
              <w:spacing w:line="240" w:lineRule="auto"/>
              <w:ind w:firstLine="0" w:firstLineChars="0"/>
              <w:jc w:val="center"/>
              <w:textAlignment w:val="center"/>
              <w:rPr>
                <w:color w:val="auto"/>
                <w:sz w:val="21"/>
                <w:szCs w:val="21"/>
                <w:lang w:bidi="ar"/>
              </w:rPr>
            </w:pPr>
            <w:r>
              <w:rPr>
                <w:color w:val="auto"/>
                <w:sz w:val="21"/>
                <w:szCs w:val="21"/>
                <w:lang w:bidi="ar"/>
              </w:rPr>
              <w:t>150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2F5B3">
            <w:pPr>
              <w:widowControl/>
              <w:spacing w:line="240" w:lineRule="auto"/>
              <w:ind w:firstLine="0" w:firstLineChars="0"/>
              <w:jc w:val="center"/>
              <w:textAlignment w:val="center"/>
              <w:rPr>
                <w:color w:val="auto"/>
                <w:sz w:val="21"/>
                <w:szCs w:val="21"/>
                <w:lang w:bidi="ar"/>
              </w:rPr>
            </w:pPr>
            <w:r>
              <w:rPr>
                <w:color w:val="auto"/>
                <w:sz w:val="21"/>
                <w:szCs w:val="21"/>
                <w:lang w:bidi="ar"/>
              </w:rPr>
              <w:t>L/（人·d）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5CE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5.47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FC54E">
            <w:pPr>
              <w:widowControl/>
              <w:spacing w:line="240" w:lineRule="auto"/>
              <w:ind w:firstLine="0" w:firstLineChars="0"/>
              <w:jc w:val="center"/>
              <w:textAlignment w:val="center"/>
              <w:rPr>
                <w:color w:val="auto"/>
                <w:sz w:val="21"/>
                <w:szCs w:val="21"/>
                <w:lang w:bidi="ar"/>
              </w:rPr>
            </w:pPr>
            <w:r>
              <w:rPr>
                <w:color w:val="auto"/>
                <w:sz w:val="21"/>
                <w:szCs w:val="21"/>
                <w:lang w:bidi="ar"/>
              </w:rPr>
              <w:t>万人</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420B88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299.58 </w:t>
            </w:r>
          </w:p>
        </w:tc>
      </w:tr>
      <w:tr w14:paraId="7BDE149F">
        <w:tblPrEx>
          <w:tblCellMar>
            <w:top w:w="0" w:type="dxa"/>
            <w:left w:w="108" w:type="dxa"/>
            <w:bottom w:w="0" w:type="dxa"/>
            <w:right w:w="108" w:type="dxa"/>
          </w:tblCellMar>
        </w:tblPrEx>
        <w:trPr>
          <w:trHeight w:val="360" w:hRule="atLeast"/>
        </w:trPr>
        <w:tc>
          <w:tcPr>
            <w:tcW w:w="508"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7813C4D1">
            <w:pPr>
              <w:widowControl/>
              <w:spacing w:line="240" w:lineRule="auto"/>
              <w:ind w:firstLine="0" w:firstLineChars="0"/>
              <w:jc w:val="center"/>
              <w:textAlignment w:val="center"/>
              <w:rPr>
                <w:color w:val="auto"/>
                <w:sz w:val="21"/>
                <w:szCs w:val="21"/>
                <w:lang w:bidi="ar"/>
              </w:rPr>
            </w:pPr>
            <w:r>
              <w:rPr>
                <w:color w:val="auto"/>
                <w:sz w:val="21"/>
                <w:szCs w:val="21"/>
                <w:lang w:bidi="ar"/>
              </w:rPr>
              <w:t>②</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D875E">
            <w:pPr>
              <w:widowControl/>
              <w:spacing w:line="240" w:lineRule="auto"/>
              <w:ind w:firstLine="0" w:firstLineChars="0"/>
              <w:jc w:val="center"/>
              <w:textAlignment w:val="center"/>
              <w:rPr>
                <w:color w:val="auto"/>
                <w:sz w:val="21"/>
                <w:szCs w:val="21"/>
                <w:lang w:bidi="ar"/>
              </w:rPr>
            </w:pPr>
            <w:r>
              <w:rPr>
                <w:color w:val="auto"/>
                <w:sz w:val="21"/>
                <w:szCs w:val="21"/>
                <w:lang w:bidi="ar"/>
              </w:rPr>
              <w:t>一类工业用水</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1A38">
            <w:pPr>
              <w:widowControl/>
              <w:spacing w:line="240" w:lineRule="auto"/>
              <w:ind w:firstLine="0" w:firstLineChars="0"/>
              <w:jc w:val="center"/>
              <w:textAlignment w:val="center"/>
              <w:rPr>
                <w:color w:val="auto"/>
                <w:sz w:val="21"/>
                <w:szCs w:val="21"/>
                <w:lang w:bidi="ar"/>
              </w:rPr>
            </w:pPr>
            <w:r>
              <w:rPr>
                <w:color w:val="auto"/>
                <w:sz w:val="21"/>
                <w:szCs w:val="21"/>
                <w:lang w:bidi="ar"/>
              </w:rPr>
              <w:t>19</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04C6">
            <w:pPr>
              <w:widowControl/>
              <w:spacing w:line="240" w:lineRule="auto"/>
              <w:ind w:firstLine="0" w:firstLineChars="0"/>
              <w:jc w:val="center"/>
              <w:textAlignment w:val="center"/>
              <w:rPr>
                <w:color w:val="auto"/>
                <w:sz w:val="21"/>
                <w:szCs w:val="21"/>
                <w:lang w:bidi="ar"/>
              </w:rPr>
            </w:pPr>
            <w:r>
              <w:rPr>
                <w:color w:val="auto"/>
                <w:sz w:val="21"/>
                <w:szCs w:val="21"/>
                <w:lang w:bidi="ar"/>
              </w:rPr>
              <w:t>m3/ha. 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2BC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35.52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2FCEA">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4020D6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674.88 </w:t>
            </w:r>
          </w:p>
        </w:tc>
      </w:tr>
      <w:tr w14:paraId="0043CB7E">
        <w:tblPrEx>
          <w:tblCellMar>
            <w:top w:w="0" w:type="dxa"/>
            <w:left w:w="108" w:type="dxa"/>
            <w:bottom w:w="0" w:type="dxa"/>
            <w:right w:w="108" w:type="dxa"/>
          </w:tblCellMar>
        </w:tblPrEx>
        <w:trPr>
          <w:trHeight w:val="315" w:hRule="atLeast"/>
        </w:trPr>
        <w:tc>
          <w:tcPr>
            <w:tcW w:w="508" w:type="pct"/>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14:paraId="11396941">
            <w:pPr>
              <w:widowControl/>
              <w:spacing w:line="240" w:lineRule="auto"/>
              <w:ind w:firstLine="0" w:firstLineChars="0"/>
              <w:jc w:val="center"/>
              <w:textAlignment w:val="center"/>
              <w:rPr>
                <w:color w:val="auto"/>
                <w:sz w:val="21"/>
                <w:szCs w:val="21"/>
                <w:lang w:bidi="ar"/>
              </w:rPr>
            </w:pPr>
            <w:r>
              <w:rPr>
                <w:color w:val="auto"/>
                <w:sz w:val="21"/>
                <w:szCs w:val="21"/>
                <w:lang w:bidi="ar"/>
              </w:rPr>
              <w:t>③</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46EA9">
            <w:pPr>
              <w:widowControl/>
              <w:spacing w:line="240" w:lineRule="auto"/>
              <w:ind w:firstLine="0" w:firstLineChars="0"/>
              <w:jc w:val="center"/>
              <w:textAlignment w:val="center"/>
              <w:rPr>
                <w:color w:val="auto"/>
                <w:sz w:val="21"/>
                <w:szCs w:val="21"/>
                <w:lang w:bidi="ar"/>
              </w:rPr>
            </w:pPr>
            <w:r>
              <w:rPr>
                <w:color w:val="auto"/>
                <w:sz w:val="21"/>
                <w:szCs w:val="21"/>
                <w:lang w:bidi="ar"/>
              </w:rPr>
              <w:t>洒浇道路</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C35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E2C5">
            <w:pPr>
              <w:widowControl/>
              <w:spacing w:line="240" w:lineRule="auto"/>
              <w:ind w:firstLine="0" w:firstLineChars="0"/>
              <w:jc w:val="center"/>
              <w:textAlignment w:val="center"/>
              <w:rPr>
                <w:color w:val="auto"/>
                <w:sz w:val="21"/>
                <w:szCs w:val="21"/>
                <w:lang w:bidi="ar"/>
              </w:rPr>
            </w:pPr>
            <w:r>
              <w:rPr>
                <w:color w:val="auto"/>
                <w:sz w:val="21"/>
                <w:szCs w:val="21"/>
                <w:lang w:bidi="ar"/>
              </w:rPr>
              <w:t>L/(m2·d)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E36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149.72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8E839">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209E33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109.30 </w:t>
            </w:r>
          </w:p>
        </w:tc>
      </w:tr>
      <w:tr w14:paraId="06C8C022">
        <w:tblPrEx>
          <w:tblCellMar>
            <w:top w:w="0" w:type="dxa"/>
            <w:left w:w="108" w:type="dxa"/>
            <w:bottom w:w="0" w:type="dxa"/>
            <w:right w:w="108" w:type="dxa"/>
          </w:tblCellMar>
        </w:tblPrEx>
        <w:trPr>
          <w:trHeight w:val="270" w:hRule="atLeast"/>
        </w:trPr>
        <w:tc>
          <w:tcPr>
            <w:tcW w:w="508"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211EEA16">
            <w:pPr>
              <w:widowControl/>
              <w:spacing w:line="240" w:lineRule="auto"/>
              <w:ind w:firstLine="0" w:firstLineChars="0"/>
              <w:jc w:val="center"/>
              <w:textAlignment w:val="center"/>
              <w:rPr>
                <w:color w:val="auto"/>
                <w:sz w:val="21"/>
                <w:szCs w:val="21"/>
                <w:lang w:bidi="ar"/>
              </w:rPr>
            </w:pP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E560">
            <w:pPr>
              <w:widowControl/>
              <w:spacing w:line="240" w:lineRule="auto"/>
              <w:ind w:firstLine="0" w:firstLineChars="0"/>
              <w:jc w:val="center"/>
              <w:textAlignment w:val="center"/>
              <w:rPr>
                <w:color w:val="auto"/>
                <w:sz w:val="21"/>
                <w:szCs w:val="21"/>
                <w:lang w:bidi="ar"/>
              </w:rPr>
            </w:pPr>
            <w:r>
              <w:rPr>
                <w:color w:val="auto"/>
                <w:sz w:val="21"/>
                <w:szCs w:val="21"/>
                <w:lang w:bidi="ar"/>
              </w:rPr>
              <w:t>绿地用水</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D11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F54FF">
            <w:pPr>
              <w:widowControl/>
              <w:spacing w:line="240" w:lineRule="auto"/>
              <w:ind w:firstLine="0" w:firstLineChars="0"/>
              <w:jc w:val="center"/>
              <w:textAlignment w:val="center"/>
              <w:rPr>
                <w:color w:val="auto"/>
                <w:sz w:val="21"/>
                <w:szCs w:val="21"/>
                <w:lang w:bidi="ar"/>
              </w:rPr>
            </w:pPr>
            <w:r>
              <w:rPr>
                <w:color w:val="auto"/>
                <w:sz w:val="21"/>
                <w:szCs w:val="21"/>
                <w:lang w:bidi="ar"/>
              </w:rPr>
              <w:t>L/(m2·d)</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482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79.96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E77C">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1BC42C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29.19 </w:t>
            </w:r>
          </w:p>
        </w:tc>
      </w:tr>
      <w:tr w14:paraId="5CE51811">
        <w:tblPrEx>
          <w:tblCellMar>
            <w:top w:w="0" w:type="dxa"/>
            <w:left w:w="108" w:type="dxa"/>
            <w:bottom w:w="0" w:type="dxa"/>
            <w:right w:w="108" w:type="dxa"/>
          </w:tblCellMar>
        </w:tblPrEx>
        <w:trPr>
          <w:trHeight w:val="270" w:hRule="atLeast"/>
        </w:trPr>
        <w:tc>
          <w:tcPr>
            <w:tcW w:w="508"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C32F00B">
            <w:pPr>
              <w:widowControl/>
              <w:spacing w:line="240" w:lineRule="auto"/>
              <w:ind w:firstLine="0" w:firstLineChars="0"/>
              <w:jc w:val="center"/>
              <w:textAlignment w:val="center"/>
              <w:rPr>
                <w:color w:val="auto"/>
                <w:sz w:val="21"/>
                <w:szCs w:val="21"/>
                <w:lang w:bidi="ar"/>
              </w:rPr>
            </w:pPr>
            <w:r>
              <w:rPr>
                <w:color w:val="auto"/>
                <w:sz w:val="21"/>
                <w:szCs w:val="21"/>
                <w:lang w:bidi="ar"/>
              </w:rPr>
              <w:t>④</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20619">
            <w:pPr>
              <w:widowControl/>
              <w:spacing w:line="240" w:lineRule="auto"/>
              <w:ind w:firstLine="0" w:firstLineChars="0"/>
              <w:jc w:val="center"/>
              <w:textAlignment w:val="center"/>
              <w:rPr>
                <w:color w:val="auto"/>
                <w:sz w:val="21"/>
                <w:szCs w:val="21"/>
                <w:lang w:bidi="ar"/>
              </w:rPr>
            </w:pPr>
            <w:r>
              <w:rPr>
                <w:color w:val="auto"/>
                <w:sz w:val="21"/>
                <w:szCs w:val="21"/>
                <w:lang w:bidi="ar"/>
              </w:rPr>
              <w:t>管网渗漏</w:t>
            </w:r>
          </w:p>
        </w:tc>
        <w:tc>
          <w:tcPr>
            <w:tcW w:w="286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44CD80">
            <w:pPr>
              <w:widowControl/>
              <w:spacing w:line="240" w:lineRule="auto"/>
              <w:ind w:firstLine="0" w:firstLineChars="0"/>
              <w:jc w:val="center"/>
              <w:textAlignment w:val="center"/>
              <w:rPr>
                <w:color w:val="auto"/>
                <w:sz w:val="21"/>
                <w:szCs w:val="21"/>
                <w:lang w:bidi="ar"/>
              </w:rPr>
            </w:pPr>
            <w:r>
              <w:rPr>
                <w:color w:val="auto"/>
                <w:sz w:val="21"/>
                <w:szCs w:val="21"/>
                <w:lang w:bidi="ar"/>
              </w:rPr>
              <w:t>(①+②+③)×9%</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E2C921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100.16 </w:t>
            </w:r>
          </w:p>
        </w:tc>
      </w:tr>
      <w:tr w14:paraId="0CABAF37">
        <w:tblPrEx>
          <w:tblCellMar>
            <w:top w:w="0" w:type="dxa"/>
            <w:left w:w="108" w:type="dxa"/>
            <w:bottom w:w="0" w:type="dxa"/>
            <w:right w:w="108" w:type="dxa"/>
          </w:tblCellMar>
        </w:tblPrEx>
        <w:trPr>
          <w:trHeight w:val="270" w:hRule="atLeast"/>
        </w:trPr>
        <w:tc>
          <w:tcPr>
            <w:tcW w:w="508"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5857EDE">
            <w:pPr>
              <w:widowControl/>
              <w:spacing w:line="240" w:lineRule="auto"/>
              <w:ind w:firstLine="0" w:firstLineChars="0"/>
              <w:jc w:val="center"/>
              <w:textAlignment w:val="center"/>
              <w:rPr>
                <w:color w:val="auto"/>
                <w:sz w:val="21"/>
                <w:szCs w:val="21"/>
                <w:lang w:bidi="ar"/>
              </w:rPr>
            </w:pPr>
            <w:r>
              <w:rPr>
                <w:color w:val="auto"/>
                <w:sz w:val="21"/>
                <w:szCs w:val="21"/>
                <w:lang w:bidi="ar"/>
              </w:rPr>
              <w:t>⑤</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E4F03">
            <w:pPr>
              <w:widowControl/>
              <w:spacing w:line="240" w:lineRule="auto"/>
              <w:ind w:firstLine="0" w:firstLineChars="0"/>
              <w:jc w:val="center"/>
              <w:textAlignment w:val="center"/>
              <w:rPr>
                <w:color w:val="auto"/>
                <w:sz w:val="21"/>
                <w:szCs w:val="21"/>
                <w:lang w:bidi="ar"/>
              </w:rPr>
            </w:pPr>
            <w:r>
              <w:rPr>
                <w:color w:val="auto"/>
                <w:sz w:val="21"/>
                <w:szCs w:val="21"/>
                <w:lang w:bidi="ar"/>
              </w:rPr>
              <w:t>未预见水</w:t>
            </w:r>
          </w:p>
        </w:tc>
        <w:tc>
          <w:tcPr>
            <w:tcW w:w="286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69F42E">
            <w:pPr>
              <w:widowControl/>
              <w:spacing w:line="240" w:lineRule="auto"/>
              <w:ind w:firstLine="0" w:firstLineChars="0"/>
              <w:jc w:val="center"/>
              <w:textAlignment w:val="center"/>
              <w:rPr>
                <w:color w:val="auto"/>
                <w:sz w:val="21"/>
                <w:szCs w:val="21"/>
                <w:lang w:bidi="ar"/>
              </w:rPr>
            </w:pPr>
            <w:r>
              <w:rPr>
                <w:color w:val="auto"/>
                <w:sz w:val="21"/>
                <w:szCs w:val="21"/>
                <w:lang w:bidi="ar"/>
              </w:rPr>
              <w:t>(①+②+③+④)×10%</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C73D1B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121.31 </w:t>
            </w:r>
          </w:p>
        </w:tc>
      </w:tr>
      <w:tr w14:paraId="7CD8A772">
        <w:tblPrEx>
          <w:tblCellMar>
            <w:top w:w="0" w:type="dxa"/>
            <w:left w:w="108" w:type="dxa"/>
            <w:bottom w:w="0" w:type="dxa"/>
            <w:right w:w="108" w:type="dxa"/>
          </w:tblCellMar>
        </w:tblPrEx>
        <w:trPr>
          <w:trHeight w:val="270" w:hRule="atLeast"/>
        </w:trPr>
        <w:tc>
          <w:tcPr>
            <w:tcW w:w="926"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382175E">
            <w:pPr>
              <w:widowControl/>
              <w:spacing w:line="240" w:lineRule="auto"/>
              <w:ind w:firstLine="0" w:firstLineChars="0"/>
              <w:jc w:val="center"/>
              <w:textAlignment w:val="center"/>
              <w:rPr>
                <w:color w:val="auto"/>
                <w:sz w:val="21"/>
                <w:szCs w:val="21"/>
                <w:lang w:bidi="ar"/>
              </w:rPr>
            </w:pPr>
            <w:r>
              <w:rPr>
                <w:color w:val="auto"/>
                <w:sz w:val="21"/>
                <w:szCs w:val="21"/>
                <w:lang w:bidi="ar"/>
              </w:rPr>
              <w:t>⑥</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7EB25">
            <w:pPr>
              <w:widowControl/>
              <w:spacing w:line="240" w:lineRule="auto"/>
              <w:ind w:firstLine="0" w:firstLineChars="0"/>
              <w:jc w:val="center"/>
              <w:textAlignment w:val="center"/>
              <w:rPr>
                <w:color w:val="auto"/>
                <w:sz w:val="21"/>
                <w:szCs w:val="21"/>
                <w:lang w:bidi="ar"/>
              </w:rPr>
            </w:pPr>
            <w:r>
              <w:rPr>
                <w:color w:val="auto"/>
                <w:sz w:val="21"/>
                <w:szCs w:val="21"/>
                <w:lang w:bidi="ar"/>
              </w:rPr>
              <w:t>总需水量</w:t>
            </w:r>
          </w:p>
        </w:tc>
        <w:tc>
          <w:tcPr>
            <w:tcW w:w="286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EB4AEB">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305D00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1334.42 </w:t>
            </w:r>
          </w:p>
        </w:tc>
      </w:tr>
      <w:tr w14:paraId="19447CB6">
        <w:tblPrEx>
          <w:tblCellMar>
            <w:top w:w="0" w:type="dxa"/>
            <w:left w:w="108" w:type="dxa"/>
            <w:bottom w:w="0" w:type="dxa"/>
            <w:right w:w="108" w:type="dxa"/>
          </w:tblCellMar>
        </w:tblPrEx>
        <w:trPr>
          <w:trHeight w:val="270" w:hRule="atLeast"/>
        </w:trPr>
        <w:tc>
          <w:tcPr>
            <w:tcW w:w="926" w:type="dxa"/>
            <w:tcBorders>
              <w:top w:val="single" w:color="000000" w:sz="4" w:space="0"/>
              <w:left w:val="single" w:color="000000" w:sz="12" w:space="0"/>
              <w:bottom w:val="single" w:color="000000" w:sz="4" w:space="0"/>
              <w:right w:val="single" w:color="000000" w:sz="4" w:space="0"/>
            </w:tcBorders>
            <w:shd w:val="clear" w:color="auto" w:fill="auto"/>
          </w:tcPr>
          <w:p w14:paraId="7BBCD0D5">
            <w:pPr>
              <w:widowControl/>
              <w:spacing w:line="240" w:lineRule="auto"/>
              <w:ind w:firstLine="0" w:firstLineChars="0"/>
              <w:jc w:val="center"/>
              <w:textAlignment w:val="center"/>
              <w:rPr>
                <w:color w:val="auto"/>
                <w:sz w:val="21"/>
                <w:szCs w:val="21"/>
                <w:lang w:bidi="ar"/>
              </w:rPr>
            </w:pPr>
            <w:r>
              <w:rPr>
                <w:color w:val="auto"/>
                <w:sz w:val="21"/>
                <w:szCs w:val="21"/>
                <w:lang w:bidi="ar"/>
              </w:rPr>
              <w:t>⑦</w:t>
            </w:r>
          </w:p>
        </w:tc>
        <w:tc>
          <w:tcPr>
            <w:tcW w:w="959" w:type="pct"/>
            <w:tcBorders>
              <w:top w:val="single" w:color="000000" w:sz="4" w:space="0"/>
              <w:left w:val="single" w:color="000000" w:sz="4" w:space="0"/>
              <w:bottom w:val="single" w:color="000000" w:sz="4" w:space="0"/>
              <w:right w:val="single" w:color="000000" w:sz="4" w:space="0"/>
            </w:tcBorders>
            <w:shd w:val="clear" w:color="auto" w:fill="auto"/>
          </w:tcPr>
          <w:p w14:paraId="0A84BC3C">
            <w:pPr>
              <w:widowControl/>
              <w:spacing w:line="240" w:lineRule="auto"/>
              <w:ind w:firstLine="0" w:firstLineChars="0"/>
              <w:jc w:val="center"/>
              <w:textAlignment w:val="center"/>
              <w:rPr>
                <w:color w:val="auto"/>
                <w:sz w:val="21"/>
                <w:szCs w:val="21"/>
                <w:lang w:bidi="ar"/>
              </w:rPr>
            </w:pPr>
            <w:r>
              <w:rPr>
                <w:color w:val="auto"/>
                <w:sz w:val="21"/>
                <w:szCs w:val="21"/>
                <w:lang w:bidi="ar"/>
              </w:rPr>
              <w:t>最高日需水</w:t>
            </w:r>
          </w:p>
        </w:tc>
        <w:tc>
          <w:tcPr>
            <w:tcW w:w="2867" w:type="pct"/>
            <w:gridSpan w:val="4"/>
            <w:tcBorders>
              <w:top w:val="single" w:color="000000" w:sz="4" w:space="0"/>
              <w:left w:val="single" w:color="000000" w:sz="4" w:space="0"/>
              <w:bottom w:val="single" w:color="000000" w:sz="4" w:space="0"/>
              <w:right w:val="single" w:color="000000" w:sz="4" w:space="0"/>
            </w:tcBorders>
            <w:shd w:val="clear" w:color="auto" w:fill="auto"/>
          </w:tcPr>
          <w:p w14:paraId="5B5DB180">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（①+②+③+④+⑤+⑥）/365*1.2</w:t>
            </w:r>
          </w:p>
        </w:tc>
        <w:tc>
          <w:tcPr>
            <w:tcW w:w="121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051AD0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4.39 </w:t>
            </w:r>
          </w:p>
        </w:tc>
      </w:tr>
      <w:tr w14:paraId="48A0CFE5">
        <w:tblPrEx>
          <w:tblCellMar>
            <w:top w:w="0" w:type="dxa"/>
            <w:left w:w="108" w:type="dxa"/>
            <w:bottom w:w="0" w:type="dxa"/>
            <w:right w:w="108" w:type="dxa"/>
          </w:tblCellMar>
        </w:tblPrEx>
        <w:trPr>
          <w:trHeight w:val="270" w:hRule="atLeast"/>
        </w:trPr>
        <w:tc>
          <w:tcPr>
            <w:tcW w:w="926" w:type="dxa"/>
            <w:tcBorders>
              <w:top w:val="single" w:color="000000" w:sz="4" w:space="0"/>
              <w:left w:val="single" w:color="000000" w:sz="12" w:space="0"/>
              <w:bottom w:val="single" w:color="000000" w:sz="12" w:space="0"/>
              <w:right w:val="single" w:color="000000" w:sz="4" w:space="0"/>
            </w:tcBorders>
            <w:shd w:val="clear" w:color="auto" w:fill="auto"/>
          </w:tcPr>
          <w:p w14:paraId="42A6CEE7">
            <w:pPr>
              <w:widowControl/>
              <w:spacing w:line="240" w:lineRule="auto"/>
              <w:ind w:firstLine="0" w:firstLineChars="0"/>
              <w:jc w:val="center"/>
              <w:textAlignment w:val="center"/>
              <w:rPr>
                <w:color w:val="auto"/>
                <w:sz w:val="21"/>
                <w:szCs w:val="21"/>
                <w:lang w:bidi="ar"/>
              </w:rPr>
            </w:pPr>
            <w:r>
              <w:rPr>
                <w:color w:val="auto"/>
                <w:sz w:val="21"/>
                <w:szCs w:val="21"/>
                <w:lang w:bidi="ar"/>
              </w:rPr>
              <w:t>⑧</w:t>
            </w:r>
          </w:p>
        </w:tc>
        <w:tc>
          <w:tcPr>
            <w:tcW w:w="959" w:type="pct"/>
            <w:tcBorders>
              <w:top w:val="single" w:color="000000" w:sz="4" w:space="0"/>
              <w:left w:val="single" w:color="000000" w:sz="4" w:space="0"/>
              <w:bottom w:val="single" w:color="000000" w:sz="12" w:space="0"/>
              <w:right w:val="single" w:color="000000" w:sz="4" w:space="0"/>
            </w:tcBorders>
            <w:shd w:val="clear" w:color="auto" w:fill="auto"/>
          </w:tcPr>
          <w:p w14:paraId="4EB424A6">
            <w:pPr>
              <w:widowControl/>
              <w:spacing w:line="240" w:lineRule="auto"/>
              <w:ind w:firstLine="0" w:firstLineChars="0"/>
              <w:jc w:val="center"/>
              <w:textAlignment w:val="center"/>
              <w:rPr>
                <w:color w:val="auto"/>
                <w:sz w:val="21"/>
                <w:szCs w:val="21"/>
                <w:lang w:bidi="ar"/>
              </w:rPr>
            </w:pPr>
            <w:r>
              <w:rPr>
                <w:color w:val="auto"/>
                <w:sz w:val="21"/>
                <w:szCs w:val="21"/>
                <w:lang w:bidi="ar"/>
              </w:rPr>
              <w:t>平均日需水</w:t>
            </w:r>
          </w:p>
        </w:tc>
        <w:tc>
          <w:tcPr>
            <w:tcW w:w="2867" w:type="pct"/>
            <w:gridSpan w:val="4"/>
            <w:tcBorders>
              <w:top w:val="single" w:color="000000" w:sz="4" w:space="0"/>
              <w:left w:val="single" w:color="000000" w:sz="4" w:space="0"/>
              <w:bottom w:val="single" w:color="000000" w:sz="12" w:space="0"/>
              <w:right w:val="single" w:color="000000" w:sz="4" w:space="0"/>
            </w:tcBorders>
            <w:shd w:val="clear" w:color="auto" w:fill="auto"/>
          </w:tcPr>
          <w:p w14:paraId="40490F7E">
            <w:pPr>
              <w:widowControl/>
              <w:spacing w:line="240" w:lineRule="auto"/>
              <w:ind w:firstLine="0" w:firstLineChars="0"/>
              <w:jc w:val="center"/>
              <w:textAlignment w:val="center"/>
              <w:rPr>
                <w:color w:val="auto"/>
                <w:sz w:val="21"/>
                <w:szCs w:val="21"/>
                <w:lang w:bidi="ar"/>
              </w:rPr>
            </w:pPr>
            <w:r>
              <w:rPr>
                <w:color w:val="auto"/>
                <w:sz w:val="21"/>
                <w:szCs w:val="21"/>
                <w:lang w:bidi="ar"/>
              </w:rPr>
              <w:t>（①+②+③+④+⑤+⑥）/365</w:t>
            </w:r>
          </w:p>
        </w:tc>
        <w:tc>
          <w:tcPr>
            <w:tcW w:w="1213"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11C08F1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3.66 </w:t>
            </w:r>
          </w:p>
        </w:tc>
      </w:tr>
    </w:tbl>
    <w:p w14:paraId="00C6EB41">
      <w:pPr>
        <w:ind w:firstLine="0" w:firstLineChars="0"/>
        <w:jc w:val="left"/>
        <w:rPr>
          <w:b/>
          <w:color w:val="auto"/>
        </w:rPr>
      </w:pPr>
    </w:p>
    <w:p w14:paraId="5C0FFBA6">
      <w:pPr>
        <w:ind w:firstLine="0" w:firstLineChars="0"/>
        <w:jc w:val="left"/>
        <w:rPr>
          <w:color w:val="auto"/>
        </w:rPr>
      </w:pPr>
      <w:r>
        <w:rPr>
          <w:b/>
          <w:color w:val="auto"/>
        </w:rPr>
        <w:t>表4.3-5         九龙园区规划水平年2025年需水量预测表（分类指标法）</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4"/>
        <w:gridCol w:w="2566"/>
        <w:gridCol w:w="1171"/>
        <w:gridCol w:w="1585"/>
        <w:gridCol w:w="1585"/>
        <w:gridCol w:w="1431"/>
      </w:tblGrid>
      <w:tr w14:paraId="4AA81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773451A4">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1407" w:type="pct"/>
            <w:tcBorders>
              <w:tl2br w:val="nil"/>
              <w:tr2bl w:val="nil"/>
            </w:tcBorders>
            <w:shd w:val="clear" w:color="auto" w:fill="auto"/>
            <w:vAlign w:val="center"/>
          </w:tcPr>
          <w:p w14:paraId="023A4957">
            <w:pPr>
              <w:widowControl/>
              <w:spacing w:line="240" w:lineRule="auto"/>
              <w:ind w:firstLine="0" w:firstLineChars="0"/>
              <w:jc w:val="center"/>
              <w:textAlignment w:val="center"/>
              <w:rPr>
                <w:color w:val="auto"/>
                <w:sz w:val="21"/>
                <w:szCs w:val="21"/>
                <w:lang w:bidi="ar"/>
              </w:rPr>
            </w:pPr>
            <w:r>
              <w:rPr>
                <w:color w:val="auto"/>
                <w:sz w:val="21"/>
                <w:szCs w:val="21"/>
                <w:lang w:bidi="ar"/>
              </w:rPr>
              <w:t>项目</w:t>
            </w:r>
          </w:p>
        </w:tc>
        <w:tc>
          <w:tcPr>
            <w:tcW w:w="642" w:type="pct"/>
            <w:tcBorders>
              <w:tl2br w:val="nil"/>
              <w:tr2bl w:val="nil"/>
            </w:tcBorders>
            <w:shd w:val="clear" w:color="auto" w:fill="auto"/>
            <w:vAlign w:val="center"/>
          </w:tcPr>
          <w:p w14:paraId="3F78CEEB">
            <w:pPr>
              <w:widowControl/>
              <w:spacing w:line="240" w:lineRule="auto"/>
              <w:ind w:firstLine="0" w:firstLineChars="0"/>
              <w:jc w:val="center"/>
              <w:textAlignment w:val="center"/>
              <w:rPr>
                <w:color w:val="auto"/>
                <w:sz w:val="21"/>
                <w:szCs w:val="21"/>
                <w:lang w:bidi="ar"/>
              </w:rPr>
            </w:pPr>
            <w:r>
              <w:rPr>
                <w:color w:val="auto"/>
                <w:sz w:val="21"/>
                <w:szCs w:val="21"/>
                <w:lang w:bidi="ar"/>
              </w:rPr>
              <w:t>A区</w:t>
            </w:r>
          </w:p>
        </w:tc>
        <w:tc>
          <w:tcPr>
            <w:tcW w:w="869" w:type="pct"/>
            <w:tcBorders>
              <w:tl2br w:val="nil"/>
              <w:tr2bl w:val="nil"/>
            </w:tcBorders>
            <w:shd w:val="clear" w:color="auto" w:fill="auto"/>
            <w:vAlign w:val="center"/>
          </w:tcPr>
          <w:p w14:paraId="38BAB0B5">
            <w:pPr>
              <w:widowControl/>
              <w:spacing w:line="240" w:lineRule="auto"/>
              <w:ind w:firstLine="0" w:firstLineChars="0"/>
              <w:jc w:val="center"/>
              <w:textAlignment w:val="center"/>
              <w:rPr>
                <w:color w:val="auto"/>
                <w:sz w:val="21"/>
                <w:szCs w:val="21"/>
                <w:lang w:bidi="ar"/>
              </w:rPr>
            </w:pPr>
            <w:r>
              <w:rPr>
                <w:color w:val="auto"/>
                <w:sz w:val="21"/>
                <w:szCs w:val="21"/>
                <w:lang w:bidi="ar"/>
              </w:rPr>
              <w:t>B区</w:t>
            </w:r>
          </w:p>
        </w:tc>
        <w:tc>
          <w:tcPr>
            <w:tcW w:w="869" w:type="pct"/>
            <w:tcBorders>
              <w:tl2br w:val="nil"/>
              <w:tr2bl w:val="nil"/>
            </w:tcBorders>
            <w:shd w:val="clear" w:color="auto" w:fill="auto"/>
            <w:vAlign w:val="center"/>
          </w:tcPr>
          <w:p w14:paraId="45B46C09">
            <w:pPr>
              <w:widowControl/>
              <w:spacing w:line="240" w:lineRule="auto"/>
              <w:ind w:firstLine="0" w:firstLineChars="0"/>
              <w:jc w:val="center"/>
              <w:textAlignment w:val="center"/>
              <w:rPr>
                <w:color w:val="auto"/>
                <w:sz w:val="21"/>
                <w:szCs w:val="21"/>
                <w:lang w:bidi="ar"/>
              </w:rPr>
            </w:pPr>
            <w:r>
              <w:rPr>
                <w:color w:val="auto"/>
                <w:sz w:val="21"/>
                <w:szCs w:val="21"/>
                <w:lang w:bidi="ar"/>
              </w:rPr>
              <w:t>C区</w:t>
            </w:r>
          </w:p>
        </w:tc>
        <w:tc>
          <w:tcPr>
            <w:tcW w:w="785" w:type="pct"/>
            <w:tcBorders>
              <w:tl2br w:val="nil"/>
              <w:tr2bl w:val="nil"/>
            </w:tcBorders>
            <w:shd w:val="clear" w:color="auto" w:fill="auto"/>
            <w:vAlign w:val="center"/>
          </w:tcPr>
          <w:p w14:paraId="0469D409">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r>
      <w:tr w14:paraId="44C7A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2B5A5B8E">
            <w:pPr>
              <w:widowControl/>
              <w:spacing w:line="240" w:lineRule="auto"/>
              <w:ind w:firstLine="0" w:firstLineChars="0"/>
              <w:jc w:val="center"/>
              <w:textAlignment w:val="center"/>
              <w:rPr>
                <w:color w:val="auto"/>
                <w:sz w:val="21"/>
                <w:szCs w:val="21"/>
                <w:lang w:bidi="ar"/>
              </w:rPr>
            </w:pPr>
            <w:r>
              <w:rPr>
                <w:color w:val="auto"/>
                <w:sz w:val="21"/>
                <w:szCs w:val="21"/>
                <w:lang w:bidi="ar"/>
              </w:rPr>
              <w:t>1</w:t>
            </w:r>
          </w:p>
        </w:tc>
        <w:tc>
          <w:tcPr>
            <w:tcW w:w="1407" w:type="pct"/>
            <w:tcBorders>
              <w:tl2br w:val="nil"/>
              <w:tr2bl w:val="nil"/>
            </w:tcBorders>
            <w:shd w:val="clear" w:color="auto" w:fill="auto"/>
            <w:vAlign w:val="center"/>
          </w:tcPr>
          <w:p w14:paraId="22BE78A1">
            <w:pPr>
              <w:widowControl/>
              <w:spacing w:line="240" w:lineRule="auto"/>
              <w:ind w:firstLine="0" w:firstLineChars="0"/>
              <w:jc w:val="center"/>
              <w:textAlignment w:val="center"/>
              <w:rPr>
                <w:color w:val="auto"/>
                <w:sz w:val="21"/>
                <w:szCs w:val="21"/>
                <w:lang w:bidi="ar"/>
              </w:rPr>
            </w:pPr>
            <w:r>
              <w:rPr>
                <w:color w:val="auto"/>
                <w:sz w:val="21"/>
                <w:szCs w:val="21"/>
                <w:lang w:bidi="ar"/>
              </w:rPr>
              <w:t>居住人口（万人）</w:t>
            </w:r>
          </w:p>
        </w:tc>
        <w:tc>
          <w:tcPr>
            <w:tcW w:w="642" w:type="pct"/>
            <w:tcBorders>
              <w:tl2br w:val="nil"/>
              <w:tr2bl w:val="nil"/>
            </w:tcBorders>
            <w:shd w:val="clear" w:color="auto" w:fill="auto"/>
            <w:vAlign w:val="center"/>
          </w:tcPr>
          <w:p w14:paraId="57F794F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5.31 </w:t>
            </w:r>
          </w:p>
        </w:tc>
        <w:tc>
          <w:tcPr>
            <w:tcW w:w="869" w:type="pct"/>
            <w:tcBorders>
              <w:tl2br w:val="nil"/>
              <w:tr2bl w:val="nil"/>
            </w:tcBorders>
            <w:shd w:val="clear" w:color="auto" w:fill="auto"/>
            <w:vAlign w:val="center"/>
          </w:tcPr>
          <w:p w14:paraId="12A565E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4.99 </w:t>
            </w:r>
          </w:p>
        </w:tc>
        <w:tc>
          <w:tcPr>
            <w:tcW w:w="869" w:type="pct"/>
            <w:tcBorders>
              <w:tl2br w:val="nil"/>
              <w:tr2bl w:val="nil"/>
            </w:tcBorders>
            <w:shd w:val="clear" w:color="auto" w:fill="auto"/>
            <w:vAlign w:val="center"/>
          </w:tcPr>
          <w:p w14:paraId="2A09FDA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3.44 </w:t>
            </w:r>
          </w:p>
        </w:tc>
        <w:tc>
          <w:tcPr>
            <w:tcW w:w="785" w:type="pct"/>
            <w:tcBorders>
              <w:tl2br w:val="nil"/>
              <w:tr2bl w:val="nil"/>
            </w:tcBorders>
            <w:shd w:val="clear" w:color="auto" w:fill="auto"/>
            <w:vAlign w:val="center"/>
          </w:tcPr>
          <w:p w14:paraId="40E79E6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13.74 </w:t>
            </w:r>
          </w:p>
        </w:tc>
      </w:tr>
      <w:tr w14:paraId="2CB83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276397B2">
            <w:pPr>
              <w:widowControl/>
              <w:spacing w:line="240" w:lineRule="auto"/>
              <w:ind w:firstLine="0" w:firstLineChars="0"/>
              <w:jc w:val="center"/>
              <w:textAlignment w:val="center"/>
              <w:rPr>
                <w:color w:val="auto"/>
                <w:sz w:val="21"/>
                <w:szCs w:val="21"/>
                <w:lang w:bidi="ar"/>
              </w:rPr>
            </w:pPr>
            <w:r>
              <w:rPr>
                <w:color w:val="auto"/>
                <w:sz w:val="21"/>
                <w:szCs w:val="21"/>
                <w:lang w:bidi="ar"/>
              </w:rPr>
              <w:t>2</w:t>
            </w:r>
          </w:p>
        </w:tc>
        <w:tc>
          <w:tcPr>
            <w:tcW w:w="1407" w:type="pct"/>
            <w:tcBorders>
              <w:tl2br w:val="nil"/>
              <w:tr2bl w:val="nil"/>
            </w:tcBorders>
            <w:shd w:val="clear" w:color="auto" w:fill="auto"/>
            <w:vAlign w:val="center"/>
          </w:tcPr>
          <w:p w14:paraId="7215F79D">
            <w:pPr>
              <w:widowControl/>
              <w:spacing w:line="240" w:lineRule="auto"/>
              <w:ind w:firstLine="0" w:firstLineChars="0"/>
              <w:jc w:val="center"/>
              <w:textAlignment w:val="center"/>
              <w:rPr>
                <w:color w:val="auto"/>
                <w:sz w:val="21"/>
                <w:szCs w:val="21"/>
                <w:lang w:bidi="ar"/>
              </w:rPr>
            </w:pPr>
            <w:r>
              <w:rPr>
                <w:color w:val="auto"/>
                <w:sz w:val="21"/>
                <w:szCs w:val="21"/>
                <w:lang w:bidi="ar"/>
              </w:rPr>
              <w:t>综合生活用水（万 m³）</w:t>
            </w:r>
          </w:p>
        </w:tc>
        <w:tc>
          <w:tcPr>
            <w:tcW w:w="642" w:type="pct"/>
            <w:tcBorders>
              <w:tl2br w:val="nil"/>
              <w:tr2bl w:val="nil"/>
            </w:tcBorders>
            <w:shd w:val="clear" w:color="auto" w:fill="auto"/>
            <w:vAlign w:val="center"/>
          </w:tcPr>
          <w:p w14:paraId="117CF93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290.72 </w:t>
            </w:r>
          </w:p>
        </w:tc>
        <w:tc>
          <w:tcPr>
            <w:tcW w:w="869" w:type="pct"/>
            <w:tcBorders>
              <w:tl2br w:val="nil"/>
              <w:tr2bl w:val="nil"/>
            </w:tcBorders>
            <w:shd w:val="clear" w:color="auto" w:fill="auto"/>
            <w:vAlign w:val="center"/>
          </w:tcPr>
          <w:p w14:paraId="5E0EE43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273.20 </w:t>
            </w:r>
          </w:p>
        </w:tc>
        <w:tc>
          <w:tcPr>
            <w:tcW w:w="869" w:type="pct"/>
            <w:tcBorders>
              <w:tl2br w:val="nil"/>
              <w:tr2bl w:val="nil"/>
            </w:tcBorders>
            <w:shd w:val="clear" w:color="auto" w:fill="auto"/>
            <w:vAlign w:val="center"/>
          </w:tcPr>
          <w:p w14:paraId="2209EA6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188.51 </w:t>
            </w:r>
          </w:p>
        </w:tc>
        <w:tc>
          <w:tcPr>
            <w:tcW w:w="785" w:type="pct"/>
            <w:tcBorders>
              <w:tl2br w:val="nil"/>
              <w:tr2bl w:val="nil"/>
            </w:tcBorders>
            <w:shd w:val="clear" w:color="auto" w:fill="auto"/>
            <w:vAlign w:val="center"/>
          </w:tcPr>
          <w:p w14:paraId="694A7BB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752.43 </w:t>
            </w:r>
          </w:p>
        </w:tc>
      </w:tr>
      <w:tr w14:paraId="669F58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247E5DCF">
            <w:pPr>
              <w:widowControl/>
              <w:spacing w:line="240" w:lineRule="auto"/>
              <w:ind w:firstLine="0" w:firstLineChars="0"/>
              <w:jc w:val="center"/>
              <w:textAlignment w:val="center"/>
              <w:rPr>
                <w:color w:val="auto"/>
                <w:sz w:val="21"/>
                <w:szCs w:val="21"/>
                <w:lang w:bidi="ar"/>
              </w:rPr>
            </w:pPr>
            <w:r>
              <w:rPr>
                <w:color w:val="auto"/>
                <w:sz w:val="21"/>
                <w:szCs w:val="21"/>
                <w:lang w:bidi="ar"/>
              </w:rPr>
              <w:t>3</w:t>
            </w:r>
          </w:p>
        </w:tc>
        <w:tc>
          <w:tcPr>
            <w:tcW w:w="1407" w:type="pct"/>
            <w:tcBorders>
              <w:tl2br w:val="nil"/>
              <w:tr2bl w:val="nil"/>
            </w:tcBorders>
            <w:shd w:val="clear" w:color="auto" w:fill="auto"/>
            <w:vAlign w:val="center"/>
          </w:tcPr>
          <w:p w14:paraId="3C704E57">
            <w:pPr>
              <w:widowControl/>
              <w:spacing w:line="240" w:lineRule="auto"/>
              <w:ind w:firstLine="0" w:firstLineChars="0"/>
              <w:jc w:val="center"/>
              <w:textAlignment w:val="center"/>
              <w:rPr>
                <w:color w:val="auto"/>
                <w:sz w:val="21"/>
                <w:szCs w:val="21"/>
                <w:lang w:bidi="ar"/>
              </w:rPr>
            </w:pPr>
            <w:r>
              <w:rPr>
                <w:color w:val="auto"/>
                <w:sz w:val="21"/>
                <w:szCs w:val="21"/>
                <w:lang w:bidi="ar"/>
              </w:rPr>
              <w:t>工业用水（万 m³）</w:t>
            </w:r>
          </w:p>
        </w:tc>
        <w:tc>
          <w:tcPr>
            <w:tcW w:w="642" w:type="pct"/>
            <w:tcBorders>
              <w:tl2br w:val="nil"/>
              <w:tr2bl w:val="nil"/>
            </w:tcBorders>
            <w:shd w:val="clear" w:color="auto" w:fill="auto"/>
            <w:vAlign w:val="center"/>
          </w:tcPr>
          <w:p w14:paraId="6271E7C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99.08 </w:t>
            </w:r>
          </w:p>
        </w:tc>
        <w:tc>
          <w:tcPr>
            <w:tcW w:w="869" w:type="pct"/>
            <w:tcBorders>
              <w:tl2br w:val="nil"/>
              <w:tr2bl w:val="nil"/>
            </w:tcBorders>
            <w:shd w:val="clear" w:color="auto" w:fill="auto"/>
            <w:vAlign w:val="center"/>
          </w:tcPr>
          <w:p w14:paraId="7535FE3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1877.61 </w:t>
            </w:r>
          </w:p>
        </w:tc>
        <w:tc>
          <w:tcPr>
            <w:tcW w:w="869" w:type="pct"/>
            <w:tcBorders>
              <w:tl2br w:val="nil"/>
              <w:tr2bl w:val="nil"/>
            </w:tcBorders>
            <w:shd w:val="clear" w:color="auto" w:fill="auto"/>
            <w:vAlign w:val="center"/>
          </w:tcPr>
          <w:p w14:paraId="5D64C2F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629.26 </w:t>
            </w:r>
          </w:p>
        </w:tc>
        <w:tc>
          <w:tcPr>
            <w:tcW w:w="785" w:type="pct"/>
            <w:tcBorders>
              <w:tl2br w:val="nil"/>
              <w:tr2bl w:val="nil"/>
            </w:tcBorders>
            <w:shd w:val="clear" w:color="auto" w:fill="auto"/>
            <w:vAlign w:val="center"/>
          </w:tcPr>
          <w:p w14:paraId="0A65948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2605.95 </w:t>
            </w:r>
          </w:p>
        </w:tc>
      </w:tr>
      <w:tr w14:paraId="1780D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7FB56B93">
            <w:pPr>
              <w:widowControl/>
              <w:spacing w:line="240" w:lineRule="auto"/>
              <w:ind w:firstLine="0" w:firstLineChars="0"/>
              <w:jc w:val="center"/>
              <w:textAlignment w:val="center"/>
              <w:rPr>
                <w:color w:val="auto"/>
                <w:sz w:val="21"/>
                <w:szCs w:val="21"/>
                <w:lang w:bidi="ar"/>
              </w:rPr>
            </w:pPr>
            <w:r>
              <w:rPr>
                <w:color w:val="auto"/>
                <w:sz w:val="21"/>
                <w:szCs w:val="21"/>
                <w:lang w:bidi="ar"/>
              </w:rPr>
              <w:t>4</w:t>
            </w:r>
          </w:p>
        </w:tc>
        <w:tc>
          <w:tcPr>
            <w:tcW w:w="1407" w:type="pct"/>
            <w:tcBorders>
              <w:tl2br w:val="nil"/>
              <w:tr2bl w:val="nil"/>
            </w:tcBorders>
            <w:shd w:val="clear" w:color="auto" w:fill="auto"/>
            <w:vAlign w:val="center"/>
          </w:tcPr>
          <w:p w14:paraId="4D7A81E4">
            <w:pPr>
              <w:widowControl/>
              <w:spacing w:line="240" w:lineRule="auto"/>
              <w:ind w:firstLine="0" w:firstLineChars="0"/>
              <w:jc w:val="center"/>
              <w:textAlignment w:val="center"/>
              <w:rPr>
                <w:color w:val="auto"/>
                <w:sz w:val="21"/>
                <w:szCs w:val="21"/>
                <w:lang w:bidi="ar"/>
              </w:rPr>
            </w:pPr>
            <w:r>
              <w:rPr>
                <w:color w:val="auto"/>
                <w:sz w:val="21"/>
                <w:szCs w:val="21"/>
                <w:lang w:bidi="ar"/>
              </w:rPr>
              <w:t>浇洒道路及绿地（万 m³）</w:t>
            </w:r>
          </w:p>
        </w:tc>
        <w:tc>
          <w:tcPr>
            <w:tcW w:w="642" w:type="pct"/>
            <w:tcBorders>
              <w:tl2br w:val="nil"/>
              <w:tr2bl w:val="nil"/>
            </w:tcBorders>
            <w:shd w:val="clear" w:color="auto" w:fill="auto"/>
            <w:vAlign w:val="center"/>
          </w:tcPr>
          <w:p w14:paraId="682917D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95.23 </w:t>
            </w:r>
          </w:p>
        </w:tc>
        <w:tc>
          <w:tcPr>
            <w:tcW w:w="869" w:type="pct"/>
            <w:tcBorders>
              <w:tl2br w:val="nil"/>
              <w:tr2bl w:val="nil"/>
            </w:tcBorders>
            <w:shd w:val="clear" w:color="auto" w:fill="auto"/>
            <w:vAlign w:val="center"/>
          </w:tcPr>
          <w:p w14:paraId="7766631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221.75 </w:t>
            </w:r>
          </w:p>
        </w:tc>
        <w:tc>
          <w:tcPr>
            <w:tcW w:w="869" w:type="pct"/>
            <w:tcBorders>
              <w:tl2br w:val="nil"/>
              <w:tr2bl w:val="nil"/>
            </w:tcBorders>
            <w:shd w:val="clear" w:color="auto" w:fill="auto"/>
            <w:vAlign w:val="center"/>
          </w:tcPr>
          <w:p w14:paraId="5D7806C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138.48 </w:t>
            </w:r>
          </w:p>
        </w:tc>
        <w:tc>
          <w:tcPr>
            <w:tcW w:w="785" w:type="pct"/>
            <w:tcBorders>
              <w:tl2br w:val="nil"/>
              <w:tr2bl w:val="nil"/>
            </w:tcBorders>
            <w:shd w:val="clear" w:color="auto" w:fill="auto"/>
            <w:vAlign w:val="center"/>
          </w:tcPr>
          <w:p w14:paraId="0664152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455.47 </w:t>
            </w:r>
          </w:p>
        </w:tc>
      </w:tr>
      <w:tr w14:paraId="46C74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291D0BC4">
            <w:pPr>
              <w:widowControl/>
              <w:spacing w:line="240" w:lineRule="auto"/>
              <w:ind w:firstLine="0" w:firstLineChars="0"/>
              <w:jc w:val="center"/>
              <w:textAlignment w:val="center"/>
              <w:rPr>
                <w:color w:val="auto"/>
                <w:sz w:val="21"/>
                <w:szCs w:val="21"/>
                <w:lang w:bidi="ar"/>
              </w:rPr>
            </w:pPr>
            <w:r>
              <w:rPr>
                <w:color w:val="auto"/>
                <w:sz w:val="21"/>
                <w:szCs w:val="21"/>
                <w:lang w:bidi="ar"/>
              </w:rPr>
              <w:t>5</w:t>
            </w:r>
          </w:p>
        </w:tc>
        <w:tc>
          <w:tcPr>
            <w:tcW w:w="1407" w:type="pct"/>
            <w:tcBorders>
              <w:tl2br w:val="nil"/>
              <w:tr2bl w:val="nil"/>
            </w:tcBorders>
            <w:shd w:val="clear" w:color="auto" w:fill="auto"/>
            <w:vAlign w:val="center"/>
          </w:tcPr>
          <w:p w14:paraId="75F7C1CE">
            <w:pPr>
              <w:widowControl/>
              <w:spacing w:line="240" w:lineRule="auto"/>
              <w:ind w:firstLine="0" w:firstLineChars="0"/>
              <w:jc w:val="center"/>
              <w:textAlignment w:val="center"/>
              <w:rPr>
                <w:color w:val="auto"/>
                <w:sz w:val="21"/>
                <w:szCs w:val="21"/>
                <w:lang w:bidi="ar"/>
              </w:rPr>
            </w:pPr>
            <w:r>
              <w:rPr>
                <w:color w:val="auto"/>
                <w:sz w:val="21"/>
                <w:szCs w:val="21"/>
                <w:lang w:bidi="ar"/>
              </w:rPr>
              <w:t>管网渗漏（万 m³）</w:t>
            </w:r>
          </w:p>
        </w:tc>
        <w:tc>
          <w:tcPr>
            <w:tcW w:w="642" w:type="pct"/>
            <w:tcBorders>
              <w:tl2br w:val="nil"/>
              <w:tr2bl w:val="nil"/>
            </w:tcBorders>
            <w:shd w:val="clear" w:color="auto" w:fill="auto"/>
            <w:vAlign w:val="center"/>
          </w:tcPr>
          <w:p w14:paraId="1A4A59C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43.65 </w:t>
            </w:r>
          </w:p>
        </w:tc>
        <w:tc>
          <w:tcPr>
            <w:tcW w:w="869" w:type="pct"/>
            <w:tcBorders>
              <w:tl2br w:val="nil"/>
              <w:tr2bl w:val="nil"/>
            </w:tcBorders>
            <w:shd w:val="clear" w:color="auto" w:fill="auto"/>
            <w:vAlign w:val="center"/>
          </w:tcPr>
          <w:p w14:paraId="01DE3E5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213.53 </w:t>
            </w:r>
          </w:p>
        </w:tc>
        <w:tc>
          <w:tcPr>
            <w:tcW w:w="869" w:type="pct"/>
            <w:tcBorders>
              <w:tl2br w:val="nil"/>
              <w:tr2bl w:val="nil"/>
            </w:tcBorders>
            <w:shd w:val="clear" w:color="auto" w:fill="auto"/>
            <w:vAlign w:val="center"/>
          </w:tcPr>
          <w:p w14:paraId="4A549A1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86.06 </w:t>
            </w:r>
          </w:p>
        </w:tc>
        <w:tc>
          <w:tcPr>
            <w:tcW w:w="785" w:type="pct"/>
            <w:tcBorders>
              <w:tl2br w:val="nil"/>
              <w:tr2bl w:val="nil"/>
            </w:tcBorders>
            <w:shd w:val="clear" w:color="auto" w:fill="auto"/>
            <w:vAlign w:val="center"/>
          </w:tcPr>
          <w:p w14:paraId="466488B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343.25 </w:t>
            </w:r>
          </w:p>
        </w:tc>
      </w:tr>
      <w:tr w14:paraId="40BC5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0F1B7C1A">
            <w:pPr>
              <w:widowControl/>
              <w:spacing w:line="240" w:lineRule="auto"/>
              <w:ind w:firstLine="0" w:firstLineChars="0"/>
              <w:jc w:val="center"/>
              <w:textAlignment w:val="center"/>
              <w:rPr>
                <w:color w:val="auto"/>
                <w:sz w:val="21"/>
                <w:szCs w:val="21"/>
                <w:lang w:bidi="ar"/>
              </w:rPr>
            </w:pPr>
            <w:r>
              <w:rPr>
                <w:color w:val="auto"/>
                <w:sz w:val="21"/>
                <w:szCs w:val="21"/>
                <w:lang w:bidi="ar"/>
              </w:rPr>
              <w:t>6</w:t>
            </w:r>
          </w:p>
        </w:tc>
        <w:tc>
          <w:tcPr>
            <w:tcW w:w="1407" w:type="pct"/>
            <w:tcBorders>
              <w:tl2br w:val="nil"/>
              <w:tr2bl w:val="nil"/>
            </w:tcBorders>
            <w:shd w:val="clear" w:color="auto" w:fill="auto"/>
            <w:vAlign w:val="center"/>
          </w:tcPr>
          <w:p w14:paraId="286C1CA9">
            <w:pPr>
              <w:widowControl/>
              <w:spacing w:line="240" w:lineRule="auto"/>
              <w:ind w:firstLine="0" w:firstLineChars="0"/>
              <w:jc w:val="center"/>
              <w:textAlignment w:val="center"/>
              <w:rPr>
                <w:color w:val="auto"/>
                <w:sz w:val="21"/>
                <w:szCs w:val="21"/>
                <w:lang w:bidi="ar"/>
              </w:rPr>
            </w:pPr>
            <w:r>
              <w:rPr>
                <w:color w:val="auto"/>
                <w:sz w:val="21"/>
                <w:szCs w:val="21"/>
                <w:lang w:bidi="ar"/>
              </w:rPr>
              <w:t>未预见水量（万 m³）</w:t>
            </w:r>
          </w:p>
        </w:tc>
        <w:tc>
          <w:tcPr>
            <w:tcW w:w="642" w:type="pct"/>
            <w:tcBorders>
              <w:tl2br w:val="nil"/>
              <w:tr2bl w:val="nil"/>
            </w:tcBorders>
            <w:shd w:val="clear" w:color="auto" w:fill="auto"/>
            <w:vAlign w:val="center"/>
          </w:tcPr>
          <w:p w14:paraId="408A9F4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52.87 </w:t>
            </w:r>
          </w:p>
        </w:tc>
        <w:tc>
          <w:tcPr>
            <w:tcW w:w="869" w:type="pct"/>
            <w:tcBorders>
              <w:tl2br w:val="nil"/>
              <w:tr2bl w:val="nil"/>
            </w:tcBorders>
            <w:shd w:val="clear" w:color="auto" w:fill="auto"/>
            <w:vAlign w:val="center"/>
          </w:tcPr>
          <w:p w14:paraId="75D04B6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258.61 </w:t>
            </w:r>
          </w:p>
        </w:tc>
        <w:tc>
          <w:tcPr>
            <w:tcW w:w="869" w:type="pct"/>
            <w:tcBorders>
              <w:tl2br w:val="nil"/>
              <w:tr2bl w:val="nil"/>
            </w:tcBorders>
            <w:shd w:val="clear" w:color="auto" w:fill="auto"/>
            <w:vAlign w:val="center"/>
          </w:tcPr>
          <w:p w14:paraId="6EF8C61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104.23 </w:t>
            </w:r>
          </w:p>
        </w:tc>
        <w:tc>
          <w:tcPr>
            <w:tcW w:w="785" w:type="pct"/>
            <w:tcBorders>
              <w:tl2br w:val="nil"/>
              <w:tr2bl w:val="nil"/>
            </w:tcBorders>
            <w:shd w:val="clear" w:color="auto" w:fill="auto"/>
            <w:vAlign w:val="center"/>
          </w:tcPr>
          <w:p w14:paraId="6709739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415.71 </w:t>
            </w:r>
          </w:p>
        </w:tc>
      </w:tr>
      <w:tr w14:paraId="14B0C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25" w:type="pct"/>
            <w:tcBorders>
              <w:tl2br w:val="nil"/>
              <w:tr2bl w:val="nil"/>
            </w:tcBorders>
            <w:shd w:val="clear" w:color="auto" w:fill="auto"/>
            <w:vAlign w:val="center"/>
          </w:tcPr>
          <w:p w14:paraId="460D707A">
            <w:pPr>
              <w:widowControl/>
              <w:spacing w:line="240" w:lineRule="auto"/>
              <w:ind w:firstLine="0" w:firstLineChars="0"/>
              <w:jc w:val="center"/>
              <w:textAlignment w:val="center"/>
              <w:rPr>
                <w:color w:val="auto"/>
                <w:sz w:val="21"/>
                <w:szCs w:val="21"/>
                <w:lang w:bidi="ar"/>
              </w:rPr>
            </w:pPr>
            <w:r>
              <w:rPr>
                <w:color w:val="auto"/>
                <w:sz w:val="21"/>
                <w:szCs w:val="21"/>
                <w:lang w:bidi="ar"/>
              </w:rPr>
              <w:t>8</w:t>
            </w:r>
          </w:p>
        </w:tc>
        <w:tc>
          <w:tcPr>
            <w:tcW w:w="1407" w:type="pct"/>
            <w:tcBorders>
              <w:tl2br w:val="nil"/>
              <w:tr2bl w:val="nil"/>
            </w:tcBorders>
            <w:shd w:val="clear" w:color="auto" w:fill="auto"/>
            <w:vAlign w:val="center"/>
          </w:tcPr>
          <w:p w14:paraId="18926E8D">
            <w:pPr>
              <w:widowControl/>
              <w:spacing w:line="240" w:lineRule="auto"/>
              <w:ind w:firstLine="0" w:firstLineChars="0"/>
              <w:jc w:val="center"/>
              <w:textAlignment w:val="center"/>
              <w:rPr>
                <w:color w:val="auto"/>
                <w:sz w:val="21"/>
                <w:szCs w:val="21"/>
                <w:lang w:bidi="ar"/>
              </w:rPr>
            </w:pPr>
            <w:r>
              <w:rPr>
                <w:color w:val="auto"/>
                <w:sz w:val="21"/>
                <w:szCs w:val="21"/>
                <w:lang w:bidi="ar"/>
              </w:rPr>
              <w:t>总需水量（万 m³）</w:t>
            </w:r>
          </w:p>
        </w:tc>
        <w:tc>
          <w:tcPr>
            <w:tcW w:w="642" w:type="pct"/>
            <w:tcBorders>
              <w:tl2br w:val="nil"/>
              <w:tr2bl w:val="nil"/>
            </w:tcBorders>
            <w:shd w:val="clear" w:color="auto" w:fill="auto"/>
            <w:vAlign w:val="center"/>
          </w:tcPr>
          <w:p w14:paraId="6721A54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581.56 </w:t>
            </w:r>
          </w:p>
        </w:tc>
        <w:tc>
          <w:tcPr>
            <w:tcW w:w="869" w:type="pct"/>
            <w:tcBorders>
              <w:tl2br w:val="nil"/>
              <w:tr2bl w:val="nil"/>
            </w:tcBorders>
            <w:shd w:val="clear" w:color="auto" w:fill="auto"/>
            <w:vAlign w:val="center"/>
          </w:tcPr>
          <w:p w14:paraId="2B558C3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2844.70 </w:t>
            </w:r>
          </w:p>
        </w:tc>
        <w:tc>
          <w:tcPr>
            <w:tcW w:w="869" w:type="pct"/>
            <w:tcBorders>
              <w:tl2br w:val="nil"/>
              <w:tr2bl w:val="nil"/>
            </w:tcBorders>
            <w:shd w:val="clear" w:color="auto" w:fill="auto"/>
            <w:vAlign w:val="center"/>
          </w:tcPr>
          <w:p w14:paraId="44883A2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1146.54 </w:t>
            </w:r>
          </w:p>
        </w:tc>
        <w:tc>
          <w:tcPr>
            <w:tcW w:w="785" w:type="pct"/>
            <w:tcBorders>
              <w:tl2br w:val="nil"/>
              <w:tr2bl w:val="nil"/>
            </w:tcBorders>
            <w:shd w:val="clear" w:color="auto" w:fill="auto"/>
            <w:vAlign w:val="center"/>
          </w:tcPr>
          <w:p w14:paraId="1C246FA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4572.80 </w:t>
            </w:r>
          </w:p>
        </w:tc>
      </w:tr>
    </w:tbl>
    <w:p w14:paraId="2B6E6641">
      <w:pPr>
        <w:pStyle w:val="5"/>
        <w:numPr>
          <w:ilvl w:val="0"/>
          <w:numId w:val="0"/>
        </w:numPr>
        <w:spacing w:before="0" w:beforeLines="0" w:after="0" w:afterLines="0"/>
        <w:ind w:firstLine="482" w:firstLineChars="200"/>
        <w:rPr>
          <w:color w:val="auto"/>
          <w:sz w:val="24"/>
          <w:szCs w:val="24"/>
        </w:rPr>
      </w:pPr>
      <w:r>
        <w:rPr>
          <w:color w:val="auto"/>
          <w:sz w:val="24"/>
          <w:szCs w:val="24"/>
        </w:rPr>
        <w:t>2、</w:t>
      </w:r>
      <w:r>
        <w:rPr>
          <w:color w:val="auto"/>
          <w:sz w:val="24"/>
        </w:rPr>
        <w:t>用地性质指标法</w:t>
      </w:r>
    </w:p>
    <w:p w14:paraId="4F2B46B2">
      <w:pPr>
        <w:ind w:firstLine="460"/>
        <w:rPr>
          <w:color w:val="auto"/>
        </w:rPr>
      </w:pPr>
      <w:r>
        <w:rPr>
          <w:color w:val="auto"/>
          <w:spacing w:val="-5"/>
        </w:rPr>
        <w:t>根据《城市给水工程规划规范》</w:t>
      </w:r>
      <w:r>
        <w:rPr>
          <w:color w:val="auto"/>
        </w:rPr>
        <w:t>（GB50282-2016）</w:t>
      </w:r>
      <w:r>
        <w:rPr>
          <w:color w:val="auto"/>
          <w:spacing w:val="-22"/>
        </w:rPr>
        <w:t xml:space="preserve">的第 </w:t>
      </w:r>
      <w:r>
        <w:rPr>
          <w:color w:val="auto"/>
        </w:rPr>
        <w:t>4.0.2</w:t>
      </w:r>
      <w:r>
        <w:rPr>
          <w:color w:val="auto"/>
          <w:spacing w:val="-11"/>
        </w:rPr>
        <w:t xml:space="preserve"> 条有关规定，城市最</w:t>
      </w:r>
      <w:r>
        <w:rPr>
          <w:color w:val="auto"/>
          <w:spacing w:val="-4"/>
        </w:rPr>
        <w:t>高日用水量可采用不同类别用地用水量指标法预测。本次根据港城园区规划中的用地规</w:t>
      </w:r>
      <w:r>
        <w:rPr>
          <w:color w:val="auto"/>
          <w:spacing w:val="-7"/>
        </w:rPr>
        <w:t>划，按不同性质用地用水量指标预测需水，将成果同分类指标法做比较，以验证需水量</w:t>
      </w:r>
      <w:r>
        <w:rPr>
          <w:color w:val="auto"/>
          <w:spacing w:val="1"/>
        </w:rPr>
        <w:t>预测的合理性，</w:t>
      </w:r>
      <w:r>
        <w:rPr>
          <w:color w:val="auto"/>
        </w:rPr>
        <w:t>其中日变化系数按1.3考虑，</w:t>
      </w:r>
      <w:r>
        <w:rPr>
          <w:snapToGrid w:val="0"/>
          <w:color w:val="auto"/>
          <w:kern w:val="0"/>
        </w:rPr>
        <w:t>计算</w:t>
      </w:r>
      <w:r>
        <w:rPr>
          <w:color w:val="auto"/>
        </w:rPr>
        <w:t>成果见表4.3-6</w:t>
      </w:r>
      <w:r>
        <w:rPr>
          <w:rFonts w:hint="eastAsia"/>
          <w:color w:val="auto"/>
        </w:rPr>
        <w:t>～</w:t>
      </w:r>
      <w:r>
        <w:rPr>
          <w:color w:val="auto"/>
        </w:rPr>
        <w:t>表4.3-8。</w:t>
      </w:r>
    </w:p>
    <w:p w14:paraId="155737DA">
      <w:pPr>
        <w:ind w:firstLine="0" w:firstLineChars="0"/>
        <w:jc w:val="left"/>
        <w:rPr>
          <w:b/>
          <w:color w:val="auto"/>
        </w:rPr>
      </w:pPr>
      <w:r>
        <w:rPr>
          <w:b/>
          <w:color w:val="auto"/>
        </w:rPr>
        <w:t>表4.3-6        A区规划水平年 2025 年需水量预测表（用地指标法）</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87"/>
        <w:gridCol w:w="1822"/>
        <w:gridCol w:w="1649"/>
        <w:gridCol w:w="1571"/>
        <w:gridCol w:w="1510"/>
        <w:gridCol w:w="1678"/>
      </w:tblGrid>
      <w:tr w14:paraId="3EFC2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6D75428C">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999" w:type="pct"/>
            <w:tcBorders>
              <w:tl2br w:val="nil"/>
              <w:tr2bl w:val="nil"/>
            </w:tcBorders>
            <w:shd w:val="clear" w:color="auto" w:fill="auto"/>
            <w:vAlign w:val="center"/>
          </w:tcPr>
          <w:p w14:paraId="2C376265">
            <w:pPr>
              <w:widowControl/>
              <w:spacing w:line="240" w:lineRule="auto"/>
              <w:ind w:firstLine="0" w:firstLineChars="0"/>
              <w:jc w:val="center"/>
              <w:textAlignment w:val="center"/>
              <w:rPr>
                <w:color w:val="auto"/>
                <w:sz w:val="21"/>
                <w:szCs w:val="21"/>
                <w:lang w:bidi="ar"/>
              </w:rPr>
            </w:pPr>
            <w:r>
              <w:rPr>
                <w:color w:val="auto"/>
                <w:sz w:val="21"/>
                <w:szCs w:val="21"/>
                <w:lang w:bidi="ar"/>
              </w:rPr>
              <w:t>用地性质</w:t>
            </w:r>
          </w:p>
        </w:tc>
        <w:tc>
          <w:tcPr>
            <w:tcW w:w="904" w:type="pct"/>
            <w:tcBorders>
              <w:tl2br w:val="nil"/>
              <w:tr2bl w:val="nil"/>
            </w:tcBorders>
            <w:shd w:val="clear" w:color="auto" w:fill="auto"/>
            <w:vAlign w:val="center"/>
          </w:tcPr>
          <w:p w14:paraId="252FFF37">
            <w:pPr>
              <w:widowControl/>
              <w:spacing w:line="240" w:lineRule="auto"/>
              <w:ind w:firstLine="0" w:firstLineChars="0"/>
              <w:jc w:val="center"/>
              <w:textAlignment w:val="center"/>
              <w:rPr>
                <w:color w:val="auto"/>
                <w:sz w:val="21"/>
                <w:szCs w:val="21"/>
                <w:lang w:bidi="ar"/>
              </w:rPr>
            </w:pPr>
            <w:r>
              <w:rPr>
                <w:color w:val="auto"/>
                <w:sz w:val="21"/>
                <w:szCs w:val="21"/>
                <w:lang w:bidi="ar"/>
              </w:rPr>
              <w:t>面积</w:t>
            </w:r>
          </w:p>
          <w:p w14:paraId="3C47341C">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861" w:type="pct"/>
            <w:tcBorders>
              <w:tl2br w:val="nil"/>
              <w:tr2bl w:val="nil"/>
            </w:tcBorders>
            <w:shd w:val="clear" w:color="auto" w:fill="auto"/>
            <w:vAlign w:val="center"/>
          </w:tcPr>
          <w:p w14:paraId="06D82E6A">
            <w:pPr>
              <w:widowControl/>
              <w:spacing w:line="240" w:lineRule="auto"/>
              <w:ind w:firstLine="0" w:firstLineChars="0"/>
              <w:jc w:val="center"/>
              <w:textAlignment w:val="center"/>
              <w:rPr>
                <w:color w:val="auto"/>
                <w:sz w:val="21"/>
                <w:szCs w:val="21"/>
                <w:lang w:bidi="ar"/>
              </w:rPr>
            </w:pPr>
            <w:r>
              <w:rPr>
                <w:color w:val="auto"/>
                <w:sz w:val="21"/>
                <w:szCs w:val="21"/>
                <w:lang w:bidi="ar"/>
              </w:rPr>
              <w:t>定额</w:t>
            </w:r>
          </w:p>
          <w:p w14:paraId="3B3EA16F">
            <w:pPr>
              <w:widowControl/>
              <w:spacing w:line="240" w:lineRule="auto"/>
              <w:ind w:firstLine="0" w:firstLineChars="0"/>
              <w:jc w:val="center"/>
              <w:textAlignment w:val="center"/>
              <w:rPr>
                <w:color w:val="auto"/>
                <w:sz w:val="21"/>
                <w:szCs w:val="21"/>
                <w:lang w:bidi="ar"/>
              </w:rPr>
            </w:pPr>
            <w:r>
              <w:rPr>
                <w:color w:val="auto"/>
                <w:sz w:val="21"/>
                <w:szCs w:val="21"/>
                <w:lang w:bidi="ar"/>
              </w:rPr>
              <w:t>(m³/(hm²• d))</w:t>
            </w:r>
          </w:p>
        </w:tc>
        <w:tc>
          <w:tcPr>
            <w:tcW w:w="828" w:type="pct"/>
            <w:tcBorders>
              <w:tl2br w:val="nil"/>
              <w:tr2bl w:val="nil"/>
            </w:tcBorders>
            <w:shd w:val="clear" w:color="auto" w:fill="auto"/>
            <w:vAlign w:val="center"/>
          </w:tcPr>
          <w:p w14:paraId="5D142CD6">
            <w:pPr>
              <w:widowControl/>
              <w:spacing w:line="240" w:lineRule="auto"/>
              <w:ind w:firstLine="0" w:firstLineChars="0"/>
              <w:jc w:val="center"/>
              <w:textAlignment w:val="center"/>
              <w:rPr>
                <w:color w:val="auto"/>
                <w:sz w:val="21"/>
                <w:szCs w:val="21"/>
                <w:lang w:bidi="ar"/>
              </w:rPr>
            </w:pPr>
            <w:r>
              <w:rPr>
                <w:color w:val="auto"/>
                <w:sz w:val="21"/>
                <w:szCs w:val="21"/>
                <w:lang w:bidi="ar"/>
              </w:rPr>
              <w:t>最高日用水量</w:t>
            </w:r>
          </w:p>
          <w:p w14:paraId="54274B65">
            <w:pPr>
              <w:widowControl/>
              <w:spacing w:line="240" w:lineRule="auto"/>
              <w:ind w:firstLine="0" w:firstLineChars="0"/>
              <w:jc w:val="center"/>
              <w:textAlignment w:val="center"/>
              <w:rPr>
                <w:color w:val="auto"/>
                <w:sz w:val="21"/>
                <w:szCs w:val="21"/>
                <w:lang w:bidi="ar"/>
              </w:rPr>
            </w:pPr>
            <w:r>
              <w:rPr>
                <w:color w:val="auto"/>
                <w:sz w:val="21"/>
                <w:szCs w:val="21"/>
                <w:lang w:bidi="ar"/>
              </w:rPr>
              <w:t>（万m³/d）</w:t>
            </w:r>
          </w:p>
        </w:tc>
        <w:tc>
          <w:tcPr>
            <w:tcW w:w="920" w:type="pct"/>
            <w:tcBorders>
              <w:tl2br w:val="nil"/>
              <w:tr2bl w:val="nil"/>
            </w:tcBorders>
            <w:shd w:val="clear" w:color="auto" w:fill="auto"/>
            <w:vAlign w:val="center"/>
          </w:tcPr>
          <w:p w14:paraId="2DC45D03">
            <w:pPr>
              <w:widowControl/>
              <w:spacing w:line="240" w:lineRule="auto"/>
              <w:ind w:firstLine="0" w:firstLineChars="0"/>
              <w:jc w:val="center"/>
              <w:textAlignment w:val="center"/>
              <w:rPr>
                <w:color w:val="auto"/>
                <w:sz w:val="21"/>
                <w:szCs w:val="21"/>
                <w:lang w:bidi="ar"/>
              </w:rPr>
            </w:pPr>
            <w:r>
              <w:rPr>
                <w:color w:val="auto"/>
                <w:sz w:val="21"/>
                <w:szCs w:val="21"/>
                <w:lang w:bidi="ar"/>
              </w:rPr>
              <w:t>平均日用水量</w:t>
            </w:r>
          </w:p>
          <w:p w14:paraId="38815C08">
            <w:pPr>
              <w:widowControl/>
              <w:spacing w:line="240" w:lineRule="auto"/>
              <w:ind w:firstLine="0" w:firstLineChars="0"/>
              <w:jc w:val="center"/>
              <w:textAlignment w:val="center"/>
              <w:rPr>
                <w:color w:val="auto"/>
                <w:sz w:val="21"/>
                <w:szCs w:val="21"/>
                <w:lang w:bidi="ar"/>
              </w:rPr>
            </w:pPr>
            <w:r>
              <w:rPr>
                <w:color w:val="auto"/>
                <w:sz w:val="21"/>
                <w:szCs w:val="21"/>
                <w:lang w:bidi="ar"/>
              </w:rPr>
              <w:t>（万m³/d）</w:t>
            </w:r>
          </w:p>
        </w:tc>
      </w:tr>
      <w:tr w14:paraId="00787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D2BC55A">
            <w:pPr>
              <w:widowControl/>
              <w:spacing w:line="240" w:lineRule="auto"/>
              <w:ind w:firstLine="0" w:firstLineChars="0"/>
              <w:jc w:val="center"/>
              <w:textAlignment w:val="center"/>
              <w:rPr>
                <w:color w:val="auto"/>
                <w:sz w:val="21"/>
                <w:szCs w:val="21"/>
                <w:lang w:bidi="ar"/>
              </w:rPr>
            </w:pPr>
            <w:r>
              <w:rPr>
                <w:color w:val="auto"/>
                <w:sz w:val="21"/>
                <w:szCs w:val="21"/>
                <w:lang w:bidi="ar"/>
              </w:rPr>
              <w:t>1</w:t>
            </w:r>
          </w:p>
        </w:tc>
        <w:tc>
          <w:tcPr>
            <w:tcW w:w="999" w:type="pct"/>
            <w:tcBorders>
              <w:tl2br w:val="nil"/>
              <w:tr2bl w:val="nil"/>
            </w:tcBorders>
            <w:shd w:val="clear" w:color="auto" w:fill="auto"/>
            <w:vAlign w:val="center"/>
          </w:tcPr>
          <w:p w14:paraId="65BFBA5A">
            <w:pPr>
              <w:widowControl/>
              <w:spacing w:line="240" w:lineRule="auto"/>
              <w:ind w:firstLine="0" w:firstLineChars="0"/>
              <w:jc w:val="center"/>
              <w:textAlignment w:val="center"/>
              <w:rPr>
                <w:color w:val="auto"/>
                <w:sz w:val="21"/>
                <w:szCs w:val="21"/>
                <w:lang w:bidi="ar"/>
              </w:rPr>
            </w:pPr>
            <w:r>
              <w:rPr>
                <w:color w:val="auto"/>
                <w:sz w:val="21"/>
                <w:szCs w:val="21"/>
                <w:lang w:bidi="ar"/>
              </w:rPr>
              <w:t>居住用地</w:t>
            </w:r>
          </w:p>
        </w:tc>
        <w:tc>
          <w:tcPr>
            <w:tcW w:w="904" w:type="pct"/>
            <w:tcBorders>
              <w:tl2br w:val="nil"/>
              <w:tr2bl w:val="nil"/>
            </w:tcBorders>
            <w:shd w:val="clear" w:color="auto" w:fill="auto"/>
            <w:vAlign w:val="center"/>
          </w:tcPr>
          <w:p w14:paraId="4FAA9CAE">
            <w:pPr>
              <w:widowControl/>
              <w:spacing w:line="240" w:lineRule="auto"/>
              <w:ind w:firstLine="0" w:firstLineChars="0"/>
              <w:jc w:val="center"/>
              <w:textAlignment w:val="center"/>
              <w:rPr>
                <w:color w:val="auto"/>
                <w:sz w:val="21"/>
                <w:szCs w:val="21"/>
                <w:lang w:bidi="ar"/>
              </w:rPr>
            </w:pPr>
            <w:r>
              <w:rPr>
                <w:color w:val="auto"/>
                <w:sz w:val="21"/>
                <w:szCs w:val="21"/>
                <w:lang w:bidi="ar"/>
              </w:rPr>
              <w:t>96.24</w:t>
            </w:r>
          </w:p>
        </w:tc>
        <w:tc>
          <w:tcPr>
            <w:tcW w:w="861" w:type="pct"/>
            <w:tcBorders>
              <w:tl2br w:val="nil"/>
              <w:tr2bl w:val="nil"/>
            </w:tcBorders>
            <w:shd w:val="clear" w:color="auto" w:fill="auto"/>
            <w:vAlign w:val="center"/>
          </w:tcPr>
          <w:p w14:paraId="17E572AF">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828" w:type="pct"/>
            <w:tcBorders>
              <w:tl2br w:val="nil"/>
              <w:tr2bl w:val="nil"/>
            </w:tcBorders>
            <w:shd w:val="clear" w:color="auto" w:fill="auto"/>
            <w:vAlign w:val="center"/>
          </w:tcPr>
          <w:p w14:paraId="5430C5D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0.48 </w:t>
            </w:r>
          </w:p>
        </w:tc>
        <w:tc>
          <w:tcPr>
            <w:tcW w:w="920" w:type="pct"/>
            <w:tcBorders>
              <w:tl2br w:val="nil"/>
              <w:tr2bl w:val="nil"/>
            </w:tcBorders>
            <w:shd w:val="clear" w:color="auto" w:fill="auto"/>
            <w:vAlign w:val="center"/>
          </w:tcPr>
          <w:p w14:paraId="2BAB1EB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0.40 </w:t>
            </w:r>
          </w:p>
        </w:tc>
      </w:tr>
      <w:tr w14:paraId="3E095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299AAE46">
            <w:pPr>
              <w:widowControl/>
              <w:spacing w:line="240" w:lineRule="auto"/>
              <w:ind w:firstLine="0" w:firstLineChars="0"/>
              <w:jc w:val="center"/>
              <w:textAlignment w:val="center"/>
              <w:rPr>
                <w:color w:val="auto"/>
                <w:sz w:val="21"/>
                <w:szCs w:val="21"/>
                <w:lang w:bidi="ar"/>
              </w:rPr>
            </w:pPr>
            <w:r>
              <w:rPr>
                <w:color w:val="auto"/>
                <w:sz w:val="21"/>
                <w:szCs w:val="21"/>
                <w:lang w:bidi="ar"/>
              </w:rPr>
              <w:t>2</w:t>
            </w:r>
          </w:p>
        </w:tc>
        <w:tc>
          <w:tcPr>
            <w:tcW w:w="999" w:type="pct"/>
            <w:tcBorders>
              <w:tl2br w:val="nil"/>
              <w:tr2bl w:val="nil"/>
            </w:tcBorders>
            <w:shd w:val="clear" w:color="auto" w:fill="auto"/>
            <w:vAlign w:val="center"/>
          </w:tcPr>
          <w:p w14:paraId="0E965AA7">
            <w:pPr>
              <w:widowControl/>
              <w:spacing w:line="240" w:lineRule="auto"/>
              <w:ind w:firstLine="0" w:firstLineChars="0"/>
              <w:jc w:val="center"/>
              <w:textAlignment w:val="center"/>
              <w:rPr>
                <w:color w:val="auto"/>
                <w:sz w:val="21"/>
                <w:szCs w:val="21"/>
                <w:lang w:bidi="ar"/>
              </w:rPr>
            </w:pPr>
            <w:r>
              <w:rPr>
                <w:color w:val="auto"/>
                <w:sz w:val="21"/>
                <w:szCs w:val="21"/>
                <w:lang w:bidi="ar"/>
              </w:rPr>
              <w:t>公共管理与公共服务设施用地</w:t>
            </w:r>
          </w:p>
        </w:tc>
        <w:tc>
          <w:tcPr>
            <w:tcW w:w="904" w:type="pct"/>
            <w:tcBorders>
              <w:tl2br w:val="nil"/>
              <w:tr2bl w:val="nil"/>
            </w:tcBorders>
            <w:shd w:val="clear" w:color="auto" w:fill="auto"/>
            <w:vAlign w:val="center"/>
          </w:tcPr>
          <w:p w14:paraId="50274555">
            <w:pPr>
              <w:widowControl/>
              <w:spacing w:line="240" w:lineRule="auto"/>
              <w:ind w:firstLine="0" w:firstLineChars="0"/>
              <w:jc w:val="center"/>
              <w:textAlignment w:val="center"/>
              <w:rPr>
                <w:color w:val="auto"/>
                <w:sz w:val="21"/>
                <w:szCs w:val="21"/>
                <w:lang w:bidi="ar"/>
              </w:rPr>
            </w:pPr>
            <w:r>
              <w:rPr>
                <w:color w:val="auto"/>
                <w:sz w:val="21"/>
                <w:szCs w:val="21"/>
                <w:lang w:bidi="ar"/>
              </w:rPr>
              <w:t>21.18</w:t>
            </w:r>
          </w:p>
        </w:tc>
        <w:tc>
          <w:tcPr>
            <w:tcW w:w="861" w:type="pct"/>
            <w:tcBorders>
              <w:tl2br w:val="nil"/>
              <w:tr2bl w:val="nil"/>
            </w:tcBorders>
            <w:shd w:val="clear" w:color="auto" w:fill="auto"/>
            <w:vAlign w:val="center"/>
          </w:tcPr>
          <w:p w14:paraId="21D04269">
            <w:pPr>
              <w:widowControl/>
              <w:spacing w:line="240" w:lineRule="auto"/>
              <w:ind w:firstLine="0" w:firstLineChars="0"/>
              <w:jc w:val="center"/>
              <w:textAlignment w:val="center"/>
              <w:rPr>
                <w:color w:val="auto"/>
                <w:sz w:val="21"/>
                <w:szCs w:val="21"/>
                <w:lang w:bidi="ar"/>
              </w:rPr>
            </w:pPr>
            <w:r>
              <w:rPr>
                <w:color w:val="auto"/>
                <w:sz w:val="21"/>
                <w:szCs w:val="21"/>
                <w:lang w:bidi="ar"/>
              </w:rPr>
              <w:t>70</w:t>
            </w:r>
          </w:p>
        </w:tc>
        <w:tc>
          <w:tcPr>
            <w:tcW w:w="828" w:type="pct"/>
            <w:tcBorders>
              <w:tl2br w:val="nil"/>
              <w:tr2bl w:val="nil"/>
            </w:tcBorders>
            <w:shd w:val="clear" w:color="auto" w:fill="auto"/>
            <w:vAlign w:val="center"/>
          </w:tcPr>
          <w:p w14:paraId="6F9E569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0.15 </w:t>
            </w:r>
          </w:p>
        </w:tc>
        <w:tc>
          <w:tcPr>
            <w:tcW w:w="920" w:type="pct"/>
            <w:tcBorders>
              <w:tl2br w:val="nil"/>
              <w:tr2bl w:val="nil"/>
            </w:tcBorders>
            <w:shd w:val="clear" w:color="auto" w:fill="auto"/>
            <w:vAlign w:val="center"/>
          </w:tcPr>
          <w:p w14:paraId="5879C70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0.12 </w:t>
            </w:r>
          </w:p>
        </w:tc>
      </w:tr>
      <w:tr w14:paraId="419D7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02C8FE19">
            <w:pPr>
              <w:widowControl/>
              <w:spacing w:line="240" w:lineRule="auto"/>
              <w:ind w:firstLine="0" w:firstLineChars="0"/>
              <w:jc w:val="center"/>
              <w:textAlignment w:val="center"/>
              <w:rPr>
                <w:color w:val="auto"/>
                <w:sz w:val="21"/>
                <w:szCs w:val="21"/>
                <w:lang w:bidi="ar"/>
              </w:rPr>
            </w:pPr>
            <w:r>
              <w:rPr>
                <w:color w:val="auto"/>
                <w:sz w:val="21"/>
                <w:szCs w:val="21"/>
                <w:lang w:bidi="ar"/>
              </w:rPr>
              <w:t>3</w:t>
            </w:r>
          </w:p>
        </w:tc>
        <w:tc>
          <w:tcPr>
            <w:tcW w:w="999" w:type="pct"/>
            <w:tcBorders>
              <w:tl2br w:val="nil"/>
              <w:tr2bl w:val="nil"/>
            </w:tcBorders>
            <w:shd w:val="clear" w:color="auto" w:fill="auto"/>
            <w:vAlign w:val="center"/>
          </w:tcPr>
          <w:p w14:paraId="623A149E">
            <w:pPr>
              <w:widowControl/>
              <w:spacing w:line="240" w:lineRule="auto"/>
              <w:ind w:firstLine="0" w:firstLineChars="0"/>
              <w:jc w:val="center"/>
              <w:textAlignment w:val="center"/>
              <w:rPr>
                <w:color w:val="auto"/>
                <w:sz w:val="21"/>
                <w:szCs w:val="21"/>
                <w:lang w:bidi="ar"/>
              </w:rPr>
            </w:pPr>
            <w:r>
              <w:rPr>
                <w:color w:val="auto"/>
                <w:sz w:val="21"/>
                <w:szCs w:val="21"/>
                <w:lang w:bidi="ar"/>
              </w:rPr>
              <w:t>商业服务业设施用地</w:t>
            </w:r>
          </w:p>
        </w:tc>
        <w:tc>
          <w:tcPr>
            <w:tcW w:w="904" w:type="pct"/>
            <w:tcBorders>
              <w:tl2br w:val="nil"/>
              <w:tr2bl w:val="nil"/>
            </w:tcBorders>
            <w:shd w:val="clear" w:color="auto" w:fill="auto"/>
            <w:vAlign w:val="center"/>
          </w:tcPr>
          <w:p w14:paraId="2735CFFF">
            <w:pPr>
              <w:widowControl/>
              <w:spacing w:line="240" w:lineRule="auto"/>
              <w:ind w:firstLine="0" w:firstLineChars="0"/>
              <w:jc w:val="center"/>
              <w:textAlignment w:val="center"/>
              <w:rPr>
                <w:color w:val="auto"/>
                <w:sz w:val="21"/>
                <w:szCs w:val="21"/>
                <w:lang w:bidi="ar"/>
              </w:rPr>
            </w:pPr>
            <w:r>
              <w:rPr>
                <w:color w:val="auto"/>
                <w:sz w:val="21"/>
                <w:szCs w:val="21"/>
                <w:lang w:bidi="ar"/>
              </w:rPr>
              <w:t>89.26</w:t>
            </w:r>
          </w:p>
        </w:tc>
        <w:tc>
          <w:tcPr>
            <w:tcW w:w="861" w:type="pct"/>
            <w:tcBorders>
              <w:tl2br w:val="nil"/>
              <w:tr2bl w:val="nil"/>
            </w:tcBorders>
            <w:shd w:val="clear" w:color="auto" w:fill="auto"/>
            <w:vAlign w:val="center"/>
          </w:tcPr>
          <w:p w14:paraId="37882AA9">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828" w:type="pct"/>
            <w:tcBorders>
              <w:tl2br w:val="nil"/>
              <w:tr2bl w:val="nil"/>
            </w:tcBorders>
            <w:shd w:val="clear" w:color="auto" w:fill="auto"/>
            <w:vAlign w:val="center"/>
          </w:tcPr>
          <w:p w14:paraId="77886C1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0.45 </w:t>
            </w:r>
          </w:p>
        </w:tc>
        <w:tc>
          <w:tcPr>
            <w:tcW w:w="920" w:type="pct"/>
            <w:tcBorders>
              <w:tl2br w:val="nil"/>
              <w:tr2bl w:val="nil"/>
            </w:tcBorders>
            <w:shd w:val="clear" w:color="auto" w:fill="auto"/>
            <w:vAlign w:val="center"/>
          </w:tcPr>
          <w:p w14:paraId="2891BCA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0.37 </w:t>
            </w:r>
          </w:p>
        </w:tc>
      </w:tr>
      <w:tr w14:paraId="685050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955E951">
            <w:pPr>
              <w:widowControl/>
              <w:spacing w:line="240" w:lineRule="auto"/>
              <w:ind w:firstLine="0" w:firstLineChars="0"/>
              <w:jc w:val="center"/>
              <w:textAlignment w:val="center"/>
              <w:rPr>
                <w:color w:val="auto"/>
                <w:sz w:val="21"/>
                <w:szCs w:val="21"/>
                <w:lang w:bidi="ar"/>
              </w:rPr>
            </w:pPr>
            <w:r>
              <w:rPr>
                <w:color w:val="auto"/>
                <w:sz w:val="21"/>
                <w:szCs w:val="21"/>
                <w:lang w:bidi="ar"/>
              </w:rPr>
              <w:t>4</w:t>
            </w:r>
          </w:p>
        </w:tc>
        <w:tc>
          <w:tcPr>
            <w:tcW w:w="999" w:type="pct"/>
            <w:tcBorders>
              <w:tl2br w:val="nil"/>
              <w:tr2bl w:val="nil"/>
            </w:tcBorders>
            <w:shd w:val="clear" w:color="auto" w:fill="auto"/>
            <w:vAlign w:val="center"/>
          </w:tcPr>
          <w:p w14:paraId="798C6BC2">
            <w:pPr>
              <w:widowControl/>
              <w:spacing w:line="240" w:lineRule="auto"/>
              <w:ind w:firstLine="0" w:firstLineChars="0"/>
              <w:jc w:val="center"/>
              <w:textAlignment w:val="center"/>
              <w:rPr>
                <w:color w:val="auto"/>
                <w:sz w:val="21"/>
                <w:szCs w:val="21"/>
                <w:lang w:bidi="ar"/>
              </w:rPr>
            </w:pPr>
            <w:r>
              <w:rPr>
                <w:color w:val="auto"/>
                <w:sz w:val="21"/>
                <w:szCs w:val="21"/>
                <w:lang w:bidi="ar"/>
              </w:rPr>
              <w:t>工业用地</w:t>
            </w:r>
          </w:p>
        </w:tc>
        <w:tc>
          <w:tcPr>
            <w:tcW w:w="904" w:type="pct"/>
            <w:tcBorders>
              <w:tl2br w:val="nil"/>
              <w:tr2bl w:val="nil"/>
            </w:tcBorders>
            <w:shd w:val="clear" w:color="auto" w:fill="auto"/>
            <w:vAlign w:val="center"/>
          </w:tcPr>
          <w:p w14:paraId="547C1BC6">
            <w:pPr>
              <w:widowControl/>
              <w:spacing w:line="240" w:lineRule="auto"/>
              <w:ind w:firstLine="0" w:firstLineChars="0"/>
              <w:jc w:val="center"/>
              <w:textAlignment w:val="center"/>
              <w:rPr>
                <w:color w:val="auto"/>
                <w:sz w:val="21"/>
                <w:szCs w:val="21"/>
                <w:lang w:bidi="ar"/>
              </w:rPr>
            </w:pPr>
            <w:r>
              <w:rPr>
                <w:color w:val="auto"/>
                <w:sz w:val="21"/>
                <w:szCs w:val="21"/>
                <w:lang w:bidi="ar"/>
              </w:rPr>
              <w:t>22.62</w:t>
            </w:r>
          </w:p>
        </w:tc>
        <w:tc>
          <w:tcPr>
            <w:tcW w:w="861" w:type="pct"/>
            <w:tcBorders>
              <w:tl2br w:val="nil"/>
              <w:tr2bl w:val="nil"/>
            </w:tcBorders>
            <w:shd w:val="clear" w:color="auto" w:fill="auto"/>
            <w:vAlign w:val="center"/>
          </w:tcPr>
          <w:p w14:paraId="25B4D308">
            <w:pPr>
              <w:widowControl/>
              <w:spacing w:line="240" w:lineRule="auto"/>
              <w:ind w:firstLine="0" w:firstLineChars="0"/>
              <w:jc w:val="center"/>
              <w:textAlignment w:val="center"/>
              <w:rPr>
                <w:color w:val="auto"/>
                <w:sz w:val="21"/>
                <w:szCs w:val="21"/>
                <w:lang w:bidi="ar"/>
              </w:rPr>
            </w:pPr>
            <w:r>
              <w:rPr>
                <w:color w:val="auto"/>
                <w:sz w:val="21"/>
                <w:szCs w:val="21"/>
                <w:lang w:bidi="ar"/>
              </w:rPr>
              <w:t>90</w:t>
            </w:r>
          </w:p>
        </w:tc>
        <w:tc>
          <w:tcPr>
            <w:tcW w:w="828" w:type="pct"/>
            <w:tcBorders>
              <w:tl2br w:val="nil"/>
              <w:tr2bl w:val="nil"/>
            </w:tcBorders>
            <w:shd w:val="clear" w:color="auto" w:fill="auto"/>
            <w:vAlign w:val="center"/>
          </w:tcPr>
          <w:p w14:paraId="384CD52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0.20 </w:t>
            </w:r>
          </w:p>
        </w:tc>
        <w:tc>
          <w:tcPr>
            <w:tcW w:w="920" w:type="pct"/>
            <w:tcBorders>
              <w:tl2br w:val="nil"/>
              <w:tr2bl w:val="nil"/>
            </w:tcBorders>
            <w:shd w:val="clear" w:color="auto" w:fill="auto"/>
            <w:vAlign w:val="center"/>
          </w:tcPr>
          <w:p w14:paraId="2F66F1C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0.17 </w:t>
            </w:r>
          </w:p>
        </w:tc>
      </w:tr>
      <w:tr w14:paraId="0222B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2BC2799F">
            <w:pPr>
              <w:widowControl/>
              <w:spacing w:line="240" w:lineRule="auto"/>
              <w:ind w:firstLine="0" w:firstLineChars="0"/>
              <w:jc w:val="center"/>
              <w:textAlignment w:val="center"/>
              <w:rPr>
                <w:color w:val="auto"/>
                <w:sz w:val="21"/>
                <w:szCs w:val="21"/>
                <w:lang w:bidi="ar"/>
              </w:rPr>
            </w:pPr>
            <w:r>
              <w:rPr>
                <w:color w:val="auto"/>
                <w:sz w:val="21"/>
                <w:szCs w:val="21"/>
                <w:lang w:bidi="ar"/>
              </w:rPr>
              <w:t>5</w:t>
            </w:r>
          </w:p>
        </w:tc>
        <w:tc>
          <w:tcPr>
            <w:tcW w:w="999" w:type="pct"/>
            <w:tcBorders>
              <w:tl2br w:val="nil"/>
              <w:tr2bl w:val="nil"/>
            </w:tcBorders>
            <w:shd w:val="clear" w:color="auto" w:fill="auto"/>
            <w:vAlign w:val="center"/>
          </w:tcPr>
          <w:p w14:paraId="306B2719">
            <w:pPr>
              <w:widowControl/>
              <w:spacing w:line="240" w:lineRule="auto"/>
              <w:ind w:firstLine="0" w:firstLineChars="0"/>
              <w:jc w:val="center"/>
              <w:textAlignment w:val="center"/>
              <w:rPr>
                <w:color w:val="auto"/>
                <w:sz w:val="21"/>
                <w:szCs w:val="21"/>
                <w:lang w:bidi="ar"/>
              </w:rPr>
            </w:pPr>
            <w:r>
              <w:rPr>
                <w:color w:val="auto"/>
                <w:sz w:val="21"/>
                <w:szCs w:val="21"/>
                <w:lang w:bidi="ar"/>
              </w:rPr>
              <w:t>物流仓储用地</w:t>
            </w:r>
          </w:p>
        </w:tc>
        <w:tc>
          <w:tcPr>
            <w:tcW w:w="904" w:type="pct"/>
            <w:tcBorders>
              <w:tl2br w:val="nil"/>
              <w:tr2bl w:val="nil"/>
            </w:tcBorders>
            <w:shd w:val="clear" w:color="auto" w:fill="auto"/>
            <w:vAlign w:val="center"/>
          </w:tcPr>
          <w:p w14:paraId="4DFAFBFB">
            <w:pPr>
              <w:widowControl/>
              <w:spacing w:line="240" w:lineRule="auto"/>
              <w:ind w:firstLine="0" w:firstLineChars="0"/>
              <w:jc w:val="center"/>
              <w:textAlignment w:val="center"/>
              <w:rPr>
                <w:color w:val="auto"/>
                <w:sz w:val="21"/>
                <w:szCs w:val="21"/>
                <w:lang w:bidi="ar"/>
              </w:rPr>
            </w:pPr>
            <w:r>
              <w:rPr>
                <w:color w:val="auto"/>
                <w:sz w:val="21"/>
                <w:szCs w:val="21"/>
                <w:lang w:bidi="ar"/>
              </w:rPr>
              <w:t>0</w:t>
            </w:r>
          </w:p>
        </w:tc>
        <w:tc>
          <w:tcPr>
            <w:tcW w:w="861" w:type="pct"/>
            <w:tcBorders>
              <w:tl2br w:val="nil"/>
              <w:tr2bl w:val="nil"/>
            </w:tcBorders>
            <w:shd w:val="clear" w:color="auto" w:fill="auto"/>
            <w:vAlign w:val="center"/>
          </w:tcPr>
          <w:p w14:paraId="5B34753D">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828" w:type="pct"/>
            <w:tcBorders>
              <w:tl2br w:val="nil"/>
              <w:tr2bl w:val="nil"/>
            </w:tcBorders>
            <w:shd w:val="clear" w:color="auto" w:fill="auto"/>
            <w:vAlign w:val="center"/>
          </w:tcPr>
          <w:p w14:paraId="45A31A7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c>
          <w:tcPr>
            <w:tcW w:w="920" w:type="pct"/>
            <w:tcBorders>
              <w:tl2br w:val="nil"/>
              <w:tr2bl w:val="nil"/>
            </w:tcBorders>
            <w:shd w:val="clear" w:color="auto" w:fill="auto"/>
            <w:vAlign w:val="center"/>
          </w:tcPr>
          <w:p w14:paraId="3BBB11B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2863FD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79F9B554">
            <w:pPr>
              <w:widowControl/>
              <w:spacing w:line="240" w:lineRule="auto"/>
              <w:ind w:firstLine="0" w:firstLineChars="0"/>
              <w:jc w:val="center"/>
              <w:textAlignment w:val="center"/>
              <w:rPr>
                <w:color w:val="auto"/>
                <w:sz w:val="21"/>
                <w:szCs w:val="21"/>
                <w:lang w:bidi="ar"/>
              </w:rPr>
            </w:pPr>
            <w:r>
              <w:rPr>
                <w:color w:val="auto"/>
                <w:sz w:val="21"/>
                <w:szCs w:val="21"/>
                <w:lang w:bidi="ar"/>
              </w:rPr>
              <w:t>6</w:t>
            </w:r>
          </w:p>
        </w:tc>
        <w:tc>
          <w:tcPr>
            <w:tcW w:w="999" w:type="pct"/>
            <w:tcBorders>
              <w:tl2br w:val="nil"/>
              <w:tr2bl w:val="nil"/>
            </w:tcBorders>
            <w:shd w:val="clear" w:color="auto" w:fill="auto"/>
            <w:vAlign w:val="center"/>
          </w:tcPr>
          <w:p w14:paraId="4295B86A">
            <w:pPr>
              <w:widowControl/>
              <w:spacing w:line="240" w:lineRule="auto"/>
              <w:ind w:firstLine="0" w:firstLineChars="0"/>
              <w:jc w:val="center"/>
              <w:textAlignment w:val="center"/>
              <w:rPr>
                <w:color w:val="auto"/>
                <w:sz w:val="21"/>
                <w:szCs w:val="21"/>
                <w:lang w:bidi="ar"/>
              </w:rPr>
            </w:pPr>
            <w:r>
              <w:rPr>
                <w:color w:val="auto"/>
                <w:sz w:val="21"/>
                <w:szCs w:val="21"/>
                <w:lang w:bidi="ar"/>
              </w:rPr>
              <w:t>道路与交通设施用地</w:t>
            </w:r>
          </w:p>
        </w:tc>
        <w:tc>
          <w:tcPr>
            <w:tcW w:w="904" w:type="pct"/>
            <w:tcBorders>
              <w:tl2br w:val="nil"/>
              <w:tr2bl w:val="nil"/>
            </w:tcBorders>
            <w:shd w:val="clear" w:color="auto" w:fill="auto"/>
            <w:vAlign w:val="center"/>
          </w:tcPr>
          <w:p w14:paraId="286B7582">
            <w:pPr>
              <w:widowControl/>
              <w:spacing w:line="240" w:lineRule="auto"/>
              <w:ind w:firstLine="0" w:firstLineChars="0"/>
              <w:jc w:val="center"/>
              <w:textAlignment w:val="center"/>
              <w:rPr>
                <w:color w:val="auto"/>
                <w:sz w:val="21"/>
                <w:szCs w:val="21"/>
                <w:lang w:bidi="ar"/>
              </w:rPr>
            </w:pPr>
            <w:r>
              <w:rPr>
                <w:color w:val="auto"/>
                <w:sz w:val="21"/>
                <w:szCs w:val="21"/>
                <w:lang w:bidi="ar"/>
              </w:rPr>
              <w:t>94.65</w:t>
            </w:r>
          </w:p>
        </w:tc>
        <w:tc>
          <w:tcPr>
            <w:tcW w:w="861" w:type="pct"/>
            <w:tcBorders>
              <w:tl2br w:val="nil"/>
              <w:tr2bl w:val="nil"/>
            </w:tcBorders>
            <w:shd w:val="clear" w:color="auto" w:fill="auto"/>
            <w:vAlign w:val="center"/>
          </w:tcPr>
          <w:p w14:paraId="2C0C29F8">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828" w:type="pct"/>
            <w:tcBorders>
              <w:tl2br w:val="nil"/>
              <w:tr2bl w:val="nil"/>
            </w:tcBorders>
            <w:shd w:val="clear" w:color="auto" w:fill="auto"/>
            <w:vAlign w:val="center"/>
          </w:tcPr>
          <w:p w14:paraId="5D96963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0.47 </w:t>
            </w:r>
          </w:p>
        </w:tc>
        <w:tc>
          <w:tcPr>
            <w:tcW w:w="920" w:type="pct"/>
            <w:tcBorders>
              <w:tl2br w:val="nil"/>
              <w:tr2bl w:val="nil"/>
            </w:tcBorders>
            <w:shd w:val="clear" w:color="auto" w:fill="auto"/>
            <w:vAlign w:val="center"/>
          </w:tcPr>
          <w:p w14:paraId="18D179E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0.39 </w:t>
            </w:r>
          </w:p>
        </w:tc>
      </w:tr>
      <w:tr w14:paraId="28A15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587856AE">
            <w:pPr>
              <w:widowControl/>
              <w:spacing w:line="240" w:lineRule="auto"/>
              <w:ind w:firstLine="0" w:firstLineChars="0"/>
              <w:jc w:val="center"/>
              <w:textAlignment w:val="center"/>
              <w:rPr>
                <w:color w:val="auto"/>
                <w:sz w:val="21"/>
                <w:szCs w:val="21"/>
                <w:lang w:bidi="ar"/>
              </w:rPr>
            </w:pPr>
            <w:r>
              <w:rPr>
                <w:color w:val="auto"/>
                <w:sz w:val="21"/>
                <w:szCs w:val="21"/>
                <w:lang w:bidi="ar"/>
              </w:rPr>
              <w:t>7</w:t>
            </w:r>
          </w:p>
        </w:tc>
        <w:tc>
          <w:tcPr>
            <w:tcW w:w="999" w:type="pct"/>
            <w:tcBorders>
              <w:tl2br w:val="nil"/>
              <w:tr2bl w:val="nil"/>
            </w:tcBorders>
            <w:shd w:val="clear" w:color="auto" w:fill="auto"/>
            <w:vAlign w:val="center"/>
          </w:tcPr>
          <w:p w14:paraId="10BC0CE9">
            <w:pPr>
              <w:widowControl/>
              <w:spacing w:line="240" w:lineRule="auto"/>
              <w:ind w:firstLine="0" w:firstLineChars="0"/>
              <w:jc w:val="center"/>
              <w:textAlignment w:val="center"/>
              <w:rPr>
                <w:color w:val="auto"/>
                <w:sz w:val="21"/>
                <w:szCs w:val="21"/>
                <w:lang w:bidi="ar"/>
              </w:rPr>
            </w:pPr>
            <w:r>
              <w:rPr>
                <w:color w:val="auto"/>
                <w:sz w:val="21"/>
                <w:szCs w:val="21"/>
                <w:lang w:bidi="ar"/>
              </w:rPr>
              <w:t>公用设施用地</w:t>
            </w:r>
          </w:p>
        </w:tc>
        <w:tc>
          <w:tcPr>
            <w:tcW w:w="904" w:type="pct"/>
            <w:tcBorders>
              <w:tl2br w:val="nil"/>
              <w:tr2bl w:val="nil"/>
            </w:tcBorders>
            <w:shd w:val="clear" w:color="auto" w:fill="auto"/>
            <w:vAlign w:val="center"/>
          </w:tcPr>
          <w:p w14:paraId="698ED419">
            <w:pPr>
              <w:widowControl/>
              <w:spacing w:line="240" w:lineRule="auto"/>
              <w:ind w:firstLine="0" w:firstLineChars="0"/>
              <w:jc w:val="center"/>
              <w:textAlignment w:val="center"/>
              <w:rPr>
                <w:color w:val="auto"/>
                <w:sz w:val="21"/>
                <w:szCs w:val="21"/>
                <w:lang w:bidi="ar"/>
              </w:rPr>
            </w:pPr>
            <w:r>
              <w:rPr>
                <w:color w:val="auto"/>
                <w:sz w:val="21"/>
                <w:szCs w:val="21"/>
                <w:lang w:bidi="ar"/>
              </w:rPr>
              <w:t>8.14</w:t>
            </w:r>
          </w:p>
        </w:tc>
        <w:tc>
          <w:tcPr>
            <w:tcW w:w="861" w:type="pct"/>
            <w:tcBorders>
              <w:tl2br w:val="nil"/>
              <w:tr2bl w:val="nil"/>
            </w:tcBorders>
            <w:shd w:val="clear" w:color="auto" w:fill="auto"/>
            <w:vAlign w:val="center"/>
          </w:tcPr>
          <w:p w14:paraId="03BC6A9F">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828" w:type="pct"/>
            <w:tcBorders>
              <w:tl2br w:val="nil"/>
              <w:tr2bl w:val="nil"/>
            </w:tcBorders>
            <w:shd w:val="clear" w:color="auto" w:fill="auto"/>
            <w:vAlign w:val="center"/>
          </w:tcPr>
          <w:p w14:paraId="2CAFDA5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0.03 </w:t>
            </w:r>
          </w:p>
        </w:tc>
        <w:tc>
          <w:tcPr>
            <w:tcW w:w="920" w:type="pct"/>
            <w:tcBorders>
              <w:tl2br w:val="nil"/>
              <w:tr2bl w:val="nil"/>
            </w:tcBorders>
            <w:shd w:val="clear" w:color="auto" w:fill="auto"/>
            <w:vAlign w:val="center"/>
          </w:tcPr>
          <w:p w14:paraId="710B122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0.02 </w:t>
            </w:r>
          </w:p>
        </w:tc>
      </w:tr>
      <w:tr w14:paraId="790304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EC1AC6C">
            <w:pPr>
              <w:widowControl/>
              <w:spacing w:line="240" w:lineRule="auto"/>
              <w:ind w:firstLine="0" w:firstLineChars="0"/>
              <w:jc w:val="center"/>
              <w:textAlignment w:val="center"/>
              <w:rPr>
                <w:color w:val="auto"/>
                <w:sz w:val="21"/>
                <w:szCs w:val="21"/>
                <w:lang w:bidi="ar"/>
              </w:rPr>
            </w:pPr>
            <w:r>
              <w:rPr>
                <w:color w:val="auto"/>
                <w:sz w:val="21"/>
                <w:szCs w:val="21"/>
                <w:lang w:bidi="ar"/>
              </w:rPr>
              <w:t>8</w:t>
            </w:r>
          </w:p>
        </w:tc>
        <w:tc>
          <w:tcPr>
            <w:tcW w:w="999" w:type="pct"/>
            <w:tcBorders>
              <w:tl2br w:val="nil"/>
              <w:tr2bl w:val="nil"/>
            </w:tcBorders>
            <w:shd w:val="clear" w:color="auto" w:fill="auto"/>
            <w:vAlign w:val="center"/>
          </w:tcPr>
          <w:p w14:paraId="2EF4B4F4">
            <w:pPr>
              <w:widowControl/>
              <w:spacing w:line="240" w:lineRule="auto"/>
              <w:ind w:firstLine="0" w:firstLineChars="0"/>
              <w:jc w:val="center"/>
              <w:textAlignment w:val="center"/>
              <w:rPr>
                <w:color w:val="auto"/>
                <w:sz w:val="21"/>
                <w:szCs w:val="21"/>
                <w:lang w:bidi="ar"/>
              </w:rPr>
            </w:pPr>
            <w:r>
              <w:rPr>
                <w:color w:val="auto"/>
                <w:sz w:val="21"/>
                <w:szCs w:val="21"/>
                <w:lang w:bidi="ar"/>
              </w:rPr>
              <w:t>绿地</w:t>
            </w:r>
          </w:p>
        </w:tc>
        <w:tc>
          <w:tcPr>
            <w:tcW w:w="904" w:type="pct"/>
            <w:tcBorders>
              <w:tl2br w:val="nil"/>
              <w:tr2bl w:val="nil"/>
            </w:tcBorders>
            <w:shd w:val="clear" w:color="auto" w:fill="auto"/>
            <w:vAlign w:val="center"/>
          </w:tcPr>
          <w:p w14:paraId="7D4C5E7D">
            <w:pPr>
              <w:widowControl/>
              <w:spacing w:line="240" w:lineRule="auto"/>
              <w:ind w:firstLine="0" w:firstLineChars="0"/>
              <w:jc w:val="center"/>
              <w:textAlignment w:val="center"/>
              <w:rPr>
                <w:color w:val="auto"/>
                <w:sz w:val="21"/>
                <w:szCs w:val="21"/>
                <w:lang w:bidi="ar"/>
              </w:rPr>
            </w:pPr>
            <w:r>
              <w:rPr>
                <w:color w:val="auto"/>
                <w:sz w:val="21"/>
                <w:szCs w:val="21"/>
                <w:lang w:bidi="ar"/>
              </w:rPr>
              <w:t>71.61</w:t>
            </w:r>
          </w:p>
        </w:tc>
        <w:tc>
          <w:tcPr>
            <w:tcW w:w="861" w:type="pct"/>
            <w:tcBorders>
              <w:tl2br w:val="nil"/>
              <w:tr2bl w:val="nil"/>
            </w:tcBorders>
            <w:shd w:val="clear" w:color="auto" w:fill="auto"/>
            <w:vAlign w:val="center"/>
          </w:tcPr>
          <w:p w14:paraId="3B474D65">
            <w:pPr>
              <w:widowControl/>
              <w:spacing w:line="240" w:lineRule="auto"/>
              <w:ind w:firstLine="0" w:firstLineChars="0"/>
              <w:jc w:val="center"/>
              <w:textAlignment w:val="center"/>
              <w:rPr>
                <w:color w:val="auto"/>
                <w:sz w:val="21"/>
                <w:szCs w:val="21"/>
                <w:lang w:bidi="ar"/>
              </w:rPr>
            </w:pPr>
            <w:r>
              <w:rPr>
                <w:color w:val="auto"/>
                <w:sz w:val="21"/>
                <w:szCs w:val="21"/>
                <w:lang w:bidi="ar"/>
              </w:rPr>
              <w:t>20</w:t>
            </w:r>
          </w:p>
        </w:tc>
        <w:tc>
          <w:tcPr>
            <w:tcW w:w="828" w:type="pct"/>
            <w:tcBorders>
              <w:tl2br w:val="nil"/>
              <w:tr2bl w:val="nil"/>
            </w:tcBorders>
            <w:shd w:val="clear" w:color="auto" w:fill="auto"/>
            <w:vAlign w:val="center"/>
          </w:tcPr>
          <w:p w14:paraId="1F94CAF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0.14 </w:t>
            </w:r>
          </w:p>
        </w:tc>
        <w:tc>
          <w:tcPr>
            <w:tcW w:w="920" w:type="pct"/>
            <w:tcBorders>
              <w:tl2br w:val="nil"/>
              <w:tr2bl w:val="nil"/>
            </w:tcBorders>
            <w:shd w:val="clear" w:color="auto" w:fill="auto"/>
            <w:vAlign w:val="center"/>
          </w:tcPr>
          <w:p w14:paraId="5D80E1C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0.12 </w:t>
            </w:r>
          </w:p>
        </w:tc>
      </w:tr>
      <w:tr w14:paraId="13322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16CD9021">
            <w:pPr>
              <w:widowControl/>
              <w:spacing w:line="240" w:lineRule="auto"/>
              <w:ind w:firstLine="0" w:firstLineChars="0"/>
              <w:jc w:val="center"/>
              <w:textAlignment w:val="center"/>
              <w:rPr>
                <w:color w:val="auto"/>
                <w:sz w:val="21"/>
                <w:szCs w:val="21"/>
                <w:lang w:bidi="ar"/>
              </w:rPr>
            </w:pPr>
            <w:r>
              <w:rPr>
                <w:color w:val="auto"/>
                <w:sz w:val="21"/>
                <w:szCs w:val="21"/>
                <w:lang w:bidi="ar"/>
              </w:rPr>
              <w:t>9</w:t>
            </w:r>
          </w:p>
        </w:tc>
        <w:tc>
          <w:tcPr>
            <w:tcW w:w="999" w:type="pct"/>
            <w:tcBorders>
              <w:tl2br w:val="nil"/>
              <w:tr2bl w:val="nil"/>
            </w:tcBorders>
            <w:shd w:val="clear" w:color="auto" w:fill="auto"/>
            <w:vAlign w:val="center"/>
          </w:tcPr>
          <w:p w14:paraId="6D3DE8F7">
            <w:pPr>
              <w:widowControl/>
              <w:spacing w:line="240" w:lineRule="auto"/>
              <w:ind w:firstLine="0" w:firstLineChars="0"/>
              <w:jc w:val="center"/>
              <w:textAlignment w:val="center"/>
              <w:rPr>
                <w:color w:val="auto"/>
                <w:sz w:val="21"/>
                <w:szCs w:val="21"/>
                <w:lang w:bidi="ar"/>
              </w:rPr>
            </w:pPr>
            <w:r>
              <w:rPr>
                <w:color w:val="auto"/>
                <w:sz w:val="21"/>
                <w:szCs w:val="21"/>
                <w:lang w:bidi="ar"/>
              </w:rPr>
              <w:t>总计</w:t>
            </w:r>
          </w:p>
        </w:tc>
        <w:tc>
          <w:tcPr>
            <w:tcW w:w="904" w:type="pct"/>
            <w:tcBorders>
              <w:tl2br w:val="nil"/>
              <w:tr2bl w:val="nil"/>
            </w:tcBorders>
            <w:shd w:val="clear" w:color="auto" w:fill="auto"/>
            <w:vAlign w:val="center"/>
          </w:tcPr>
          <w:p w14:paraId="045740C4">
            <w:pPr>
              <w:widowControl/>
              <w:spacing w:line="240" w:lineRule="auto"/>
              <w:ind w:firstLine="0" w:firstLineChars="0"/>
              <w:jc w:val="center"/>
              <w:textAlignment w:val="center"/>
              <w:rPr>
                <w:color w:val="auto"/>
                <w:sz w:val="21"/>
                <w:szCs w:val="21"/>
                <w:lang w:bidi="ar"/>
              </w:rPr>
            </w:pPr>
          </w:p>
        </w:tc>
        <w:tc>
          <w:tcPr>
            <w:tcW w:w="861" w:type="pct"/>
            <w:tcBorders>
              <w:tl2br w:val="nil"/>
              <w:tr2bl w:val="nil"/>
            </w:tcBorders>
            <w:shd w:val="clear" w:color="auto" w:fill="auto"/>
            <w:vAlign w:val="center"/>
          </w:tcPr>
          <w:p w14:paraId="36F069E4">
            <w:pPr>
              <w:widowControl/>
              <w:spacing w:line="240" w:lineRule="auto"/>
              <w:ind w:firstLine="0" w:firstLineChars="0"/>
              <w:jc w:val="center"/>
              <w:textAlignment w:val="center"/>
              <w:rPr>
                <w:color w:val="auto"/>
                <w:sz w:val="21"/>
                <w:szCs w:val="21"/>
                <w:lang w:bidi="ar"/>
              </w:rPr>
            </w:pPr>
          </w:p>
        </w:tc>
        <w:tc>
          <w:tcPr>
            <w:tcW w:w="828" w:type="pct"/>
            <w:tcBorders>
              <w:tl2br w:val="nil"/>
              <w:tr2bl w:val="nil"/>
            </w:tcBorders>
            <w:shd w:val="clear" w:color="auto" w:fill="auto"/>
            <w:vAlign w:val="center"/>
          </w:tcPr>
          <w:p w14:paraId="1D24516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1.92 </w:t>
            </w:r>
          </w:p>
        </w:tc>
        <w:tc>
          <w:tcPr>
            <w:tcW w:w="920" w:type="pct"/>
            <w:tcBorders>
              <w:tl2br w:val="nil"/>
              <w:tr2bl w:val="nil"/>
            </w:tcBorders>
            <w:shd w:val="clear" w:color="auto" w:fill="auto"/>
            <w:vAlign w:val="center"/>
          </w:tcPr>
          <w:p w14:paraId="5256F2C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1.60 </w:t>
            </w:r>
          </w:p>
        </w:tc>
      </w:tr>
    </w:tbl>
    <w:p w14:paraId="672EC0DD">
      <w:pPr>
        <w:ind w:firstLine="0" w:firstLineChars="0"/>
        <w:jc w:val="left"/>
        <w:rPr>
          <w:b/>
          <w:color w:val="auto"/>
        </w:rPr>
      </w:pPr>
      <w:r>
        <w:rPr>
          <w:b/>
          <w:color w:val="auto"/>
        </w:rPr>
        <w:t>表4.3-7        B区规划水平年 2025 年需水量预测表（用地指标法）</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87"/>
        <w:gridCol w:w="1822"/>
        <w:gridCol w:w="1649"/>
        <w:gridCol w:w="1571"/>
        <w:gridCol w:w="1510"/>
        <w:gridCol w:w="1678"/>
      </w:tblGrid>
      <w:tr w14:paraId="139EC6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877FB3C">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999" w:type="pct"/>
            <w:tcBorders>
              <w:tl2br w:val="nil"/>
              <w:tr2bl w:val="nil"/>
            </w:tcBorders>
            <w:shd w:val="clear" w:color="auto" w:fill="auto"/>
            <w:vAlign w:val="center"/>
          </w:tcPr>
          <w:p w14:paraId="7A8E51CD">
            <w:pPr>
              <w:widowControl/>
              <w:spacing w:line="240" w:lineRule="auto"/>
              <w:ind w:firstLine="0" w:firstLineChars="0"/>
              <w:jc w:val="center"/>
              <w:textAlignment w:val="center"/>
              <w:rPr>
                <w:color w:val="auto"/>
                <w:sz w:val="21"/>
                <w:szCs w:val="21"/>
                <w:lang w:bidi="ar"/>
              </w:rPr>
            </w:pPr>
            <w:r>
              <w:rPr>
                <w:color w:val="auto"/>
                <w:sz w:val="21"/>
                <w:szCs w:val="21"/>
                <w:lang w:bidi="ar"/>
              </w:rPr>
              <w:t>用地性质</w:t>
            </w:r>
          </w:p>
        </w:tc>
        <w:tc>
          <w:tcPr>
            <w:tcW w:w="904" w:type="pct"/>
            <w:tcBorders>
              <w:tl2br w:val="nil"/>
              <w:tr2bl w:val="nil"/>
            </w:tcBorders>
            <w:shd w:val="clear" w:color="auto" w:fill="auto"/>
            <w:vAlign w:val="center"/>
          </w:tcPr>
          <w:p w14:paraId="6B6E7158">
            <w:pPr>
              <w:widowControl/>
              <w:spacing w:line="240" w:lineRule="auto"/>
              <w:ind w:firstLine="0" w:firstLineChars="0"/>
              <w:jc w:val="center"/>
              <w:textAlignment w:val="center"/>
              <w:rPr>
                <w:color w:val="auto"/>
                <w:sz w:val="21"/>
                <w:szCs w:val="21"/>
                <w:lang w:bidi="ar"/>
              </w:rPr>
            </w:pPr>
            <w:r>
              <w:rPr>
                <w:color w:val="auto"/>
                <w:sz w:val="21"/>
                <w:szCs w:val="21"/>
                <w:lang w:bidi="ar"/>
              </w:rPr>
              <w:t>面积</w:t>
            </w:r>
          </w:p>
          <w:p w14:paraId="672E4BA0">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861" w:type="pct"/>
            <w:tcBorders>
              <w:tl2br w:val="nil"/>
              <w:tr2bl w:val="nil"/>
            </w:tcBorders>
            <w:shd w:val="clear" w:color="auto" w:fill="auto"/>
            <w:vAlign w:val="center"/>
          </w:tcPr>
          <w:p w14:paraId="1B1ACF61">
            <w:pPr>
              <w:widowControl/>
              <w:spacing w:line="240" w:lineRule="auto"/>
              <w:ind w:firstLine="0" w:firstLineChars="0"/>
              <w:jc w:val="center"/>
              <w:textAlignment w:val="center"/>
              <w:rPr>
                <w:color w:val="auto"/>
                <w:sz w:val="21"/>
                <w:szCs w:val="21"/>
                <w:lang w:bidi="ar"/>
              </w:rPr>
            </w:pPr>
            <w:r>
              <w:rPr>
                <w:color w:val="auto"/>
                <w:sz w:val="21"/>
                <w:szCs w:val="21"/>
                <w:lang w:bidi="ar"/>
              </w:rPr>
              <w:t>定额</w:t>
            </w:r>
          </w:p>
          <w:p w14:paraId="1571B818">
            <w:pPr>
              <w:widowControl/>
              <w:spacing w:line="240" w:lineRule="auto"/>
              <w:ind w:firstLine="0" w:firstLineChars="0"/>
              <w:jc w:val="center"/>
              <w:textAlignment w:val="center"/>
              <w:rPr>
                <w:color w:val="auto"/>
                <w:sz w:val="21"/>
                <w:szCs w:val="21"/>
                <w:lang w:bidi="ar"/>
              </w:rPr>
            </w:pPr>
            <w:r>
              <w:rPr>
                <w:color w:val="auto"/>
                <w:sz w:val="21"/>
                <w:szCs w:val="21"/>
                <w:lang w:bidi="ar"/>
              </w:rPr>
              <w:t>(m³/(hm²• d))</w:t>
            </w:r>
          </w:p>
        </w:tc>
        <w:tc>
          <w:tcPr>
            <w:tcW w:w="828" w:type="pct"/>
            <w:tcBorders>
              <w:tl2br w:val="nil"/>
              <w:tr2bl w:val="nil"/>
            </w:tcBorders>
            <w:shd w:val="clear" w:color="auto" w:fill="auto"/>
            <w:vAlign w:val="center"/>
          </w:tcPr>
          <w:p w14:paraId="184074A3">
            <w:pPr>
              <w:widowControl/>
              <w:spacing w:line="240" w:lineRule="auto"/>
              <w:ind w:firstLine="0" w:firstLineChars="0"/>
              <w:jc w:val="center"/>
              <w:textAlignment w:val="center"/>
              <w:rPr>
                <w:color w:val="auto"/>
                <w:sz w:val="21"/>
                <w:szCs w:val="21"/>
                <w:lang w:bidi="ar"/>
              </w:rPr>
            </w:pPr>
            <w:r>
              <w:rPr>
                <w:color w:val="auto"/>
                <w:sz w:val="21"/>
                <w:szCs w:val="21"/>
                <w:lang w:bidi="ar"/>
              </w:rPr>
              <w:t>最高日用水量</w:t>
            </w:r>
          </w:p>
          <w:p w14:paraId="480E3F12">
            <w:pPr>
              <w:widowControl/>
              <w:spacing w:line="240" w:lineRule="auto"/>
              <w:ind w:firstLine="0" w:firstLineChars="0"/>
              <w:jc w:val="center"/>
              <w:textAlignment w:val="center"/>
              <w:rPr>
                <w:color w:val="auto"/>
                <w:sz w:val="21"/>
                <w:szCs w:val="21"/>
                <w:lang w:bidi="ar"/>
              </w:rPr>
            </w:pPr>
            <w:r>
              <w:rPr>
                <w:color w:val="auto"/>
                <w:sz w:val="21"/>
                <w:szCs w:val="21"/>
                <w:lang w:bidi="ar"/>
              </w:rPr>
              <w:t>（万m³/d）</w:t>
            </w:r>
          </w:p>
        </w:tc>
        <w:tc>
          <w:tcPr>
            <w:tcW w:w="920" w:type="pct"/>
            <w:tcBorders>
              <w:tl2br w:val="nil"/>
              <w:tr2bl w:val="nil"/>
            </w:tcBorders>
            <w:shd w:val="clear" w:color="auto" w:fill="auto"/>
            <w:vAlign w:val="center"/>
          </w:tcPr>
          <w:p w14:paraId="10FA9033">
            <w:pPr>
              <w:widowControl/>
              <w:spacing w:line="240" w:lineRule="auto"/>
              <w:ind w:firstLine="0" w:firstLineChars="0"/>
              <w:jc w:val="center"/>
              <w:textAlignment w:val="center"/>
              <w:rPr>
                <w:color w:val="auto"/>
                <w:sz w:val="21"/>
                <w:szCs w:val="21"/>
                <w:lang w:bidi="ar"/>
              </w:rPr>
            </w:pPr>
            <w:r>
              <w:rPr>
                <w:color w:val="auto"/>
                <w:sz w:val="21"/>
                <w:szCs w:val="21"/>
                <w:lang w:bidi="ar"/>
              </w:rPr>
              <w:t>平均日用水量</w:t>
            </w:r>
          </w:p>
          <w:p w14:paraId="5A12CBDA">
            <w:pPr>
              <w:widowControl/>
              <w:spacing w:line="240" w:lineRule="auto"/>
              <w:ind w:firstLine="0" w:firstLineChars="0"/>
              <w:jc w:val="center"/>
              <w:textAlignment w:val="center"/>
              <w:rPr>
                <w:color w:val="auto"/>
                <w:sz w:val="21"/>
                <w:szCs w:val="21"/>
                <w:lang w:bidi="ar"/>
              </w:rPr>
            </w:pPr>
            <w:r>
              <w:rPr>
                <w:color w:val="auto"/>
                <w:sz w:val="21"/>
                <w:szCs w:val="21"/>
                <w:lang w:bidi="ar"/>
              </w:rPr>
              <w:t>（万m³/d）</w:t>
            </w:r>
          </w:p>
        </w:tc>
      </w:tr>
      <w:tr w14:paraId="5EC304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FA7E345">
            <w:pPr>
              <w:widowControl/>
              <w:spacing w:line="240" w:lineRule="auto"/>
              <w:ind w:firstLine="0" w:firstLineChars="0"/>
              <w:jc w:val="center"/>
              <w:textAlignment w:val="center"/>
              <w:rPr>
                <w:color w:val="auto"/>
                <w:sz w:val="21"/>
                <w:szCs w:val="21"/>
                <w:lang w:bidi="ar"/>
              </w:rPr>
            </w:pPr>
            <w:r>
              <w:rPr>
                <w:color w:val="auto"/>
                <w:sz w:val="21"/>
                <w:szCs w:val="21"/>
                <w:lang w:bidi="ar"/>
              </w:rPr>
              <w:t>1</w:t>
            </w:r>
          </w:p>
        </w:tc>
        <w:tc>
          <w:tcPr>
            <w:tcW w:w="999" w:type="pct"/>
            <w:tcBorders>
              <w:tl2br w:val="nil"/>
              <w:tr2bl w:val="nil"/>
            </w:tcBorders>
            <w:shd w:val="clear" w:color="auto" w:fill="auto"/>
            <w:vAlign w:val="center"/>
          </w:tcPr>
          <w:p w14:paraId="211E97A8">
            <w:pPr>
              <w:widowControl/>
              <w:spacing w:line="240" w:lineRule="auto"/>
              <w:ind w:firstLine="0" w:firstLineChars="0"/>
              <w:jc w:val="center"/>
              <w:textAlignment w:val="center"/>
              <w:rPr>
                <w:color w:val="auto"/>
                <w:sz w:val="21"/>
                <w:szCs w:val="21"/>
                <w:lang w:bidi="ar"/>
              </w:rPr>
            </w:pPr>
            <w:r>
              <w:rPr>
                <w:color w:val="auto"/>
                <w:sz w:val="21"/>
                <w:szCs w:val="21"/>
                <w:lang w:bidi="ar"/>
              </w:rPr>
              <w:t>居住用地</w:t>
            </w:r>
          </w:p>
        </w:tc>
        <w:tc>
          <w:tcPr>
            <w:tcW w:w="1649" w:type="dxa"/>
            <w:tcBorders>
              <w:tl2br w:val="nil"/>
              <w:tr2bl w:val="nil"/>
            </w:tcBorders>
            <w:shd w:val="clear" w:color="auto" w:fill="auto"/>
            <w:vAlign w:val="center"/>
          </w:tcPr>
          <w:p w14:paraId="0D7C514E">
            <w:pPr>
              <w:widowControl/>
              <w:spacing w:line="240" w:lineRule="auto"/>
              <w:ind w:firstLine="0" w:firstLineChars="0"/>
              <w:jc w:val="center"/>
              <w:textAlignment w:val="center"/>
              <w:rPr>
                <w:color w:val="auto"/>
                <w:sz w:val="21"/>
                <w:szCs w:val="21"/>
                <w:lang w:bidi="ar"/>
              </w:rPr>
            </w:pPr>
            <w:r>
              <w:rPr>
                <w:color w:val="auto"/>
                <w:sz w:val="21"/>
                <w:szCs w:val="21"/>
                <w:lang w:bidi="ar"/>
              </w:rPr>
              <w:t>90.14</w:t>
            </w:r>
          </w:p>
        </w:tc>
        <w:tc>
          <w:tcPr>
            <w:tcW w:w="1571" w:type="dxa"/>
            <w:tcBorders>
              <w:tl2br w:val="nil"/>
              <w:tr2bl w:val="nil"/>
            </w:tcBorders>
            <w:shd w:val="clear" w:color="auto" w:fill="auto"/>
            <w:vAlign w:val="center"/>
          </w:tcPr>
          <w:p w14:paraId="79804120">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1510" w:type="dxa"/>
            <w:tcBorders>
              <w:tl2br w:val="nil"/>
              <w:tr2bl w:val="nil"/>
            </w:tcBorders>
            <w:shd w:val="clear" w:color="auto" w:fill="auto"/>
            <w:vAlign w:val="center"/>
          </w:tcPr>
          <w:p w14:paraId="6DB57CA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0.45 </w:t>
            </w:r>
          </w:p>
        </w:tc>
        <w:tc>
          <w:tcPr>
            <w:tcW w:w="1678" w:type="dxa"/>
            <w:tcBorders>
              <w:tl2br w:val="nil"/>
              <w:tr2bl w:val="nil"/>
            </w:tcBorders>
            <w:shd w:val="clear" w:color="auto" w:fill="auto"/>
            <w:vAlign w:val="center"/>
          </w:tcPr>
          <w:p w14:paraId="5E9DDC4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0.38 </w:t>
            </w:r>
          </w:p>
        </w:tc>
      </w:tr>
      <w:tr w14:paraId="15FBF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038A5C5">
            <w:pPr>
              <w:widowControl/>
              <w:spacing w:line="240" w:lineRule="auto"/>
              <w:ind w:firstLine="0" w:firstLineChars="0"/>
              <w:jc w:val="center"/>
              <w:textAlignment w:val="center"/>
              <w:rPr>
                <w:color w:val="auto"/>
                <w:sz w:val="21"/>
                <w:szCs w:val="21"/>
                <w:lang w:bidi="ar"/>
              </w:rPr>
            </w:pPr>
            <w:r>
              <w:rPr>
                <w:color w:val="auto"/>
                <w:sz w:val="21"/>
                <w:szCs w:val="21"/>
                <w:lang w:bidi="ar"/>
              </w:rPr>
              <w:t>2</w:t>
            </w:r>
          </w:p>
        </w:tc>
        <w:tc>
          <w:tcPr>
            <w:tcW w:w="999" w:type="pct"/>
            <w:tcBorders>
              <w:tl2br w:val="nil"/>
              <w:tr2bl w:val="nil"/>
            </w:tcBorders>
            <w:shd w:val="clear" w:color="auto" w:fill="auto"/>
            <w:vAlign w:val="center"/>
          </w:tcPr>
          <w:p w14:paraId="2E65EDC6">
            <w:pPr>
              <w:widowControl/>
              <w:spacing w:line="240" w:lineRule="auto"/>
              <w:ind w:firstLine="0" w:firstLineChars="0"/>
              <w:jc w:val="center"/>
              <w:textAlignment w:val="center"/>
              <w:rPr>
                <w:color w:val="auto"/>
                <w:sz w:val="21"/>
                <w:szCs w:val="21"/>
                <w:lang w:bidi="ar"/>
              </w:rPr>
            </w:pPr>
            <w:r>
              <w:rPr>
                <w:color w:val="auto"/>
                <w:sz w:val="21"/>
                <w:szCs w:val="21"/>
                <w:lang w:bidi="ar"/>
              </w:rPr>
              <w:t>公共管理与公共服务设施用地</w:t>
            </w:r>
          </w:p>
        </w:tc>
        <w:tc>
          <w:tcPr>
            <w:tcW w:w="1649" w:type="dxa"/>
            <w:tcBorders>
              <w:tl2br w:val="nil"/>
              <w:tr2bl w:val="nil"/>
            </w:tcBorders>
            <w:shd w:val="clear" w:color="auto" w:fill="auto"/>
            <w:vAlign w:val="center"/>
          </w:tcPr>
          <w:p w14:paraId="6FF835F4">
            <w:pPr>
              <w:widowControl/>
              <w:spacing w:line="240" w:lineRule="auto"/>
              <w:ind w:firstLine="0" w:firstLineChars="0"/>
              <w:jc w:val="center"/>
              <w:textAlignment w:val="center"/>
              <w:rPr>
                <w:color w:val="auto"/>
                <w:sz w:val="21"/>
                <w:szCs w:val="21"/>
                <w:lang w:bidi="ar"/>
              </w:rPr>
            </w:pPr>
            <w:r>
              <w:rPr>
                <w:color w:val="auto"/>
                <w:sz w:val="21"/>
                <w:szCs w:val="21"/>
                <w:lang w:bidi="ar"/>
              </w:rPr>
              <w:t>29.53</w:t>
            </w:r>
          </w:p>
        </w:tc>
        <w:tc>
          <w:tcPr>
            <w:tcW w:w="1571" w:type="dxa"/>
            <w:tcBorders>
              <w:tl2br w:val="nil"/>
              <w:tr2bl w:val="nil"/>
            </w:tcBorders>
            <w:shd w:val="clear" w:color="auto" w:fill="auto"/>
            <w:vAlign w:val="center"/>
          </w:tcPr>
          <w:p w14:paraId="72B931F6">
            <w:pPr>
              <w:widowControl/>
              <w:spacing w:line="240" w:lineRule="auto"/>
              <w:ind w:firstLine="0" w:firstLineChars="0"/>
              <w:jc w:val="center"/>
              <w:textAlignment w:val="center"/>
              <w:rPr>
                <w:color w:val="auto"/>
                <w:sz w:val="21"/>
                <w:szCs w:val="21"/>
                <w:lang w:bidi="ar"/>
              </w:rPr>
            </w:pPr>
            <w:r>
              <w:rPr>
                <w:color w:val="auto"/>
                <w:sz w:val="21"/>
                <w:szCs w:val="21"/>
                <w:lang w:bidi="ar"/>
              </w:rPr>
              <w:t>70</w:t>
            </w:r>
          </w:p>
        </w:tc>
        <w:tc>
          <w:tcPr>
            <w:tcW w:w="1510" w:type="dxa"/>
            <w:tcBorders>
              <w:tl2br w:val="nil"/>
              <w:tr2bl w:val="nil"/>
            </w:tcBorders>
            <w:shd w:val="clear" w:color="auto" w:fill="auto"/>
            <w:vAlign w:val="center"/>
          </w:tcPr>
          <w:p w14:paraId="2131E1A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0.21 </w:t>
            </w:r>
          </w:p>
        </w:tc>
        <w:tc>
          <w:tcPr>
            <w:tcW w:w="1678" w:type="dxa"/>
            <w:tcBorders>
              <w:tl2br w:val="nil"/>
              <w:tr2bl w:val="nil"/>
            </w:tcBorders>
            <w:shd w:val="clear" w:color="auto" w:fill="auto"/>
            <w:vAlign w:val="center"/>
          </w:tcPr>
          <w:p w14:paraId="44FA4DD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0.17 </w:t>
            </w:r>
          </w:p>
        </w:tc>
      </w:tr>
      <w:tr w14:paraId="3E2DAC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3A8EEEA9">
            <w:pPr>
              <w:widowControl/>
              <w:spacing w:line="240" w:lineRule="auto"/>
              <w:ind w:firstLine="0" w:firstLineChars="0"/>
              <w:jc w:val="center"/>
              <w:textAlignment w:val="center"/>
              <w:rPr>
                <w:color w:val="auto"/>
                <w:sz w:val="21"/>
                <w:szCs w:val="21"/>
                <w:lang w:bidi="ar"/>
              </w:rPr>
            </w:pPr>
            <w:r>
              <w:rPr>
                <w:color w:val="auto"/>
                <w:sz w:val="21"/>
                <w:szCs w:val="21"/>
                <w:lang w:bidi="ar"/>
              </w:rPr>
              <w:t>3</w:t>
            </w:r>
          </w:p>
        </w:tc>
        <w:tc>
          <w:tcPr>
            <w:tcW w:w="999" w:type="pct"/>
            <w:tcBorders>
              <w:tl2br w:val="nil"/>
              <w:tr2bl w:val="nil"/>
            </w:tcBorders>
            <w:shd w:val="clear" w:color="auto" w:fill="auto"/>
            <w:vAlign w:val="center"/>
          </w:tcPr>
          <w:p w14:paraId="04B7FB18">
            <w:pPr>
              <w:widowControl/>
              <w:spacing w:line="240" w:lineRule="auto"/>
              <w:ind w:firstLine="0" w:firstLineChars="0"/>
              <w:jc w:val="center"/>
              <w:textAlignment w:val="center"/>
              <w:rPr>
                <w:color w:val="auto"/>
                <w:sz w:val="21"/>
                <w:szCs w:val="21"/>
                <w:lang w:bidi="ar"/>
              </w:rPr>
            </w:pPr>
            <w:r>
              <w:rPr>
                <w:color w:val="auto"/>
                <w:sz w:val="21"/>
                <w:szCs w:val="21"/>
                <w:lang w:bidi="ar"/>
              </w:rPr>
              <w:t>商业服务业设施用地</w:t>
            </w:r>
          </w:p>
        </w:tc>
        <w:tc>
          <w:tcPr>
            <w:tcW w:w="1649" w:type="dxa"/>
            <w:tcBorders>
              <w:tl2br w:val="nil"/>
              <w:tr2bl w:val="nil"/>
            </w:tcBorders>
            <w:shd w:val="clear" w:color="auto" w:fill="auto"/>
            <w:vAlign w:val="center"/>
          </w:tcPr>
          <w:p w14:paraId="72D594B1">
            <w:pPr>
              <w:widowControl/>
              <w:spacing w:line="240" w:lineRule="auto"/>
              <w:ind w:firstLine="0" w:firstLineChars="0"/>
              <w:jc w:val="center"/>
              <w:textAlignment w:val="center"/>
              <w:rPr>
                <w:color w:val="auto"/>
                <w:sz w:val="21"/>
                <w:szCs w:val="21"/>
                <w:lang w:bidi="ar"/>
              </w:rPr>
            </w:pPr>
            <w:r>
              <w:rPr>
                <w:color w:val="auto"/>
                <w:sz w:val="21"/>
                <w:szCs w:val="21"/>
                <w:lang w:bidi="ar"/>
              </w:rPr>
              <w:t>39.94</w:t>
            </w:r>
          </w:p>
        </w:tc>
        <w:tc>
          <w:tcPr>
            <w:tcW w:w="1571" w:type="dxa"/>
            <w:tcBorders>
              <w:tl2br w:val="nil"/>
              <w:tr2bl w:val="nil"/>
            </w:tcBorders>
            <w:shd w:val="clear" w:color="auto" w:fill="auto"/>
            <w:vAlign w:val="center"/>
          </w:tcPr>
          <w:p w14:paraId="05C00B8C">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1510" w:type="dxa"/>
            <w:tcBorders>
              <w:tl2br w:val="nil"/>
              <w:tr2bl w:val="nil"/>
            </w:tcBorders>
            <w:shd w:val="clear" w:color="auto" w:fill="auto"/>
            <w:vAlign w:val="center"/>
          </w:tcPr>
          <w:p w14:paraId="10BB363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0.20 </w:t>
            </w:r>
          </w:p>
        </w:tc>
        <w:tc>
          <w:tcPr>
            <w:tcW w:w="1678" w:type="dxa"/>
            <w:tcBorders>
              <w:tl2br w:val="nil"/>
              <w:tr2bl w:val="nil"/>
            </w:tcBorders>
            <w:shd w:val="clear" w:color="auto" w:fill="auto"/>
            <w:vAlign w:val="center"/>
          </w:tcPr>
          <w:p w14:paraId="62592A3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0.17 </w:t>
            </w:r>
          </w:p>
        </w:tc>
      </w:tr>
      <w:tr w14:paraId="5F7D5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09642B84">
            <w:pPr>
              <w:widowControl/>
              <w:spacing w:line="240" w:lineRule="auto"/>
              <w:ind w:firstLine="0" w:firstLineChars="0"/>
              <w:jc w:val="center"/>
              <w:textAlignment w:val="center"/>
              <w:rPr>
                <w:color w:val="auto"/>
                <w:sz w:val="21"/>
                <w:szCs w:val="21"/>
                <w:lang w:bidi="ar"/>
              </w:rPr>
            </w:pPr>
            <w:r>
              <w:rPr>
                <w:color w:val="auto"/>
                <w:sz w:val="21"/>
                <w:szCs w:val="21"/>
                <w:lang w:bidi="ar"/>
              </w:rPr>
              <w:t>4</w:t>
            </w:r>
          </w:p>
        </w:tc>
        <w:tc>
          <w:tcPr>
            <w:tcW w:w="999" w:type="pct"/>
            <w:tcBorders>
              <w:tl2br w:val="nil"/>
              <w:tr2bl w:val="nil"/>
            </w:tcBorders>
            <w:shd w:val="clear" w:color="auto" w:fill="auto"/>
            <w:vAlign w:val="center"/>
          </w:tcPr>
          <w:p w14:paraId="6CCCD7C1">
            <w:pPr>
              <w:widowControl/>
              <w:spacing w:line="240" w:lineRule="auto"/>
              <w:ind w:firstLine="0" w:firstLineChars="0"/>
              <w:jc w:val="center"/>
              <w:textAlignment w:val="center"/>
              <w:rPr>
                <w:color w:val="auto"/>
                <w:sz w:val="21"/>
                <w:szCs w:val="21"/>
                <w:lang w:bidi="ar"/>
              </w:rPr>
            </w:pPr>
            <w:r>
              <w:rPr>
                <w:color w:val="auto"/>
                <w:sz w:val="21"/>
                <w:szCs w:val="21"/>
                <w:lang w:bidi="ar"/>
              </w:rPr>
              <w:t>工业用地</w:t>
            </w:r>
          </w:p>
        </w:tc>
        <w:tc>
          <w:tcPr>
            <w:tcW w:w="1649" w:type="dxa"/>
            <w:tcBorders>
              <w:tl2br w:val="nil"/>
              <w:tr2bl w:val="nil"/>
            </w:tcBorders>
            <w:shd w:val="clear" w:color="auto" w:fill="auto"/>
            <w:vAlign w:val="center"/>
          </w:tcPr>
          <w:p w14:paraId="4E23F100">
            <w:pPr>
              <w:widowControl/>
              <w:spacing w:line="240" w:lineRule="auto"/>
              <w:ind w:firstLine="0" w:firstLineChars="0"/>
              <w:jc w:val="center"/>
              <w:textAlignment w:val="center"/>
              <w:rPr>
                <w:color w:val="auto"/>
                <w:sz w:val="21"/>
                <w:szCs w:val="21"/>
                <w:lang w:bidi="ar"/>
              </w:rPr>
            </w:pPr>
            <w:r>
              <w:rPr>
                <w:color w:val="auto"/>
                <w:sz w:val="21"/>
                <w:szCs w:val="21"/>
                <w:lang w:bidi="ar"/>
              </w:rPr>
              <w:t>355.31</w:t>
            </w:r>
          </w:p>
        </w:tc>
        <w:tc>
          <w:tcPr>
            <w:tcW w:w="1571" w:type="dxa"/>
            <w:tcBorders>
              <w:tl2br w:val="nil"/>
              <w:tr2bl w:val="nil"/>
            </w:tcBorders>
            <w:shd w:val="clear" w:color="auto" w:fill="auto"/>
            <w:vAlign w:val="center"/>
          </w:tcPr>
          <w:p w14:paraId="02AD1326">
            <w:pPr>
              <w:widowControl/>
              <w:spacing w:line="240" w:lineRule="auto"/>
              <w:ind w:firstLine="0" w:firstLineChars="0"/>
              <w:jc w:val="center"/>
              <w:textAlignment w:val="center"/>
              <w:rPr>
                <w:color w:val="auto"/>
                <w:sz w:val="21"/>
                <w:szCs w:val="21"/>
                <w:lang w:bidi="ar"/>
              </w:rPr>
            </w:pPr>
            <w:r>
              <w:rPr>
                <w:color w:val="auto"/>
                <w:sz w:val="21"/>
                <w:szCs w:val="21"/>
                <w:lang w:bidi="ar"/>
              </w:rPr>
              <w:t>90</w:t>
            </w:r>
          </w:p>
        </w:tc>
        <w:tc>
          <w:tcPr>
            <w:tcW w:w="1510" w:type="dxa"/>
            <w:tcBorders>
              <w:tl2br w:val="nil"/>
              <w:tr2bl w:val="nil"/>
            </w:tcBorders>
            <w:shd w:val="clear" w:color="auto" w:fill="auto"/>
            <w:vAlign w:val="center"/>
          </w:tcPr>
          <w:p w14:paraId="1510F60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3.20 </w:t>
            </w:r>
          </w:p>
        </w:tc>
        <w:tc>
          <w:tcPr>
            <w:tcW w:w="1678" w:type="dxa"/>
            <w:tcBorders>
              <w:tl2br w:val="nil"/>
              <w:tr2bl w:val="nil"/>
            </w:tcBorders>
            <w:shd w:val="clear" w:color="auto" w:fill="auto"/>
            <w:vAlign w:val="center"/>
          </w:tcPr>
          <w:p w14:paraId="6D88B83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2.66 </w:t>
            </w:r>
          </w:p>
        </w:tc>
      </w:tr>
      <w:tr w14:paraId="0A54C7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68826047">
            <w:pPr>
              <w:widowControl/>
              <w:spacing w:line="240" w:lineRule="auto"/>
              <w:ind w:firstLine="0" w:firstLineChars="0"/>
              <w:jc w:val="center"/>
              <w:textAlignment w:val="center"/>
              <w:rPr>
                <w:color w:val="auto"/>
                <w:sz w:val="21"/>
                <w:szCs w:val="21"/>
                <w:lang w:bidi="ar"/>
              </w:rPr>
            </w:pPr>
            <w:r>
              <w:rPr>
                <w:color w:val="auto"/>
                <w:sz w:val="21"/>
                <w:szCs w:val="21"/>
                <w:lang w:bidi="ar"/>
              </w:rPr>
              <w:t>5</w:t>
            </w:r>
          </w:p>
        </w:tc>
        <w:tc>
          <w:tcPr>
            <w:tcW w:w="999" w:type="pct"/>
            <w:tcBorders>
              <w:tl2br w:val="nil"/>
              <w:tr2bl w:val="nil"/>
            </w:tcBorders>
            <w:shd w:val="clear" w:color="auto" w:fill="auto"/>
            <w:vAlign w:val="center"/>
          </w:tcPr>
          <w:p w14:paraId="26ACDC73">
            <w:pPr>
              <w:widowControl/>
              <w:spacing w:line="240" w:lineRule="auto"/>
              <w:ind w:firstLine="0" w:firstLineChars="0"/>
              <w:jc w:val="center"/>
              <w:textAlignment w:val="center"/>
              <w:rPr>
                <w:color w:val="auto"/>
                <w:sz w:val="21"/>
                <w:szCs w:val="21"/>
                <w:lang w:bidi="ar"/>
              </w:rPr>
            </w:pPr>
            <w:r>
              <w:rPr>
                <w:color w:val="auto"/>
                <w:sz w:val="21"/>
                <w:szCs w:val="21"/>
                <w:lang w:bidi="ar"/>
              </w:rPr>
              <w:t>物流仓储用地</w:t>
            </w:r>
          </w:p>
        </w:tc>
        <w:tc>
          <w:tcPr>
            <w:tcW w:w="1649" w:type="dxa"/>
            <w:tcBorders>
              <w:tl2br w:val="nil"/>
              <w:tr2bl w:val="nil"/>
            </w:tcBorders>
            <w:shd w:val="clear" w:color="auto" w:fill="auto"/>
            <w:vAlign w:val="center"/>
          </w:tcPr>
          <w:p w14:paraId="44097333">
            <w:pPr>
              <w:widowControl/>
              <w:spacing w:line="240" w:lineRule="auto"/>
              <w:ind w:firstLine="0" w:firstLineChars="0"/>
              <w:jc w:val="center"/>
              <w:textAlignment w:val="center"/>
              <w:rPr>
                <w:color w:val="auto"/>
                <w:sz w:val="21"/>
                <w:szCs w:val="21"/>
                <w:lang w:bidi="ar"/>
              </w:rPr>
            </w:pPr>
            <w:r>
              <w:rPr>
                <w:color w:val="auto"/>
                <w:sz w:val="21"/>
                <w:szCs w:val="21"/>
                <w:lang w:bidi="ar"/>
              </w:rPr>
              <w:t>2.34</w:t>
            </w:r>
          </w:p>
        </w:tc>
        <w:tc>
          <w:tcPr>
            <w:tcW w:w="1571" w:type="dxa"/>
            <w:tcBorders>
              <w:tl2br w:val="nil"/>
              <w:tr2bl w:val="nil"/>
            </w:tcBorders>
            <w:shd w:val="clear" w:color="auto" w:fill="auto"/>
            <w:vAlign w:val="center"/>
          </w:tcPr>
          <w:p w14:paraId="6DE72F1B">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1510" w:type="dxa"/>
            <w:tcBorders>
              <w:tl2br w:val="nil"/>
              <w:tr2bl w:val="nil"/>
            </w:tcBorders>
            <w:shd w:val="clear" w:color="auto" w:fill="auto"/>
            <w:vAlign w:val="center"/>
          </w:tcPr>
          <w:p w14:paraId="5A091EE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0.0082 </w:t>
            </w:r>
          </w:p>
        </w:tc>
        <w:tc>
          <w:tcPr>
            <w:tcW w:w="1678" w:type="dxa"/>
            <w:tcBorders>
              <w:tl2br w:val="nil"/>
              <w:tr2bl w:val="nil"/>
            </w:tcBorders>
            <w:shd w:val="clear" w:color="auto" w:fill="auto"/>
            <w:vAlign w:val="center"/>
          </w:tcPr>
          <w:p w14:paraId="67DE8D6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0.0068 </w:t>
            </w:r>
          </w:p>
        </w:tc>
      </w:tr>
      <w:tr w14:paraId="62477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134E6BC1">
            <w:pPr>
              <w:widowControl/>
              <w:spacing w:line="240" w:lineRule="auto"/>
              <w:ind w:firstLine="0" w:firstLineChars="0"/>
              <w:jc w:val="center"/>
              <w:textAlignment w:val="center"/>
              <w:rPr>
                <w:color w:val="auto"/>
                <w:sz w:val="21"/>
                <w:szCs w:val="21"/>
                <w:lang w:bidi="ar"/>
              </w:rPr>
            </w:pPr>
            <w:r>
              <w:rPr>
                <w:color w:val="auto"/>
                <w:sz w:val="21"/>
                <w:szCs w:val="21"/>
                <w:lang w:bidi="ar"/>
              </w:rPr>
              <w:t>6</w:t>
            </w:r>
          </w:p>
        </w:tc>
        <w:tc>
          <w:tcPr>
            <w:tcW w:w="999" w:type="pct"/>
            <w:tcBorders>
              <w:tl2br w:val="nil"/>
              <w:tr2bl w:val="nil"/>
            </w:tcBorders>
            <w:shd w:val="clear" w:color="auto" w:fill="auto"/>
            <w:vAlign w:val="center"/>
          </w:tcPr>
          <w:p w14:paraId="71D25D93">
            <w:pPr>
              <w:widowControl/>
              <w:spacing w:line="240" w:lineRule="auto"/>
              <w:ind w:firstLine="0" w:firstLineChars="0"/>
              <w:jc w:val="center"/>
              <w:textAlignment w:val="center"/>
              <w:rPr>
                <w:color w:val="auto"/>
                <w:sz w:val="21"/>
                <w:szCs w:val="21"/>
                <w:lang w:bidi="ar"/>
              </w:rPr>
            </w:pPr>
            <w:r>
              <w:rPr>
                <w:color w:val="auto"/>
                <w:sz w:val="21"/>
                <w:szCs w:val="21"/>
                <w:lang w:bidi="ar"/>
              </w:rPr>
              <w:t>道路与交通设施用地</w:t>
            </w:r>
          </w:p>
        </w:tc>
        <w:tc>
          <w:tcPr>
            <w:tcW w:w="1649" w:type="dxa"/>
            <w:tcBorders>
              <w:tl2br w:val="nil"/>
              <w:tr2bl w:val="nil"/>
            </w:tcBorders>
            <w:shd w:val="clear" w:color="auto" w:fill="auto"/>
            <w:vAlign w:val="center"/>
          </w:tcPr>
          <w:p w14:paraId="10929A20">
            <w:pPr>
              <w:widowControl/>
              <w:spacing w:line="240" w:lineRule="auto"/>
              <w:ind w:firstLine="0" w:firstLineChars="0"/>
              <w:jc w:val="center"/>
              <w:textAlignment w:val="center"/>
              <w:rPr>
                <w:color w:val="auto"/>
                <w:sz w:val="21"/>
                <w:szCs w:val="21"/>
                <w:lang w:bidi="ar"/>
              </w:rPr>
            </w:pPr>
            <w:r>
              <w:rPr>
                <w:color w:val="auto"/>
                <w:sz w:val="21"/>
                <w:szCs w:val="21"/>
                <w:lang w:bidi="ar"/>
              </w:rPr>
              <w:t>243.61</w:t>
            </w:r>
          </w:p>
        </w:tc>
        <w:tc>
          <w:tcPr>
            <w:tcW w:w="1571" w:type="dxa"/>
            <w:tcBorders>
              <w:tl2br w:val="nil"/>
              <w:tr2bl w:val="nil"/>
            </w:tcBorders>
            <w:shd w:val="clear" w:color="auto" w:fill="auto"/>
            <w:vAlign w:val="center"/>
          </w:tcPr>
          <w:p w14:paraId="122E2C79">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1510" w:type="dxa"/>
            <w:tcBorders>
              <w:tl2br w:val="nil"/>
              <w:tr2bl w:val="nil"/>
            </w:tcBorders>
            <w:shd w:val="clear" w:color="auto" w:fill="auto"/>
            <w:vAlign w:val="center"/>
          </w:tcPr>
          <w:p w14:paraId="62E44C8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1.22 </w:t>
            </w:r>
          </w:p>
        </w:tc>
        <w:tc>
          <w:tcPr>
            <w:tcW w:w="1678" w:type="dxa"/>
            <w:tcBorders>
              <w:tl2br w:val="nil"/>
              <w:tr2bl w:val="nil"/>
            </w:tcBorders>
            <w:shd w:val="clear" w:color="auto" w:fill="auto"/>
            <w:vAlign w:val="center"/>
          </w:tcPr>
          <w:p w14:paraId="0700012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1.02 </w:t>
            </w:r>
          </w:p>
        </w:tc>
      </w:tr>
      <w:tr w14:paraId="45ED6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2EE22A26">
            <w:pPr>
              <w:widowControl/>
              <w:spacing w:line="240" w:lineRule="auto"/>
              <w:ind w:firstLine="0" w:firstLineChars="0"/>
              <w:jc w:val="center"/>
              <w:textAlignment w:val="center"/>
              <w:rPr>
                <w:color w:val="auto"/>
                <w:sz w:val="21"/>
                <w:szCs w:val="21"/>
                <w:lang w:bidi="ar"/>
              </w:rPr>
            </w:pPr>
            <w:r>
              <w:rPr>
                <w:color w:val="auto"/>
                <w:sz w:val="21"/>
                <w:szCs w:val="21"/>
                <w:lang w:bidi="ar"/>
              </w:rPr>
              <w:t>7</w:t>
            </w:r>
          </w:p>
        </w:tc>
        <w:tc>
          <w:tcPr>
            <w:tcW w:w="999" w:type="pct"/>
            <w:tcBorders>
              <w:tl2br w:val="nil"/>
              <w:tr2bl w:val="nil"/>
            </w:tcBorders>
            <w:shd w:val="clear" w:color="auto" w:fill="auto"/>
            <w:vAlign w:val="center"/>
          </w:tcPr>
          <w:p w14:paraId="2B94A2F5">
            <w:pPr>
              <w:widowControl/>
              <w:spacing w:line="240" w:lineRule="auto"/>
              <w:ind w:firstLine="0" w:firstLineChars="0"/>
              <w:jc w:val="center"/>
              <w:textAlignment w:val="center"/>
              <w:rPr>
                <w:color w:val="auto"/>
                <w:sz w:val="21"/>
                <w:szCs w:val="21"/>
                <w:lang w:bidi="ar"/>
              </w:rPr>
            </w:pPr>
            <w:r>
              <w:rPr>
                <w:color w:val="auto"/>
                <w:sz w:val="21"/>
                <w:szCs w:val="21"/>
                <w:lang w:bidi="ar"/>
              </w:rPr>
              <w:t>公用设施用地</w:t>
            </w:r>
          </w:p>
        </w:tc>
        <w:tc>
          <w:tcPr>
            <w:tcW w:w="1649" w:type="dxa"/>
            <w:tcBorders>
              <w:tl2br w:val="nil"/>
              <w:tr2bl w:val="nil"/>
            </w:tcBorders>
            <w:shd w:val="clear" w:color="auto" w:fill="auto"/>
            <w:vAlign w:val="center"/>
          </w:tcPr>
          <w:p w14:paraId="31394EA6">
            <w:pPr>
              <w:widowControl/>
              <w:spacing w:line="240" w:lineRule="auto"/>
              <w:ind w:firstLine="0" w:firstLineChars="0"/>
              <w:jc w:val="center"/>
              <w:textAlignment w:val="center"/>
              <w:rPr>
                <w:color w:val="auto"/>
                <w:sz w:val="21"/>
                <w:szCs w:val="21"/>
                <w:lang w:bidi="ar"/>
              </w:rPr>
            </w:pPr>
            <w:r>
              <w:rPr>
                <w:color w:val="auto"/>
                <w:sz w:val="21"/>
                <w:szCs w:val="21"/>
                <w:lang w:bidi="ar"/>
              </w:rPr>
              <w:t>10.55</w:t>
            </w:r>
          </w:p>
        </w:tc>
        <w:tc>
          <w:tcPr>
            <w:tcW w:w="1571" w:type="dxa"/>
            <w:tcBorders>
              <w:tl2br w:val="nil"/>
              <w:tr2bl w:val="nil"/>
            </w:tcBorders>
            <w:shd w:val="clear" w:color="auto" w:fill="auto"/>
            <w:vAlign w:val="center"/>
          </w:tcPr>
          <w:p w14:paraId="5771228F">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1510" w:type="dxa"/>
            <w:tcBorders>
              <w:tl2br w:val="nil"/>
              <w:tr2bl w:val="nil"/>
            </w:tcBorders>
            <w:shd w:val="clear" w:color="auto" w:fill="auto"/>
            <w:vAlign w:val="center"/>
          </w:tcPr>
          <w:p w14:paraId="41A0E32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0.04 </w:t>
            </w:r>
          </w:p>
        </w:tc>
        <w:tc>
          <w:tcPr>
            <w:tcW w:w="1678" w:type="dxa"/>
            <w:tcBorders>
              <w:tl2br w:val="nil"/>
              <w:tr2bl w:val="nil"/>
            </w:tcBorders>
            <w:shd w:val="clear" w:color="auto" w:fill="auto"/>
            <w:vAlign w:val="center"/>
          </w:tcPr>
          <w:p w14:paraId="4F32659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0.03 </w:t>
            </w:r>
          </w:p>
        </w:tc>
      </w:tr>
      <w:tr w14:paraId="110C0B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137402F9">
            <w:pPr>
              <w:widowControl/>
              <w:spacing w:line="240" w:lineRule="auto"/>
              <w:ind w:firstLine="0" w:firstLineChars="0"/>
              <w:jc w:val="center"/>
              <w:textAlignment w:val="center"/>
              <w:rPr>
                <w:color w:val="auto"/>
                <w:sz w:val="21"/>
                <w:szCs w:val="21"/>
                <w:lang w:bidi="ar"/>
              </w:rPr>
            </w:pPr>
            <w:r>
              <w:rPr>
                <w:color w:val="auto"/>
                <w:sz w:val="21"/>
                <w:szCs w:val="21"/>
                <w:lang w:bidi="ar"/>
              </w:rPr>
              <w:t>8</w:t>
            </w:r>
          </w:p>
        </w:tc>
        <w:tc>
          <w:tcPr>
            <w:tcW w:w="999" w:type="pct"/>
            <w:tcBorders>
              <w:tl2br w:val="nil"/>
              <w:tr2bl w:val="nil"/>
            </w:tcBorders>
            <w:shd w:val="clear" w:color="auto" w:fill="auto"/>
            <w:vAlign w:val="center"/>
          </w:tcPr>
          <w:p w14:paraId="51A972A7">
            <w:pPr>
              <w:widowControl/>
              <w:spacing w:line="240" w:lineRule="auto"/>
              <w:ind w:firstLine="0" w:firstLineChars="0"/>
              <w:jc w:val="center"/>
              <w:textAlignment w:val="center"/>
              <w:rPr>
                <w:color w:val="auto"/>
                <w:sz w:val="21"/>
                <w:szCs w:val="21"/>
                <w:lang w:bidi="ar"/>
              </w:rPr>
            </w:pPr>
            <w:r>
              <w:rPr>
                <w:color w:val="auto"/>
                <w:sz w:val="21"/>
                <w:szCs w:val="21"/>
                <w:lang w:bidi="ar"/>
              </w:rPr>
              <w:t>绿地</w:t>
            </w:r>
          </w:p>
        </w:tc>
        <w:tc>
          <w:tcPr>
            <w:tcW w:w="1649" w:type="dxa"/>
            <w:tcBorders>
              <w:tl2br w:val="nil"/>
              <w:tr2bl w:val="nil"/>
            </w:tcBorders>
            <w:shd w:val="clear" w:color="auto" w:fill="auto"/>
            <w:vAlign w:val="center"/>
          </w:tcPr>
          <w:p w14:paraId="74B7C790">
            <w:pPr>
              <w:widowControl/>
              <w:spacing w:line="240" w:lineRule="auto"/>
              <w:ind w:firstLine="0" w:firstLineChars="0"/>
              <w:jc w:val="center"/>
              <w:textAlignment w:val="center"/>
              <w:rPr>
                <w:color w:val="auto"/>
                <w:sz w:val="21"/>
                <w:szCs w:val="21"/>
                <w:lang w:bidi="ar"/>
              </w:rPr>
            </w:pPr>
            <w:r>
              <w:rPr>
                <w:color w:val="auto"/>
                <w:sz w:val="21"/>
                <w:szCs w:val="21"/>
                <w:lang w:bidi="ar"/>
              </w:rPr>
              <w:t>120.32</w:t>
            </w:r>
          </w:p>
        </w:tc>
        <w:tc>
          <w:tcPr>
            <w:tcW w:w="1571" w:type="dxa"/>
            <w:tcBorders>
              <w:tl2br w:val="nil"/>
              <w:tr2bl w:val="nil"/>
            </w:tcBorders>
            <w:shd w:val="clear" w:color="auto" w:fill="auto"/>
            <w:vAlign w:val="center"/>
          </w:tcPr>
          <w:p w14:paraId="48000A4C">
            <w:pPr>
              <w:widowControl/>
              <w:spacing w:line="240" w:lineRule="auto"/>
              <w:ind w:firstLine="0" w:firstLineChars="0"/>
              <w:jc w:val="center"/>
              <w:textAlignment w:val="center"/>
              <w:rPr>
                <w:color w:val="auto"/>
                <w:sz w:val="21"/>
                <w:szCs w:val="21"/>
                <w:lang w:bidi="ar"/>
              </w:rPr>
            </w:pPr>
            <w:r>
              <w:rPr>
                <w:color w:val="auto"/>
                <w:sz w:val="21"/>
                <w:szCs w:val="21"/>
                <w:lang w:bidi="ar"/>
              </w:rPr>
              <w:t>20</w:t>
            </w:r>
          </w:p>
        </w:tc>
        <w:tc>
          <w:tcPr>
            <w:tcW w:w="1510" w:type="dxa"/>
            <w:tcBorders>
              <w:tl2br w:val="nil"/>
              <w:tr2bl w:val="nil"/>
            </w:tcBorders>
            <w:shd w:val="clear" w:color="auto" w:fill="auto"/>
            <w:vAlign w:val="center"/>
          </w:tcPr>
          <w:p w14:paraId="072A70A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0.24 </w:t>
            </w:r>
          </w:p>
        </w:tc>
        <w:tc>
          <w:tcPr>
            <w:tcW w:w="1678" w:type="dxa"/>
            <w:tcBorders>
              <w:tl2br w:val="nil"/>
              <w:tr2bl w:val="nil"/>
            </w:tcBorders>
            <w:shd w:val="clear" w:color="auto" w:fill="auto"/>
            <w:vAlign w:val="center"/>
          </w:tcPr>
          <w:p w14:paraId="091E09F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0.20 </w:t>
            </w:r>
          </w:p>
        </w:tc>
      </w:tr>
      <w:tr w14:paraId="64449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CD56848">
            <w:pPr>
              <w:widowControl/>
              <w:spacing w:line="240" w:lineRule="auto"/>
              <w:ind w:firstLine="0" w:firstLineChars="0"/>
              <w:jc w:val="center"/>
              <w:textAlignment w:val="center"/>
              <w:rPr>
                <w:color w:val="auto"/>
                <w:sz w:val="21"/>
                <w:szCs w:val="21"/>
                <w:lang w:bidi="ar"/>
              </w:rPr>
            </w:pPr>
            <w:r>
              <w:rPr>
                <w:color w:val="auto"/>
                <w:sz w:val="21"/>
                <w:szCs w:val="21"/>
                <w:lang w:bidi="ar"/>
              </w:rPr>
              <w:t>9</w:t>
            </w:r>
          </w:p>
        </w:tc>
        <w:tc>
          <w:tcPr>
            <w:tcW w:w="999" w:type="pct"/>
            <w:tcBorders>
              <w:tl2br w:val="nil"/>
              <w:tr2bl w:val="nil"/>
            </w:tcBorders>
            <w:shd w:val="clear" w:color="auto" w:fill="auto"/>
            <w:vAlign w:val="center"/>
          </w:tcPr>
          <w:p w14:paraId="3DB6368E">
            <w:pPr>
              <w:widowControl/>
              <w:spacing w:line="240" w:lineRule="auto"/>
              <w:ind w:firstLine="0" w:firstLineChars="0"/>
              <w:jc w:val="center"/>
              <w:textAlignment w:val="center"/>
              <w:rPr>
                <w:color w:val="auto"/>
                <w:sz w:val="21"/>
                <w:szCs w:val="21"/>
                <w:lang w:bidi="ar"/>
              </w:rPr>
            </w:pPr>
            <w:r>
              <w:rPr>
                <w:color w:val="auto"/>
                <w:sz w:val="21"/>
                <w:szCs w:val="21"/>
                <w:lang w:bidi="ar"/>
              </w:rPr>
              <w:t>总计</w:t>
            </w:r>
          </w:p>
        </w:tc>
        <w:tc>
          <w:tcPr>
            <w:tcW w:w="1649" w:type="dxa"/>
            <w:tcBorders>
              <w:tl2br w:val="nil"/>
              <w:tr2bl w:val="nil"/>
            </w:tcBorders>
            <w:shd w:val="clear" w:color="auto" w:fill="auto"/>
            <w:vAlign w:val="center"/>
          </w:tcPr>
          <w:p w14:paraId="73D984B1">
            <w:pPr>
              <w:widowControl/>
              <w:spacing w:line="240" w:lineRule="auto"/>
              <w:ind w:firstLine="0" w:firstLineChars="0"/>
              <w:jc w:val="center"/>
              <w:textAlignment w:val="center"/>
              <w:rPr>
                <w:color w:val="auto"/>
                <w:sz w:val="21"/>
                <w:szCs w:val="21"/>
                <w:lang w:bidi="ar"/>
              </w:rPr>
            </w:pPr>
          </w:p>
        </w:tc>
        <w:tc>
          <w:tcPr>
            <w:tcW w:w="1571" w:type="dxa"/>
            <w:tcBorders>
              <w:tl2br w:val="nil"/>
              <w:tr2bl w:val="nil"/>
            </w:tcBorders>
            <w:shd w:val="clear" w:color="auto" w:fill="auto"/>
            <w:vAlign w:val="center"/>
          </w:tcPr>
          <w:p w14:paraId="42B36EF8">
            <w:pPr>
              <w:widowControl/>
              <w:spacing w:line="240" w:lineRule="auto"/>
              <w:ind w:firstLine="0" w:firstLineChars="0"/>
              <w:jc w:val="center"/>
              <w:textAlignment w:val="center"/>
              <w:rPr>
                <w:color w:val="auto"/>
                <w:sz w:val="21"/>
                <w:szCs w:val="21"/>
                <w:lang w:bidi="ar"/>
              </w:rPr>
            </w:pPr>
          </w:p>
        </w:tc>
        <w:tc>
          <w:tcPr>
            <w:tcW w:w="1510" w:type="dxa"/>
            <w:tcBorders>
              <w:tl2br w:val="nil"/>
              <w:tr2bl w:val="nil"/>
            </w:tcBorders>
            <w:shd w:val="clear" w:color="auto" w:fill="auto"/>
            <w:vAlign w:val="center"/>
          </w:tcPr>
          <w:p w14:paraId="217A5EC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5.56 </w:t>
            </w:r>
          </w:p>
        </w:tc>
        <w:tc>
          <w:tcPr>
            <w:tcW w:w="1678" w:type="dxa"/>
            <w:tcBorders>
              <w:tl2br w:val="nil"/>
              <w:tr2bl w:val="nil"/>
            </w:tcBorders>
            <w:shd w:val="clear" w:color="auto" w:fill="auto"/>
            <w:vAlign w:val="center"/>
          </w:tcPr>
          <w:p w14:paraId="556EBE7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4.63 </w:t>
            </w:r>
          </w:p>
        </w:tc>
      </w:tr>
    </w:tbl>
    <w:p w14:paraId="04D0413D">
      <w:pPr>
        <w:ind w:firstLine="0" w:firstLineChars="0"/>
        <w:jc w:val="left"/>
        <w:rPr>
          <w:b/>
          <w:color w:val="auto"/>
        </w:rPr>
      </w:pPr>
      <w:r>
        <w:rPr>
          <w:b/>
          <w:color w:val="auto"/>
        </w:rPr>
        <w:t>表4.3-8        C区规划水平年 2025 年需水量预测表（用地指标法）</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87"/>
        <w:gridCol w:w="1822"/>
        <w:gridCol w:w="1649"/>
        <w:gridCol w:w="1571"/>
        <w:gridCol w:w="1510"/>
        <w:gridCol w:w="1678"/>
      </w:tblGrid>
      <w:tr w14:paraId="30FE94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0CF5607C">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999" w:type="pct"/>
            <w:tcBorders>
              <w:tl2br w:val="nil"/>
              <w:tr2bl w:val="nil"/>
            </w:tcBorders>
            <w:shd w:val="clear" w:color="auto" w:fill="auto"/>
            <w:vAlign w:val="center"/>
          </w:tcPr>
          <w:p w14:paraId="0D49F010">
            <w:pPr>
              <w:widowControl/>
              <w:spacing w:line="240" w:lineRule="auto"/>
              <w:ind w:firstLine="0" w:firstLineChars="0"/>
              <w:jc w:val="center"/>
              <w:textAlignment w:val="center"/>
              <w:rPr>
                <w:color w:val="auto"/>
                <w:sz w:val="21"/>
                <w:szCs w:val="21"/>
                <w:lang w:bidi="ar"/>
              </w:rPr>
            </w:pPr>
            <w:r>
              <w:rPr>
                <w:color w:val="auto"/>
                <w:sz w:val="21"/>
                <w:szCs w:val="21"/>
                <w:lang w:bidi="ar"/>
              </w:rPr>
              <w:t>用地性质</w:t>
            </w:r>
          </w:p>
        </w:tc>
        <w:tc>
          <w:tcPr>
            <w:tcW w:w="904" w:type="pct"/>
            <w:tcBorders>
              <w:tl2br w:val="nil"/>
              <w:tr2bl w:val="nil"/>
            </w:tcBorders>
            <w:shd w:val="clear" w:color="auto" w:fill="auto"/>
            <w:vAlign w:val="center"/>
          </w:tcPr>
          <w:p w14:paraId="260D3244">
            <w:pPr>
              <w:widowControl/>
              <w:spacing w:line="240" w:lineRule="auto"/>
              <w:ind w:firstLine="0" w:firstLineChars="0"/>
              <w:jc w:val="center"/>
              <w:textAlignment w:val="center"/>
              <w:rPr>
                <w:color w:val="auto"/>
                <w:sz w:val="21"/>
                <w:szCs w:val="21"/>
                <w:lang w:bidi="ar"/>
              </w:rPr>
            </w:pPr>
            <w:r>
              <w:rPr>
                <w:color w:val="auto"/>
                <w:sz w:val="21"/>
                <w:szCs w:val="21"/>
                <w:lang w:bidi="ar"/>
              </w:rPr>
              <w:t>面积</w:t>
            </w:r>
          </w:p>
          <w:p w14:paraId="4FED5D3A">
            <w:pPr>
              <w:widowControl/>
              <w:spacing w:line="240" w:lineRule="auto"/>
              <w:ind w:firstLine="0" w:firstLineChars="0"/>
              <w:jc w:val="center"/>
              <w:textAlignment w:val="center"/>
              <w:rPr>
                <w:color w:val="auto"/>
                <w:sz w:val="21"/>
                <w:szCs w:val="21"/>
                <w:lang w:bidi="ar"/>
              </w:rPr>
            </w:pPr>
            <w:r>
              <w:rPr>
                <w:color w:val="auto"/>
                <w:sz w:val="21"/>
                <w:szCs w:val="21"/>
                <w:lang w:bidi="ar"/>
              </w:rPr>
              <w:t>（公顷）</w:t>
            </w:r>
          </w:p>
        </w:tc>
        <w:tc>
          <w:tcPr>
            <w:tcW w:w="861" w:type="pct"/>
            <w:tcBorders>
              <w:tl2br w:val="nil"/>
              <w:tr2bl w:val="nil"/>
            </w:tcBorders>
            <w:shd w:val="clear" w:color="auto" w:fill="auto"/>
            <w:vAlign w:val="center"/>
          </w:tcPr>
          <w:p w14:paraId="0E6FA13F">
            <w:pPr>
              <w:widowControl/>
              <w:spacing w:line="240" w:lineRule="auto"/>
              <w:ind w:firstLine="0" w:firstLineChars="0"/>
              <w:jc w:val="center"/>
              <w:textAlignment w:val="center"/>
              <w:rPr>
                <w:color w:val="auto"/>
                <w:sz w:val="21"/>
                <w:szCs w:val="21"/>
                <w:lang w:bidi="ar"/>
              </w:rPr>
            </w:pPr>
            <w:r>
              <w:rPr>
                <w:color w:val="auto"/>
                <w:sz w:val="21"/>
                <w:szCs w:val="21"/>
                <w:lang w:bidi="ar"/>
              </w:rPr>
              <w:t>定额</w:t>
            </w:r>
          </w:p>
          <w:p w14:paraId="567EF3E8">
            <w:pPr>
              <w:widowControl/>
              <w:spacing w:line="240" w:lineRule="auto"/>
              <w:ind w:firstLine="0" w:firstLineChars="0"/>
              <w:jc w:val="center"/>
              <w:textAlignment w:val="center"/>
              <w:rPr>
                <w:color w:val="auto"/>
                <w:sz w:val="21"/>
                <w:szCs w:val="21"/>
                <w:lang w:bidi="ar"/>
              </w:rPr>
            </w:pPr>
            <w:r>
              <w:rPr>
                <w:color w:val="auto"/>
                <w:sz w:val="21"/>
                <w:szCs w:val="21"/>
                <w:lang w:bidi="ar"/>
              </w:rPr>
              <w:t>(m³/(hm²• d))</w:t>
            </w:r>
          </w:p>
        </w:tc>
        <w:tc>
          <w:tcPr>
            <w:tcW w:w="828" w:type="pct"/>
            <w:tcBorders>
              <w:tl2br w:val="nil"/>
              <w:tr2bl w:val="nil"/>
            </w:tcBorders>
            <w:shd w:val="clear" w:color="auto" w:fill="auto"/>
            <w:vAlign w:val="center"/>
          </w:tcPr>
          <w:p w14:paraId="64713163">
            <w:pPr>
              <w:widowControl/>
              <w:spacing w:line="240" w:lineRule="auto"/>
              <w:ind w:firstLine="0" w:firstLineChars="0"/>
              <w:jc w:val="center"/>
              <w:textAlignment w:val="center"/>
              <w:rPr>
                <w:color w:val="auto"/>
                <w:sz w:val="21"/>
                <w:szCs w:val="21"/>
                <w:lang w:bidi="ar"/>
              </w:rPr>
            </w:pPr>
            <w:r>
              <w:rPr>
                <w:color w:val="auto"/>
                <w:sz w:val="21"/>
                <w:szCs w:val="21"/>
                <w:lang w:bidi="ar"/>
              </w:rPr>
              <w:t>最高日用水量</w:t>
            </w:r>
          </w:p>
          <w:p w14:paraId="2C5B1442">
            <w:pPr>
              <w:widowControl/>
              <w:spacing w:line="240" w:lineRule="auto"/>
              <w:ind w:firstLine="0" w:firstLineChars="0"/>
              <w:jc w:val="center"/>
              <w:textAlignment w:val="center"/>
              <w:rPr>
                <w:color w:val="auto"/>
                <w:sz w:val="21"/>
                <w:szCs w:val="21"/>
                <w:lang w:bidi="ar"/>
              </w:rPr>
            </w:pPr>
            <w:r>
              <w:rPr>
                <w:color w:val="auto"/>
                <w:sz w:val="21"/>
                <w:szCs w:val="21"/>
                <w:lang w:bidi="ar"/>
              </w:rPr>
              <w:t>（万m³/d）</w:t>
            </w:r>
          </w:p>
        </w:tc>
        <w:tc>
          <w:tcPr>
            <w:tcW w:w="920" w:type="pct"/>
            <w:tcBorders>
              <w:tl2br w:val="nil"/>
              <w:tr2bl w:val="nil"/>
            </w:tcBorders>
            <w:shd w:val="clear" w:color="auto" w:fill="auto"/>
            <w:vAlign w:val="center"/>
          </w:tcPr>
          <w:p w14:paraId="0DAE1748">
            <w:pPr>
              <w:widowControl/>
              <w:spacing w:line="240" w:lineRule="auto"/>
              <w:ind w:firstLine="0" w:firstLineChars="0"/>
              <w:jc w:val="center"/>
              <w:textAlignment w:val="center"/>
              <w:rPr>
                <w:color w:val="auto"/>
                <w:sz w:val="21"/>
                <w:szCs w:val="21"/>
                <w:lang w:bidi="ar"/>
              </w:rPr>
            </w:pPr>
            <w:r>
              <w:rPr>
                <w:color w:val="auto"/>
                <w:sz w:val="21"/>
                <w:szCs w:val="21"/>
                <w:lang w:bidi="ar"/>
              </w:rPr>
              <w:t>平均日用水量</w:t>
            </w:r>
          </w:p>
          <w:p w14:paraId="7DA30547">
            <w:pPr>
              <w:widowControl/>
              <w:spacing w:line="240" w:lineRule="auto"/>
              <w:ind w:firstLine="0" w:firstLineChars="0"/>
              <w:jc w:val="center"/>
              <w:textAlignment w:val="center"/>
              <w:rPr>
                <w:color w:val="auto"/>
                <w:sz w:val="21"/>
                <w:szCs w:val="21"/>
                <w:lang w:bidi="ar"/>
              </w:rPr>
            </w:pPr>
            <w:r>
              <w:rPr>
                <w:color w:val="auto"/>
                <w:sz w:val="21"/>
                <w:szCs w:val="21"/>
                <w:lang w:bidi="ar"/>
              </w:rPr>
              <w:t>（万m³/d）</w:t>
            </w:r>
          </w:p>
        </w:tc>
      </w:tr>
      <w:tr w14:paraId="3456CE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7ECB4D0A">
            <w:pPr>
              <w:widowControl/>
              <w:spacing w:line="240" w:lineRule="auto"/>
              <w:ind w:firstLine="0" w:firstLineChars="0"/>
              <w:jc w:val="center"/>
              <w:textAlignment w:val="center"/>
              <w:rPr>
                <w:color w:val="auto"/>
                <w:sz w:val="21"/>
                <w:szCs w:val="21"/>
                <w:lang w:bidi="ar"/>
              </w:rPr>
            </w:pPr>
            <w:r>
              <w:rPr>
                <w:color w:val="auto"/>
                <w:sz w:val="21"/>
                <w:szCs w:val="21"/>
                <w:lang w:bidi="ar"/>
              </w:rPr>
              <w:t>1</w:t>
            </w:r>
          </w:p>
        </w:tc>
        <w:tc>
          <w:tcPr>
            <w:tcW w:w="999" w:type="pct"/>
            <w:tcBorders>
              <w:tl2br w:val="nil"/>
              <w:tr2bl w:val="nil"/>
            </w:tcBorders>
            <w:shd w:val="clear" w:color="auto" w:fill="auto"/>
            <w:vAlign w:val="center"/>
          </w:tcPr>
          <w:p w14:paraId="004F4342">
            <w:pPr>
              <w:widowControl/>
              <w:spacing w:line="240" w:lineRule="auto"/>
              <w:ind w:firstLine="0" w:firstLineChars="0"/>
              <w:jc w:val="center"/>
              <w:textAlignment w:val="center"/>
              <w:rPr>
                <w:color w:val="auto"/>
                <w:sz w:val="21"/>
                <w:szCs w:val="21"/>
                <w:lang w:bidi="ar"/>
              </w:rPr>
            </w:pPr>
            <w:r>
              <w:rPr>
                <w:color w:val="auto"/>
                <w:sz w:val="21"/>
                <w:szCs w:val="21"/>
                <w:lang w:bidi="ar"/>
              </w:rPr>
              <w:t>居住用地</w:t>
            </w:r>
          </w:p>
        </w:tc>
        <w:tc>
          <w:tcPr>
            <w:tcW w:w="1649" w:type="dxa"/>
            <w:tcBorders>
              <w:tl2br w:val="nil"/>
              <w:tr2bl w:val="nil"/>
            </w:tcBorders>
            <w:shd w:val="clear" w:color="auto" w:fill="auto"/>
            <w:vAlign w:val="center"/>
          </w:tcPr>
          <w:p w14:paraId="63E7FD12">
            <w:pPr>
              <w:widowControl/>
              <w:spacing w:line="240" w:lineRule="auto"/>
              <w:ind w:firstLine="0" w:firstLineChars="0"/>
              <w:jc w:val="center"/>
              <w:textAlignment w:val="center"/>
              <w:rPr>
                <w:color w:val="auto"/>
                <w:sz w:val="21"/>
                <w:szCs w:val="21"/>
                <w:lang w:bidi="ar"/>
              </w:rPr>
            </w:pPr>
            <w:r>
              <w:rPr>
                <w:color w:val="auto"/>
                <w:sz w:val="21"/>
                <w:szCs w:val="21"/>
                <w:lang w:bidi="ar"/>
              </w:rPr>
              <w:t>123.27</w:t>
            </w:r>
          </w:p>
        </w:tc>
        <w:tc>
          <w:tcPr>
            <w:tcW w:w="1571" w:type="dxa"/>
            <w:tcBorders>
              <w:tl2br w:val="nil"/>
              <w:tr2bl w:val="nil"/>
            </w:tcBorders>
            <w:shd w:val="clear" w:color="auto" w:fill="auto"/>
            <w:vAlign w:val="center"/>
          </w:tcPr>
          <w:p w14:paraId="1D080AA3">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1510" w:type="dxa"/>
            <w:tcBorders>
              <w:tl2br w:val="nil"/>
              <w:tr2bl w:val="nil"/>
            </w:tcBorders>
            <w:shd w:val="clear" w:color="auto" w:fill="auto"/>
            <w:vAlign w:val="center"/>
          </w:tcPr>
          <w:p w14:paraId="308D5E6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0.62 </w:t>
            </w:r>
          </w:p>
        </w:tc>
        <w:tc>
          <w:tcPr>
            <w:tcW w:w="1678" w:type="dxa"/>
            <w:tcBorders>
              <w:tl2br w:val="nil"/>
              <w:tr2bl w:val="nil"/>
            </w:tcBorders>
            <w:shd w:val="clear" w:color="auto" w:fill="auto"/>
            <w:vAlign w:val="center"/>
          </w:tcPr>
          <w:p w14:paraId="6CE2506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0.51 </w:t>
            </w:r>
          </w:p>
        </w:tc>
      </w:tr>
      <w:tr w14:paraId="11AE3E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4A95E1B3">
            <w:pPr>
              <w:widowControl/>
              <w:spacing w:line="240" w:lineRule="auto"/>
              <w:ind w:firstLine="0" w:firstLineChars="0"/>
              <w:jc w:val="center"/>
              <w:textAlignment w:val="center"/>
              <w:rPr>
                <w:color w:val="auto"/>
                <w:sz w:val="21"/>
                <w:szCs w:val="21"/>
                <w:lang w:bidi="ar"/>
              </w:rPr>
            </w:pPr>
            <w:r>
              <w:rPr>
                <w:color w:val="auto"/>
                <w:sz w:val="21"/>
                <w:szCs w:val="21"/>
                <w:lang w:bidi="ar"/>
              </w:rPr>
              <w:t>2</w:t>
            </w:r>
          </w:p>
        </w:tc>
        <w:tc>
          <w:tcPr>
            <w:tcW w:w="999" w:type="pct"/>
            <w:tcBorders>
              <w:tl2br w:val="nil"/>
              <w:tr2bl w:val="nil"/>
            </w:tcBorders>
            <w:shd w:val="clear" w:color="auto" w:fill="auto"/>
            <w:vAlign w:val="center"/>
          </w:tcPr>
          <w:p w14:paraId="32E8AC67">
            <w:pPr>
              <w:widowControl/>
              <w:spacing w:line="240" w:lineRule="auto"/>
              <w:ind w:firstLine="0" w:firstLineChars="0"/>
              <w:jc w:val="center"/>
              <w:textAlignment w:val="center"/>
              <w:rPr>
                <w:color w:val="auto"/>
                <w:sz w:val="21"/>
                <w:szCs w:val="21"/>
                <w:lang w:bidi="ar"/>
              </w:rPr>
            </w:pPr>
            <w:r>
              <w:rPr>
                <w:color w:val="auto"/>
                <w:sz w:val="21"/>
                <w:szCs w:val="21"/>
                <w:lang w:bidi="ar"/>
              </w:rPr>
              <w:t>公共管理与公共服务设施用地</w:t>
            </w:r>
          </w:p>
        </w:tc>
        <w:tc>
          <w:tcPr>
            <w:tcW w:w="1649" w:type="dxa"/>
            <w:tcBorders>
              <w:tl2br w:val="nil"/>
              <w:tr2bl w:val="nil"/>
            </w:tcBorders>
            <w:shd w:val="clear" w:color="auto" w:fill="auto"/>
            <w:vAlign w:val="center"/>
          </w:tcPr>
          <w:p w14:paraId="3E9228F7">
            <w:pPr>
              <w:widowControl/>
              <w:spacing w:line="240" w:lineRule="auto"/>
              <w:ind w:firstLine="0" w:firstLineChars="0"/>
              <w:jc w:val="center"/>
              <w:textAlignment w:val="center"/>
              <w:rPr>
                <w:color w:val="auto"/>
                <w:sz w:val="21"/>
                <w:szCs w:val="21"/>
                <w:lang w:bidi="ar"/>
              </w:rPr>
            </w:pPr>
            <w:r>
              <w:rPr>
                <w:color w:val="auto"/>
                <w:sz w:val="21"/>
                <w:szCs w:val="21"/>
                <w:lang w:bidi="ar"/>
              </w:rPr>
              <w:t>47.42</w:t>
            </w:r>
          </w:p>
        </w:tc>
        <w:tc>
          <w:tcPr>
            <w:tcW w:w="1571" w:type="dxa"/>
            <w:tcBorders>
              <w:tl2br w:val="nil"/>
              <w:tr2bl w:val="nil"/>
            </w:tcBorders>
            <w:shd w:val="clear" w:color="auto" w:fill="auto"/>
            <w:vAlign w:val="center"/>
          </w:tcPr>
          <w:p w14:paraId="0DCBB714">
            <w:pPr>
              <w:widowControl/>
              <w:spacing w:line="240" w:lineRule="auto"/>
              <w:ind w:firstLine="0" w:firstLineChars="0"/>
              <w:jc w:val="center"/>
              <w:textAlignment w:val="center"/>
              <w:rPr>
                <w:color w:val="auto"/>
                <w:sz w:val="21"/>
                <w:szCs w:val="21"/>
                <w:lang w:bidi="ar"/>
              </w:rPr>
            </w:pPr>
            <w:r>
              <w:rPr>
                <w:color w:val="auto"/>
                <w:sz w:val="21"/>
                <w:szCs w:val="21"/>
                <w:lang w:bidi="ar"/>
              </w:rPr>
              <w:t>70</w:t>
            </w:r>
          </w:p>
        </w:tc>
        <w:tc>
          <w:tcPr>
            <w:tcW w:w="1510" w:type="dxa"/>
            <w:tcBorders>
              <w:tl2br w:val="nil"/>
              <w:tr2bl w:val="nil"/>
            </w:tcBorders>
            <w:shd w:val="clear" w:color="auto" w:fill="auto"/>
            <w:vAlign w:val="center"/>
          </w:tcPr>
          <w:p w14:paraId="11F17A7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0.33 </w:t>
            </w:r>
          </w:p>
        </w:tc>
        <w:tc>
          <w:tcPr>
            <w:tcW w:w="1678" w:type="dxa"/>
            <w:tcBorders>
              <w:tl2br w:val="nil"/>
              <w:tr2bl w:val="nil"/>
            </w:tcBorders>
            <w:shd w:val="clear" w:color="auto" w:fill="auto"/>
            <w:vAlign w:val="center"/>
          </w:tcPr>
          <w:p w14:paraId="6BC2824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0.28 </w:t>
            </w:r>
          </w:p>
        </w:tc>
      </w:tr>
      <w:tr w14:paraId="55DC7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57F27A99">
            <w:pPr>
              <w:widowControl/>
              <w:spacing w:line="240" w:lineRule="auto"/>
              <w:ind w:firstLine="0" w:firstLineChars="0"/>
              <w:jc w:val="center"/>
              <w:textAlignment w:val="center"/>
              <w:rPr>
                <w:color w:val="auto"/>
                <w:sz w:val="21"/>
                <w:szCs w:val="21"/>
                <w:lang w:bidi="ar"/>
              </w:rPr>
            </w:pPr>
            <w:r>
              <w:rPr>
                <w:color w:val="auto"/>
                <w:sz w:val="21"/>
                <w:szCs w:val="21"/>
                <w:lang w:bidi="ar"/>
              </w:rPr>
              <w:t>3</w:t>
            </w:r>
          </w:p>
        </w:tc>
        <w:tc>
          <w:tcPr>
            <w:tcW w:w="999" w:type="pct"/>
            <w:tcBorders>
              <w:tl2br w:val="nil"/>
              <w:tr2bl w:val="nil"/>
            </w:tcBorders>
            <w:shd w:val="clear" w:color="auto" w:fill="auto"/>
            <w:vAlign w:val="center"/>
          </w:tcPr>
          <w:p w14:paraId="7B4FC829">
            <w:pPr>
              <w:widowControl/>
              <w:spacing w:line="240" w:lineRule="auto"/>
              <w:ind w:firstLine="0" w:firstLineChars="0"/>
              <w:jc w:val="center"/>
              <w:textAlignment w:val="center"/>
              <w:rPr>
                <w:color w:val="auto"/>
                <w:sz w:val="21"/>
                <w:szCs w:val="21"/>
                <w:lang w:bidi="ar"/>
              </w:rPr>
            </w:pPr>
            <w:r>
              <w:rPr>
                <w:color w:val="auto"/>
                <w:sz w:val="21"/>
                <w:szCs w:val="21"/>
                <w:lang w:bidi="ar"/>
              </w:rPr>
              <w:t>商业服务业设施用地</w:t>
            </w:r>
          </w:p>
        </w:tc>
        <w:tc>
          <w:tcPr>
            <w:tcW w:w="1649" w:type="dxa"/>
            <w:tcBorders>
              <w:tl2br w:val="nil"/>
              <w:tr2bl w:val="nil"/>
            </w:tcBorders>
            <w:shd w:val="clear" w:color="auto" w:fill="auto"/>
            <w:vAlign w:val="center"/>
          </w:tcPr>
          <w:p w14:paraId="286E7BE3">
            <w:pPr>
              <w:widowControl/>
              <w:spacing w:line="240" w:lineRule="auto"/>
              <w:ind w:firstLine="0" w:firstLineChars="0"/>
              <w:jc w:val="center"/>
              <w:textAlignment w:val="center"/>
              <w:rPr>
                <w:color w:val="auto"/>
                <w:sz w:val="21"/>
                <w:szCs w:val="21"/>
                <w:lang w:bidi="ar"/>
              </w:rPr>
            </w:pPr>
            <w:r>
              <w:rPr>
                <w:color w:val="auto"/>
                <w:sz w:val="21"/>
                <w:szCs w:val="21"/>
                <w:lang w:bidi="ar"/>
              </w:rPr>
              <w:t>96.05</w:t>
            </w:r>
          </w:p>
        </w:tc>
        <w:tc>
          <w:tcPr>
            <w:tcW w:w="1571" w:type="dxa"/>
            <w:tcBorders>
              <w:tl2br w:val="nil"/>
              <w:tr2bl w:val="nil"/>
            </w:tcBorders>
            <w:shd w:val="clear" w:color="auto" w:fill="auto"/>
            <w:vAlign w:val="center"/>
          </w:tcPr>
          <w:p w14:paraId="1920BFD1">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1510" w:type="dxa"/>
            <w:tcBorders>
              <w:tl2br w:val="nil"/>
              <w:tr2bl w:val="nil"/>
            </w:tcBorders>
            <w:shd w:val="clear" w:color="auto" w:fill="auto"/>
            <w:vAlign w:val="center"/>
          </w:tcPr>
          <w:p w14:paraId="2AE8B9D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0.48 </w:t>
            </w:r>
          </w:p>
        </w:tc>
        <w:tc>
          <w:tcPr>
            <w:tcW w:w="1678" w:type="dxa"/>
            <w:tcBorders>
              <w:tl2br w:val="nil"/>
              <w:tr2bl w:val="nil"/>
            </w:tcBorders>
            <w:shd w:val="clear" w:color="auto" w:fill="auto"/>
            <w:vAlign w:val="center"/>
          </w:tcPr>
          <w:p w14:paraId="6AC7836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0.40 </w:t>
            </w:r>
          </w:p>
        </w:tc>
      </w:tr>
      <w:tr w14:paraId="5B5BD0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017B268D">
            <w:pPr>
              <w:widowControl/>
              <w:spacing w:line="240" w:lineRule="auto"/>
              <w:ind w:firstLine="0" w:firstLineChars="0"/>
              <w:jc w:val="center"/>
              <w:textAlignment w:val="center"/>
              <w:rPr>
                <w:color w:val="auto"/>
                <w:sz w:val="21"/>
                <w:szCs w:val="21"/>
                <w:lang w:bidi="ar"/>
              </w:rPr>
            </w:pPr>
            <w:r>
              <w:rPr>
                <w:color w:val="auto"/>
                <w:sz w:val="21"/>
                <w:szCs w:val="21"/>
                <w:lang w:bidi="ar"/>
              </w:rPr>
              <w:t>4</w:t>
            </w:r>
          </w:p>
        </w:tc>
        <w:tc>
          <w:tcPr>
            <w:tcW w:w="999" w:type="pct"/>
            <w:tcBorders>
              <w:tl2br w:val="nil"/>
              <w:tr2bl w:val="nil"/>
            </w:tcBorders>
            <w:shd w:val="clear" w:color="auto" w:fill="auto"/>
            <w:vAlign w:val="center"/>
          </w:tcPr>
          <w:p w14:paraId="28ABFEAA">
            <w:pPr>
              <w:widowControl/>
              <w:spacing w:line="240" w:lineRule="auto"/>
              <w:ind w:firstLine="0" w:firstLineChars="0"/>
              <w:jc w:val="center"/>
              <w:textAlignment w:val="center"/>
              <w:rPr>
                <w:color w:val="auto"/>
                <w:sz w:val="21"/>
                <w:szCs w:val="21"/>
                <w:lang w:bidi="ar"/>
              </w:rPr>
            </w:pPr>
            <w:r>
              <w:rPr>
                <w:color w:val="auto"/>
                <w:sz w:val="21"/>
                <w:szCs w:val="21"/>
                <w:lang w:bidi="ar"/>
              </w:rPr>
              <w:t>工业用地</w:t>
            </w:r>
          </w:p>
        </w:tc>
        <w:tc>
          <w:tcPr>
            <w:tcW w:w="1649" w:type="dxa"/>
            <w:tcBorders>
              <w:tl2br w:val="nil"/>
              <w:tr2bl w:val="nil"/>
            </w:tcBorders>
            <w:shd w:val="clear" w:color="auto" w:fill="auto"/>
            <w:vAlign w:val="center"/>
          </w:tcPr>
          <w:p w14:paraId="09BDA0A0">
            <w:pPr>
              <w:widowControl/>
              <w:spacing w:line="240" w:lineRule="auto"/>
              <w:ind w:firstLine="0" w:firstLineChars="0"/>
              <w:jc w:val="center"/>
              <w:textAlignment w:val="center"/>
              <w:rPr>
                <w:color w:val="auto"/>
                <w:sz w:val="21"/>
                <w:szCs w:val="21"/>
                <w:lang w:bidi="ar"/>
              </w:rPr>
            </w:pPr>
            <w:r>
              <w:rPr>
                <w:color w:val="auto"/>
                <w:sz w:val="21"/>
                <w:szCs w:val="21"/>
                <w:lang w:bidi="ar"/>
              </w:rPr>
              <w:t>215.5</w:t>
            </w:r>
          </w:p>
        </w:tc>
        <w:tc>
          <w:tcPr>
            <w:tcW w:w="1571" w:type="dxa"/>
            <w:tcBorders>
              <w:tl2br w:val="nil"/>
              <w:tr2bl w:val="nil"/>
            </w:tcBorders>
            <w:shd w:val="clear" w:color="auto" w:fill="auto"/>
            <w:vAlign w:val="center"/>
          </w:tcPr>
          <w:p w14:paraId="640353B1">
            <w:pPr>
              <w:widowControl/>
              <w:spacing w:line="240" w:lineRule="auto"/>
              <w:ind w:firstLine="0" w:firstLineChars="0"/>
              <w:jc w:val="center"/>
              <w:textAlignment w:val="center"/>
              <w:rPr>
                <w:color w:val="auto"/>
                <w:sz w:val="21"/>
                <w:szCs w:val="21"/>
                <w:lang w:bidi="ar"/>
              </w:rPr>
            </w:pPr>
            <w:r>
              <w:rPr>
                <w:color w:val="auto"/>
                <w:sz w:val="21"/>
                <w:szCs w:val="21"/>
                <w:lang w:bidi="ar"/>
              </w:rPr>
              <w:t>90</w:t>
            </w:r>
          </w:p>
        </w:tc>
        <w:tc>
          <w:tcPr>
            <w:tcW w:w="1510" w:type="dxa"/>
            <w:tcBorders>
              <w:tl2br w:val="nil"/>
              <w:tr2bl w:val="nil"/>
            </w:tcBorders>
            <w:shd w:val="clear" w:color="auto" w:fill="auto"/>
            <w:vAlign w:val="center"/>
          </w:tcPr>
          <w:p w14:paraId="2B66280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1.94 </w:t>
            </w:r>
          </w:p>
        </w:tc>
        <w:tc>
          <w:tcPr>
            <w:tcW w:w="1678" w:type="dxa"/>
            <w:tcBorders>
              <w:tl2br w:val="nil"/>
              <w:tr2bl w:val="nil"/>
            </w:tcBorders>
            <w:shd w:val="clear" w:color="auto" w:fill="auto"/>
            <w:vAlign w:val="center"/>
          </w:tcPr>
          <w:p w14:paraId="1E70402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1.62 </w:t>
            </w:r>
          </w:p>
        </w:tc>
      </w:tr>
      <w:tr w14:paraId="5C1427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5D1276AC">
            <w:pPr>
              <w:widowControl/>
              <w:spacing w:line="240" w:lineRule="auto"/>
              <w:ind w:firstLine="0" w:firstLineChars="0"/>
              <w:jc w:val="center"/>
              <w:textAlignment w:val="center"/>
              <w:rPr>
                <w:color w:val="auto"/>
                <w:sz w:val="21"/>
                <w:szCs w:val="21"/>
                <w:lang w:bidi="ar"/>
              </w:rPr>
            </w:pPr>
            <w:r>
              <w:rPr>
                <w:color w:val="auto"/>
                <w:sz w:val="21"/>
                <w:szCs w:val="21"/>
                <w:lang w:bidi="ar"/>
              </w:rPr>
              <w:t>5</w:t>
            </w:r>
          </w:p>
        </w:tc>
        <w:tc>
          <w:tcPr>
            <w:tcW w:w="999" w:type="pct"/>
            <w:tcBorders>
              <w:tl2br w:val="nil"/>
              <w:tr2bl w:val="nil"/>
            </w:tcBorders>
            <w:shd w:val="clear" w:color="auto" w:fill="auto"/>
            <w:vAlign w:val="center"/>
          </w:tcPr>
          <w:p w14:paraId="5338BB29">
            <w:pPr>
              <w:widowControl/>
              <w:spacing w:line="240" w:lineRule="auto"/>
              <w:ind w:firstLine="0" w:firstLineChars="0"/>
              <w:jc w:val="center"/>
              <w:textAlignment w:val="center"/>
              <w:rPr>
                <w:color w:val="auto"/>
                <w:sz w:val="21"/>
                <w:szCs w:val="21"/>
                <w:lang w:bidi="ar"/>
              </w:rPr>
            </w:pPr>
            <w:r>
              <w:rPr>
                <w:color w:val="auto"/>
                <w:sz w:val="21"/>
                <w:szCs w:val="21"/>
                <w:lang w:bidi="ar"/>
              </w:rPr>
              <w:t>物流仓储用地</w:t>
            </w:r>
          </w:p>
        </w:tc>
        <w:tc>
          <w:tcPr>
            <w:tcW w:w="1649" w:type="dxa"/>
            <w:tcBorders>
              <w:tl2br w:val="nil"/>
              <w:tr2bl w:val="nil"/>
            </w:tcBorders>
            <w:shd w:val="clear" w:color="auto" w:fill="auto"/>
            <w:vAlign w:val="center"/>
          </w:tcPr>
          <w:p w14:paraId="11982809">
            <w:pPr>
              <w:widowControl/>
              <w:spacing w:line="240" w:lineRule="auto"/>
              <w:ind w:firstLine="0" w:firstLineChars="0"/>
              <w:jc w:val="center"/>
              <w:textAlignment w:val="center"/>
              <w:rPr>
                <w:color w:val="auto"/>
                <w:sz w:val="21"/>
                <w:szCs w:val="21"/>
                <w:lang w:bidi="ar"/>
              </w:rPr>
            </w:pPr>
            <w:r>
              <w:rPr>
                <w:color w:val="auto"/>
                <w:sz w:val="21"/>
                <w:szCs w:val="21"/>
                <w:lang w:bidi="ar"/>
              </w:rPr>
              <w:t>0</w:t>
            </w:r>
          </w:p>
        </w:tc>
        <w:tc>
          <w:tcPr>
            <w:tcW w:w="1571" w:type="dxa"/>
            <w:tcBorders>
              <w:tl2br w:val="nil"/>
              <w:tr2bl w:val="nil"/>
            </w:tcBorders>
            <w:shd w:val="clear" w:color="auto" w:fill="auto"/>
            <w:vAlign w:val="center"/>
          </w:tcPr>
          <w:p w14:paraId="09F61BF1">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1510" w:type="dxa"/>
            <w:tcBorders>
              <w:tl2br w:val="nil"/>
              <w:tr2bl w:val="nil"/>
            </w:tcBorders>
            <w:shd w:val="clear" w:color="auto" w:fill="auto"/>
            <w:vAlign w:val="center"/>
          </w:tcPr>
          <w:p w14:paraId="7007384E">
            <w:pPr>
              <w:widowControl/>
              <w:spacing w:line="240" w:lineRule="auto"/>
              <w:ind w:firstLine="0" w:firstLineChars="0"/>
              <w:jc w:val="center"/>
              <w:textAlignment w:val="center"/>
              <w:rPr>
                <w:color w:val="auto"/>
                <w:sz w:val="21"/>
                <w:szCs w:val="21"/>
                <w:lang w:bidi="ar"/>
              </w:rPr>
            </w:pPr>
            <w:r>
              <w:rPr>
                <w:color w:val="auto"/>
                <w:sz w:val="21"/>
                <w:szCs w:val="21"/>
                <w:lang w:bidi="ar"/>
              </w:rPr>
              <w:t>0.0 0</w:t>
            </w:r>
          </w:p>
        </w:tc>
        <w:tc>
          <w:tcPr>
            <w:tcW w:w="1678" w:type="dxa"/>
            <w:tcBorders>
              <w:tl2br w:val="nil"/>
              <w:tr2bl w:val="nil"/>
            </w:tcBorders>
            <w:shd w:val="clear" w:color="auto" w:fill="auto"/>
            <w:vAlign w:val="center"/>
          </w:tcPr>
          <w:p w14:paraId="3AC96920">
            <w:pPr>
              <w:widowControl/>
              <w:spacing w:line="240" w:lineRule="auto"/>
              <w:ind w:firstLine="0" w:firstLineChars="0"/>
              <w:jc w:val="center"/>
              <w:textAlignment w:val="center"/>
              <w:rPr>
                <w:color w:val="auto"/>
                <w:sz w:val="21"/>
                <w:szCs w:val="21"/>
                <w:lang w:bidi="ar"/>
              </w:rPr>
            </w:pPr>
            <w:r>
              <w:rPr>
                <w:color w:val="auto"/>
                <w:sz w:val="21"/>
                <w:szCs w:val="21"/>
                <w:lang w:bidi="ar"/>
              </w:rPr>
              <w:t>0.00</w:t>
            </w:r>
          </w:p>
        </w:tc>
      </w:tr>
      <w:tr w14:paraId="23914D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26D15D94">
            <w:pPr>
              <w:widowControl/>
              <w:spacing w:line="240" w:lineRule="auto"/>
              <w:ind w:firstLine="0" w:firstLineChars="0"/>
              <w:jc w:val="center"/>
              <w:textAlignment w:val="center"/>
              <w:rPr>
                <w:color w:val="auto"/>
                <w:sz w:val="21"/>
                <w:szCs w:val="21"/>
                <w:lang w:bidi="ar"/>
              </w:rPr>
            </w:pPr>
            <w:r>
              <w:rPr>
                <w:color w:val="auto"/>
                <w:sz w:val="21"/>
                <w:szCs w:val="21"/>
                <w:lang w:bidi="ar"/>
              </w:rPr>
              <w:t>6</w:t>
            </w:r>
          </w:p>
        </w:tc>
        <w:tc>
          <w:tcPr>
            <w:tcW w:w="999" w:type="pct"/>
            <w:tcBorders>
              <w:tl2br w:val="nil"/>
              <w:tr2bl w:val="nil"/>
            </w:tcBorders>
            <w:shd w:val="clear" w:color="auto" w:fill="auto"/>
            <w:vAlign w:val="center"/>
          </w:tcPr>
          <w:p w14:paraId="1A74FFF8">
            <w:pPr>
              <w:widowControl/>
              <w:spacing w:line="240" w:lineRule="auto"/>
              <w:ind w:firstLine="0" w:firstLineChars="0"/>
              <w:jc w:val="center"/>
              <w:textAlignment w:val="center"/>
              <w:rPr>
                <w:color w:val="auto"/>
                <w:sz w:val="21"/>
                <w:szCs w:val="21"/>
                <w:lang w:bidi="ar"/>
              </w:rPr>
            </w:pPr>
            <w:r>
              <w:rPr>
                <w:color w:val="auto"/>
                <w:sz w:val="21"/>
                <w:szCs w:val="21"/>
                <w:lang w:bidi="ar"/>
              </w:rPr>
              <w:t>道路与交通设施用地</w:t>
            </w:r>
          </w:p>
        </w:tc>
        <w:tc>
          <w:tcPr>
            <w:tcW w:w="1649" w:type="dxa"/>
            <w:tcBorders>
              <w:tl2br w:val="nil"/>
              <w:tr2bl w:val="nil"/>
            </w:tcBorders>
            <w:shd w:val="clear" w:color="auto" w:fill="auto"/>
            <w:vAlign w:val="center"/>
          </w:tcPr>
          <w:p w14:paraId="68DC63BF">
            <w:pPr>
              <w:widowControl/>
              <w:spacing w:line="240" w:lineRule="auto"/>
              <w:ind w:firstLine="0" w:firstLineChars="0"/>
              <w:jc w:val="center"/>
              <w:textAlignment w:val="center"/>
              <w:rPr>
                <w:color w:val="auto"/>
                <w:sz w:val="21"/>
                <w:szCs w:val="21"/>
                <w:lang w:bidi="ar"/>
              </w:rPr>
            </w:pPr>
            <w:r>
              <w:rPr>
                <w:color w:val="auto"/>
                <w:sz w:val="21"/>
                <w:szCs w:val="21"/>
                <w:lang w:bidi="ar"/>
              </w:rPr>
              <w:t>149.72</w:t>
            </w:r>
          </w:p>
        </w:tc>
        <w:tc>
          <w:tcPr>
            <w:tcW w:w="1571" w:type="dxa"/>
            <w:tcBorders>
              <w:tl2br w:val="nil"/>
              <w:tr2bl w:val="nil"/>
            </w:tcBorders>
            <w:shd w:val="clear" w:color="auto" w:fill="auto"/>
            <w:vAlign w:val="center"/>
          </w:tcPr>
          <w:p w14:paraId="4CEA7426">
            <w:pPr>
              <w:widowControl/>
              <w:spacing w:line="240" w:lineRule="auto"/>
              <w:ind w:firstLine="0" w:firstLineChars="0"/>
              <w:jc w:val="center"/>
              <w:textAlignment w:val="center"/>
              <w:rPr>
                <w:color w:val="auto"/>
                <w:sz w:val="21"/>
                <w:szCs w:val="21"/>
                <w:lang w:bidi="ar"/>
              </w:rPr>
            </w:pPr>
            <w:r>
              <w:rPr>
                <w:color w:val="auto"/>
                <w:sz w:val="21"/>
                <w:szCs w:val="21"/>
                <w:lang w:bidi="ar"/>
              </w:rPr>
              <w:t>50</w:t>
            </w:r>
          </w:p>
        </w:tc>
        <w:tc>
          <w:tcPr>
            <w:tcW w:w="1510" w:type="dxa"/>
            <w:tcBorders>
              <w:tl2br w:val="nil"/>
              <w:tr2bl w:val="nil"/>
            </w:tcBorders>
            <w:shd w:val="clear" w:color="auto" w:fill="auto"/>
            <w:vAlign w:val="center"/>
          </w:tcPr>
          <w:p w14:paraId="3653F96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0.75 </w:t>
            </w:r>
          </w:p>
        </w:tc>
        <w:tc>
          <w:tcPr>
            <w:tcW w:w="1678" w:type="dxa"/>
            <w:tcBorders>
              <w:tl2br w:val="nil"/>
              <w:tr2bl w:val="nil"/>
            </w:tcBorders>
            <w:shd w:val="clear" w:color="auto" w:fill="auto"/>
            <w:vAlign w:val="center"/>
          </w:tcPr>
          <w:p w14:paraId="3B24189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0.62 </w:t>
            </w:r>
          </w:p>
        </w:tc>
      </w:tr>
      <w:tr w14:paraId="137BF4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1818F5AB">
            <w:pPr>
              <w:widowControl/>
              <w:spacing w:line="240" w:lineRule="auto"/>
              <w:ind w:firstLine="0" w:firstLineChars="0"/>
              <w:jc w:val="center"/>
              <w:textAlignment w:val="center"/>
              <w:rPr>
                <w:color w:val="auto"/>
                <w:sz w:val="21"/>
                <w:szCs w:val="21"/>
                <w:lang w:bidi="ar"/>
              </w:rPr>
            </w:pPr>
            <w:r>
              <w:rPr>
                <w:color w:val="auto"/>
                <w:sz w:val="21"/>
                <w:szCs w:val="21"/>
                <w:lang w:bidi="ar"/>
              </w:rPr>
              <w:t>7</w:t>
            </w:r>
          </w:p>
        </w:tc>
        <w:tc>
          <w:tcPr>
            <w:tcW w:w="999" w:type="pct"/>
            <w:tcBorders>
              <w:tl2br w:val="nil"/>
              <w:tr2bl w:val="nil"/>
            </w:tcBorders>
            <w:shd w:val="clear" w:color="auto" w:fill="auto"/>
            <w:vAlign w:val="center"/>
          </w:tcPr>
          <w:p w14:paraId="46301C3F">
            <w:pPr>
              <w:widowControl/>
              <w:spacing w:line="240" w:lineRule="auto"/>
              <w:ind w:firstLine="0" w:firstLineChars="0"/>
              <w:jc w:val="center"/>
              <w:textAlignment w:val="center"/>
              <w:rPr>
                <w:color w:val="auto"/>
                <w:sz w:val="21"/>
                <w:szCs w:val="21"/>
                <w:lang w:bidi="ar"/>
              </w:rPr>
            </w:pPr>
            <w:r>
              <w:rPr>
                <w:color w:val="auto"/>
                <w:sz w:val="21"/>
                <w:szCs w:val="21"/>
                <w:lang w:bidi="ar"/>
              </w:rPr>
              <w:t>公用设施用地</w:t>
            </w:r>
          </w:p>
        </w:tc>
        <w:tc>
          <w:tcPr>
            <w:tcW w:w="1649" w:type="dxa"/>
            <w:tcBorders>
              <w:tl2br w:val="nil"/>
              <w:tr2bl w:val="nil"/>
            </w:tcBorders>
            <w:shd w:val="clear" w:color="auto" w:fill="auto"/>
            <w:vAlign w:val="center"/>
          </w:tcPr>
          <w:p w14:paraId="68FA5F24">
            <w:pPr>
              <w:widowControl/>
              <w:spacing w:line="240" w:lineRule="auto"/>
              <w:ind w:firstLine="0" w:firstLineChars="0"/>
              <w:jc w:val="center"/>
              <w:textAlignment w:val="center"/>
              <w:rPr>
                <w:color w:val="auto"/>
                <w:sz w:val="21"/>
                <w:szCs w:val="21"/>
                <w:lang w:bidi="ar"/>
              </w:rPr>
            </w:pPr>
            <w:r>
              <w:rPr>
                <w:color w:val="auto"/>
                <w:sz w:val="21"/>
                <w:szCs w:val="21"/>
                <w:lang w:bidi="ar"/>
              </w:rPr>
              <w:t>17.74</w:t>
            </w:r>
          </w:p>
        </w:tc>
        <w:tc>
          <w:tcPr>
            <w:tcW w:w="1571" w:type="dxa"/>
            <w:tcBorders>
              <w:tl2br w:val="nil"/>
              <w:tr2bl w:val="nil"/>
            </w:tcBorders>
            <w:shd w:val="clear" w:color="auto" w:fill="auto"/>
            <w:vAlign w:val="center"/>
          </w:tcPr>
          <w:p w14:paraId="0E6F4F56">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1510" w:type="dxa"/>
            <w:tcBorders>
              <w:tl2br w:val="nil"/>
              <w:tr2bl w:val="nil"/>
            </w:tcBorders>
            <w:shd w:val="clear" w:color="auto" w:fill="auto"/>
            <w:vAlign w:val="center"/>
          </w:tcPr>
          <w:p w14:paraId="69140F7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0.06 </w:t>
            </w:r>
          </w:p>
        </w:tc>
        <w:tc>
          <w:tcPr>
            <w:tcW w:w="1678" w:type="dxa"/>
            <w:tcBorders>
              <w:tl2br w:val="nil"/>
              <w:tr2bl w:val="nil"/>
            </w:tcBorders>
            <w:shd w:val="clear" w:color="auto" w:fill="auto"/>
            <w:vAlign w:val="center"/>
          </w:tcPr>
          <w:p w14:paraId="6811A9E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0.05 </w:t>
            </w:r>
          </w:p>
        </w:tc>
      </w:tr>
      <w:tr w14:paraId="319BF3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34370081">
            <w:pPr>
              <w:widowControl/>
              <w:spacing w:line="240" w:lineRule="auto"/>
              <w:ind w:firstLine="0" w:firstLineChars="0"/>
              <w:jc w:val="center"/>
              <w:textAlignment w:val="center"/>
              <w:rPr>
                <w:color w:val="auto"/>
                <w:sz w:val="21"/>
                <w:szCs w:val="21"/>
                <w:lang w:bidi="ar"/>
              </w:rPr>
            </w:pPr>
            <w:r>
              <w:rPr>
                <w:color w:val="auto"/>
                <w:sz w:val="21"/>
                <w:szCs w:val="21"/>
                <w:lang w:bidi="ar"/>
              </w:rPr>
              <w:t>8</w:t>
            </w:r>
          </w:p>
        </w:tc>
        <w:tc>
          <w:tcPr>
            <w:tcW w:w="999" w:type="pct"/>
            <w:tcBorders>
              <w:tl2br w:val="nil"/>
              <w:tr2bl w:val="nil"/>
            </w:tcBorders>
            <w:shd w:val="clear" w:color="auto" w:fill="auto"/>
            <w:vAlign w:val="center"/>
          </w:tcPr>
          <w:p w14:paraId="20BA8EAC">
            <w:pPr>
              <w:widowControl/>
              <w:spacing w:line="240" w:lineRule="auto"/>
              <w:ind w:firstLine="0" w:firstLineChars="0"/>
              <w:jc w:val="center"/>
              <w:textAlignment w:val="center"/>
              <w:rPr>
                <w:color w:val="auto"/>
                <w:sz w:val="21"/>
                <w:szCs w:val="21"/>
                <w:lang w:bidi="ar"/>
              </w:rPr>
            </w:pPr>
            <w:r>
              <w:rPr>
                <w:color w:val="auto"/>
                <w:sz w:val="21"/>
                <w:szCs w:val="21"/>
                <w:lang w:bidi="ar"/>
              </w:rPr>
              <w:t>绿地</w:t>
            </w:r>
          </w:p>
        </w:tc>
        <w:tc>
          <w:tcPr>
            <w:tcW w:w="1649" w:type="dxa"/>
            <w:tcBorders>
              <w:tl2br w:val="nil"/>
              <w:tr2bl w:val="nil"/>
            </w:tcBorders>
            <w:shd w:val="clear" w:color="auto" w:fill="auto"/>
            <w:vAlign w:val="center"/>
          </w:tcPr>
          <w:p w14:paraId="77895342">
            <w:pPr>
              <w:widowControl/>
              <w:spacing w:line="240" w:lineRule="auto"/>
              <w:ind w:firstLine="0" w:firstLineChars="0"/>
              <w:jc w:val="center"/>
              <w:textAlignment w:val="center"/>
              <w:rPr>
                <w:color w:val="auto"/>
                <w:sz w:val="21"/>
                <w:szCs w:val="21"/>
                <w:lang w:bidi="ar"/>
              </w:rPr>
            </w:pPr>
            <w:r>
              <w:rPr>
                <w:color w:val="auto"/>
                <w:sz w:val="21"/>
                <w:szCs w:val="21"/>
                <w:lang w:bidi="ar"/>
              </w:rPr>
              <w:t>79.96</w:t>
            </w:r>
          </w:p>
        </w:tc>
        <w:tc>
          <w:tcPr>
            <w:tcW w:w="1571" w:type="dxa"/>
            <w:tcBorders>
              <w:tl2br w:val="nil"/>
              <w:tr2bl w:val="nil"/>
            </w:tcBorders>
            <w:shd w:val="clear" w:color="auto" w:fill="auto"/>
            <w:vAlign w:val="center"/>
          </w:tcPr>
          <w:p w14:paraId="0FF425BC">
            <w:pPr>
              <w:widowControl/>
              <w:spacing w:line="240" w:lineRule="auto"/>
              <w:ind w:firstLine="0" w:firstLineChars="0"/>
              <w:jc w:val="center"/>
              <w:textAlignment w:val="center"/>
              <w:rPr>
                <w:color w:val="auto"/>
                <w:sz w:val="21"/>
                <w:szCs w:val="21"/>
                <w:lang w:bidi="ar"/>
              </w:rPr>
            </w:pPr>
            <w:r>
              <w:rPr>
                <w:color w:val="auto"/>
                <w:sz w:val="21"/>
                <w:szCs w:val="21"/>
                <w:lang w:bidi="ar"/>
              </w:rPr>
              <w:t>20</w:t>
            </w:r>
          </w:p>
        </w:tc>
        <w:tc>
          <w:tcPr>
            <w:tcW w:w="1510" w:type="dxa"/>
            <w:tcBorders>
              <w:tl2br w:val="nil"/>
              <w:tr2bl w:val="nil"/>
            </w:tcBorders>
            <w:shd w:val="clear" w:color="auto" w:fill="auto"/>
            <w:vAlign w:val="center"/>
          </w:tcPr>
          <w:p w14:paraId="55C0101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0.16 </w:t>
            </w:r>
          </w:p>
        </w:tc>
        <w:tc>
          <w:tcPr>
            <w:tcW w:w="1678" w:type="dxa"/>
            <w:tcBorders>
              <w:tl2br w:val="nil"/>
              <w:tr2bl w:val="nil"/>
            </w:tcBorders>
            <w:shd w:val="clear" w:color="auto" w:fill="auto"/>
            <w:vAlign w:val="center"/>
          </w:tcPr>
          <w:p w14:paraId="16F20C2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0.13 </w:t>
            </w:r>
          </w:p>
        </w:tc>
      </w:tr>
      <w:tr w14:paraId="322474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shd w:val="clear" w:color="auto" w:fill="auto"/>
            <w:vAlign w:val="center"/>
          </w:tcPr>
          <w:p w14:paraId="169EF5F9">
            <w:pPr>
              <w:widowControl/>
              <w:spacing w:line="240" w:lineRule="auto"/>
              <w:ind w:firstLine="0" w:firstLineChars="0"/>
              <w:jc w:val="center"/>
              <w:textAlignment w:val="center"/>
              <w:rPr>
                <w:color w:val="auto"/>
                <w:sz w:val="21"/>
                <w:szCs w:val="21"/>
                <w:lang w:bidi="ar"/>
              </w:rPr>
            </w:pPr>
            <w:r>
              <w:rPr>
                <w:color w:val="auto"/>
                <w:sz w:val="21"/>
                <w:szCs w:val="21"/>
                <w:lang w:bidi="ar"/>
              </w:rPr>
              <w:t>9</w:t>
            </w:r>
          </w:p>
        </w:tc>
        <w:tc>
          <w:tcPr>
            <w:tcW w:w="999" w:type="pct"/>
            <w:tcBorders>
              <w:tl2br w:val="nil"/>
              <w:tr2bl w:val="nil"/>
            </w:tcBorders>
            <w:shd w:val="clear" w:color="auto" w:fill="auto"/>
            <w:vAlign w:val="center"/>
          </w:tcPr>
          <w:p w14:paraId="63571ECC">
            <w:pPr>
              <w:widowControl/>
              <w:spacing w:line="240" w:lineRule="auto"/>
              <w:ind w:firstLine="0" w:firstLineChars="0"/>
              <w:jc w:val="center"/>
              <w:textAlignment w:val="center"/>
              <w:rPr>
                <w:color w:val="auto"/>
                <w:sz w:val="21"/>
                <w:szCs w:val="21"/>
                <w:lang w:bidi="ar"/>
              </w:rPr>
            </w:pPr>
            <w:r>
              <w:rPr>
                <w:color w:val="auto"/>
                <w:sz w:val="21"/>
                <w:szCs w:val="21"/>
                <w:lang w:bidi="ar"/>
              </w:rPr>
              <w:t>总计</w:t>
            </w:r>
          </w:p>
        </w:tc>
        <w:tc>
          <w:tcPr>
            <w:tcW w:w="1649" w:type="dxa"/>
            <w:tcBorders>
              <w:tl2br w:val="nil"/>
              <w:tr2bl w:val="nil"/>
            </w:tcBorders>
            <w:shd w:val="clear" w:color="auto" w:fill="auto"/>
            <w:vAlign w:val="center"/>
          </w:tcPr>
          <w:p w14:paraId="6CD7E095">
            <w:pPr>
              <w:widowControl/>
              <w:spacing w:line="240" w:lineRule="auto"/>
              <w:ind w:firstLine="0" w:firstLineChars="0"/>
              <w:jc w:val="center"/>
              <w:textAlignment w:val="center"/>
              <w:rPr>
                <w:color w:val="auto"/>
                <w:sz w:val="21"/>
                <w:szCs w:val="21"/>
                <w:lang w:bidi="ar"/>
              </w:rPr>
            </w:pPr>
          </w:p>
        </w:tc>
        <w:tc>
          <w:tcPr>
            <w:tcW w:w="1571" w:type="dxa"/>
            <w:tcBorders>
              <w:tl2br w:val="nil"/>
              <w:tr2bl w:val="nil"/>
            </w:tcBorders>
            <w:shd w:val="clear" w:color="auto" w:fill="auto"/>
            <w:vAlign w:val="center"/>
          </w:tcPr>
          <w:p w14:paraId="1360E5C0">
            <w:pPr>
              <w:widowControl/>
              <w:spacing w:line="240" w:lineRule="auto"/>
              <w:ind w:firstLine="0" w:firstLineChars="0"/>
              <w:jc w:val="center"/>
              <w:textAlignment w:val="center"/>
              <w:rPr>
                <w:color w:val="auto"/>
                <w:sz w:val="21"/>
                <w:szCs w:val="21"/>
                <w:lang w:bidi="ar"/>
              </w:rPr>
            </w:pPr>
          </w:p>
        </w:tc>
        <w:tc>
          <w:tcPr>
            <w:tcW w:w="1510" w:type="dxa"/>
            <w:tcBorders>
              <w:tl2br w:val="nil"/>
              <w:tr2bl w:val="nil"/>
            </w:tcBorders>
            <w:shd w:val="clear" w:color="auto" w:fill="auto"/>
            <w:vAlign w:val="center"/>
          </w:tcPr>
          <w:p w14:paraId="3261D8F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4.34 </w:t>
            </w:r>
          </w:p>
        </w:tc>
        <w:tc>
          <w:tcPr>
            <w:tcW w:w="1678" w:type="dxa"/>
            <w:tcBorders>
              <w:tl2br w:val="nil"/>
              <w:tr2bl w:val="nil"/>
            </w:tcBorders>
            <w:shd w:val="clear" w:color="auto" w:fill="auto"/>
            <w:vAlign w:val="center"/>
          </w:tcPr>
          <w:p w14:paraId="4E4DE2A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3.62 </w:t>
            </w:r>
          </w:p>
        </w:tc>
      </w:tr>
    </w:tbl>
    <w:p w14:paraId="31AEC55D">
      <w:pPr>
        <w:pStyle w:val="5"/>
        <w:numPr>
          <w:ilvl w:val="0"/>
          <w:numId w:val="0"/>
        </w:numPr>
        <w:spacing w:before="0" w:beforeLines="0" w:after="0" w:afterLines="0"/>
        <w:ind w:firstLine="482" w:firstLineChars="200"/>
        <w:rPr>
          <w:color w:val="auto"/>
          <w:sz w:val="24"/>
          <w:szCs w:val="24"/>
        </w:rPr>
      </w:pPr>
      <w:r>
        <w:rPr>
          <w:color w:val="auto"/>
          <w:sz w:val="24"/>
          <w:szCs w:val="24"/>
        </w:rPr>
        <w:t>3、需水预测成果的选择</w:t>
      </w:r>
    </w:p>
    <w:p w14:paraId="4BE7B7A1">
      <w:pPr>
        <w:spacing w:line="480" w:lineRule="exact"/>
        <w:ind w:firstLine="480"/>
        <w:rPr>
          <w:rFonts w:eastAsiaTheme="minorEastAsia"/>
          <w:color w:val="auto"/>
          <w:kern w:val="0"/>
        </w:rPr>
      </w:pPr>
      <w:r>
        <w:rPr>
          <w:color w:val="auto"/>
        </w:rPr>
        <w:t>如前所述，采用</w:t>
      </w:r>
      <w:r>
        <w:rPr>
          <w:color w:val="auto"/>
          <w:kern w:val="0"/>
        </w:rPr>
        <w:t>分类指标法</w:t>
      </w:r>
      <w:r>
        <w:rPr>
          <w:color w:val="auto"/>
        </w:rPr>
        <w:t>、</w:t>
      </w:r>
      <w:r>
        <w:rPr>
          <w:color w:val="auto"/>
          <w:kern w:val="0"/>
        </w:rPr>
        <w:t>用地指标法预测的园区需水成果接近。由于不同类别用地用水量指标法用水标准范围相差较大，存在较多不确定性因素，最终采用分类用水指标法预测成果</w:t>
      </w:r>
      <w:r>
        <w:rPr>
          <w:color w:val="auto"/>
        </w:rPr>
        <w:t>。</w:t>
      </w:r>
    </w:p>
    <w:p w14:paraId="5AB910FB">
      <w:pPr>
        <w:ind w:firstLine="0" w:firstLineChars="0"/>
        <w:jc w:val="left"/>
        <w:rPr>
          <w:b/>
          <w:color w:val="auto"/>
        </w:rPr>
      </w:pPr>
      <w:r>
        <w:rPr>
          <w:b/>
          <w:color w:val="auto"/>
        </w:rPr>
        <w:t>表4.3-8                    需水预测成果对比表</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278"/>
        <w:gridCol w:w="2278"/>
        <w:gridCol w:w="2278"/>
        <w:gridCol w:w="2278"/>
      </w:tblGrid>
      <w:tr w14:paraId="7A3D99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tcBorders>
              <w:tl2br w:val="nil"/>
              <w:tr2bl w:val="nil"/>
            </w:tcBorders>
            <w:shd w:val="clear" w:color="auto" w:fill="auto"/>
            <w:vAlign w:val="center"/>
          </w:tcPr>
          <w:p w14:paraId="6593073E">
            <w:pPr>
              <w:widowControl/>
              <w:spacing w:line="240" w:lineRule="auto"/>
              <w:ind w:firstLine="0" w:firstLineChars="0"/>
              <w:jc w:val="center"/>
              <w:textAlignment w:val="center"/>
              <w:rPr>
                <w:color w:val="auto"/>
                <w:sz w:val="21"/>
                <w:szCs w:val="21"/>
                <w:lang w:bidi="ar"/>
              </w:rPr>
            </w:pPr>
            <w:r>
              <w:rPr>
                <w:color w:val="auto"/>
                <w:sz w:val="21"/>
                <w:szCs w:val="21"/>
                <w:lang w:bidi="ar"/>
              </w:rPr>
              <w:t>序号</w:t>
            </w:r>
          </w:p>
        </w:tc>
        <w:tc>
          <w:tcPr>
            <w:tcW w:w="1250" w:type="pct"/>
            <w:tcBorders>
              <w:tl2br w:val="nil"/>
              <w:tr2bl w:val="nil"/>
            </w:tcBorders>
            <w:shd w:val="clear" w:color="auto" w:fill="auto"/>
            <w:vAlign w:val="center"/>
          </w:tcPr>
          <w:p w14:paraId="66CDE7C6">
            <w:pPr>
              <w:widowControl/>
              <w:spacing w:line="240" w:lineRule="auto"/>
              <w:ind w:firstLine="0" w:firstLineChars="0"/>
              <w:jc w:val="center"/>
              <w:textAlignment w:val="center"/>
              <w:rPr>
                <w:color w:val="auto"/>
                <w:sz w:val="21"/>
                <w:szCs w:val="21"/>
                <w:lang w:bidi="ar"/>
              </w:rPr>
            </w:pPr>
            <w:r>
              <w:rPr>
                <w:color w:val="auto"/>
                <w:sz w:val="21"/>
                <w:szCs w:val="21"/>
                <w:lang w:bidi="ar"/>
              </w:rPr>
              <w:t>分类指标法（万m</w:t>
            </w:r>
            <w:r>
              <w:rPr>
                <w:color w:val="auto"/>
                <w:sz w:val="21"/>
                <w:szCs w:val="21"/>
                <w:vertAlign w:val="superscript"/>
                <w:lang w:bidi="ar"/>
              </w:rPr>
              <w:t>3</w:t>
            </w:r>
            <w:r>
              <w:rPr>
                <w:color w:val="auto"/>
                <w:sz w:val="21"/>
                <w:szCs w:val="21"/>
                <w:lang w:bidi="ar"/>
              </w:rPr>
              <w:t>/d）</w:t>
            </w:r>
          </w:p>
        </w:tc>
        <w:tc>
          <w:tcPr>
            <w:tcW w:w="1250" w:type="pct"/>
            <w:tcBorders>
              <w:tl2br w:val="nil"/>
              <w:tr2bl w:val="nil"/>
            </w:tcBorders>
            <w:shd w:val="clear" w:color="auto" w:fill="auto"/>
            <w:vAlign w:val="center"/>
          </w:tcPr>
          <w:p w14:paraId="437AAB2D">
            <w:pPr>
              <w:widowControl/>
              <w:spacing w:line="240" w:lineRule="auto"/>
              <w:ind w:firstLine="0" w:firstLineChars="0"/>
              <w:jc w:val="center"/>
              <w:textAlignment w:val="center"/>
              <w:rPr>
                <w:color w:val="auto"/>
                <w:sz w:val="21"/>
                <w:szCs w:val="21"/>
                <w:lang w:bidi="ar"/>
              </w:rPr>
            </w:pPr>
            <w:r>
              <w:rPr>
                <w:color w:val="auto"/>
                <w:sz w:val="21"/>
                <w:szCs w:val="21"/>
                <w:lang w:bidi="ar"/>
              </w:rPr>
              <w:t>用地指标法（万m</w:t>
            </w:r>
            <w:r>
              <w:rPr>
                <w:color w:val="auto"/>
                <w:sz w:val="21"/>
                <w:szCs w:val="21"/>
                <w:vertAlign w:val="superscript"/>
                <w:lang w:bidi="ar"/>
              </w:rPr>
              <w:t>3</w:t>
            </w:r>
            <w:r>
              <w:rPr>
                <w:color w:val="auto"/>
                <w:sz w:val="21"/>
                <w:szCs w:val="21"/>
                <w:lang w:bidi="ar"/>
              </w:rPr>
              <w:t>/d）</w:t>
            </w:r>
          </w:p>
        </w:tc>
        <w:tc>
          <w:tcPr>
            <w:tcW w:w="1250" w:type="pct"/>
            <w:tcBorders>
              <w:tl2br w:val="nil"/>
              <w:tr2bl w:val="nil"/>
            </w:tcBorders>
            <w:shd w:val="clear" w:color="auto" w:fill="auto"/>
            <w:vAlign w:val="center"/>
          </w:tcPr>
          <w:p w14:paraId="0EAE8667">
            <w:pPr>
              <w:widowControl/>
              <w:spacing w:line="240" w:lineRule="auto"/>
              <w:ind w:firstLine="0" w:firstLineChars="0"/>
              <w:jc w:val="center"/>
              <w:textAlignment w:val="center"/>
              <w:rPr>
                <w:color w:val="auto"/>
                <w:sz w:val="21"/>
                <w:szCs w:val="21"/>
                <w:lang w:bidi="ar"/>
              </w:rPr>
            </w:pPr>
            <w:r>
              <w:rPr>
                <w:color w:val="auto"/>
                <w:sz w:val="21"/>
                <w:szCs w:val="21"/>
                <w:lang w:bidi="ar"/>
              </w:rPr>
              <w:t>备注</w:t>
            </w:r>
          </w:p>
        </w:tc>
      </w:tr>
      <w:tr w14:paraId="2BF54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tcBorders>
              <w:tl2br w:val="nil"/>
              <w:tr2bl w:val="nil"/>
            </w:tcBorders>
            <w:shd w:val="clear" w:color="auto" w:fill="auto"/>
            <w:vAlign w:val="center"/>
          </w:tcPr>
          <w:p w14:paraId="17CC76E3">
            <w:pPr>
              <w:widowControl/>
              <w:spacing w:line="240" w:lineRule="auto"/>
              <w:ind w:firstLine="0" w:firstLineChars="0"/>
              <w:jc w:val="center"/>
              <w:textAlignment w:val="center"/>
              <w:rPr>
                <w:color w:val="auto"/>
                <w:sz w:val="21"/>
                <w:szCs w:val="21"/>
                <w:lang w:bidi="ar"/>
              </w:rPr>
            </w:pPr>
            <w:r>
              <w:rPr>
                <w:color w:val="auto"/>
                <w:sz w:val="21"/>
                <w:szCs w:val="21"/>
                <w:lang w:bidi="ar"/>
              </w:rPr>
              <w:t>A区</w:t>
            </w:r>
          </w:p>
        </w:tc>
        <w:tc>
          <w:tcPr>
            <w:tcW w:w="1250" w:type="pct"/>
            <w:tcBorders>
              <w:tl2br w:val="nil"/>
              <w:tr2bl w:val="nil"/>
            </w:tcBorders>
            <w:shd w:val="clear" w:color="auto" w:fill="auto"/>
            <w:vAlign w:val="center"/>
          </w:tcPr>
          <w:p w14:paraId="47B22056">
            <w:pPr>
              <w:widowControl/>
              <w:spacing w:line="240" w:lineRule="auto"/>
              <w:ind w:firstLine="0" w:firstLineChars="0"/>
              <w:jc w:val="center"/>
              <w:textAlignment w:val="center"/>
              <w:rPr>
                <w:color w:val="auto"/>
                <w:sz w:val="21"/>
                <w:szCs w:val="21"/>
                <w:lang w:bidi="ar"/>
              </w:rPr>
            </w:pPr>
            <w:r>
              <w:rPr>
                <w:color w:val="auto"/>
                <w:sz w:val="21"/>
                <w:szCs w:val="21"/>
                <w:lang w:bidi="ar"/>
              </w:rPr>
              <w:t>1.59</w:t>
            </w:r>
          </w:p>
        </w:tc>
        <w:tc>
          <w:tcPr>
            <w:tcW w:w="1250" w:type="pct"/>
            <w:tcBorders>
              <w:tl2br w:val="nil"/>
              <w:tr2bl w:val="nil"/>
            </w:tcBorders>
            <w:shd w:val="clear" w:color="auto" w:fill="auto"/>
            <w:vAlign w:val="center"/>
          </w:tcPr>
          <w:p w14:paraId="187EC6BD">
            <w:pPr>
              <w:widowControl/>
              <w:spacing w:line="240" w:lineRule="auto"/>
              <w:ind w:firstLine="0" w:firstLineChars="0"/>
              <w:jc w:val="center"/>
              <w:textAlignment w:val="center"/>
              <w:rPr>
                <w:color w:val="auto"/>
                <w:sz w:val="21"/>
                <w:szCs w:val="21"/>
                <w:lang w:bidi="ar"/>
              </w:rPr>
            </w:pPr>
            <w:r>
              <w:rPr>
                <w:color w:val="auto"/>
                <w:sz w:val="21"/>
                <w:szCs w:val="21"/>
                <w:lang w:bidi="ar"/>
              </w:rPr>
              <w:t>1.60</w:t>
            </w:r>
          </w:p>
        </w:tc>
        <w:tc>
          <w:tcPr>
            <w:tcW w:w="1250" w:type="pct"/>
            <w:tcBorders>
              <w:tl2br w:val="nil"/>
              <w:tr2bl w:val="nil"/>
            </w:tcBorders>
            <w:shd w:val="clear" w:color="auto" w:fill="auto"/>
            <w:vAlign w:val="center"/>
          </w:tcPr>
          <w:p w14:paraId="11C10C68">
            <w:pPr>
              <w:widowControl/>
              <w:spacing w:line="240" w:lineRule="auto"/>
              <w:ind w:firstLine="0" w:firstLineChars="0"/>
              <w:jc w:val="center"/>
              <w:textAlignment w:val="center"/>
              <w:rPr>
                <w:color w:val="auto"/>
                <w:sz w:val="21"/>
                <w:szCs w:val="21"/>
                <w:lang w:bidi="ar"/>
              </w:rPr>
            </w:pPr>
          </w:p>
        </w:tc>
      </w:tr>
      <w:tr w14:paraId="23A55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tcBorders>
              <w:tl2br w:val="nil"/>
              <w:tr2bl w:val="nil"/>
            </w:tcBorders>
            <w:shd w:val="clear" w:color="auto" w:fill="auto"/>
            <w:vAlign w:val="center"/>
          </w:tcPr>
          <w:p w14:paraId="3DD458F0">
            <w:pPr>
              <w:widowControl/>
              <w:spacing w:line="240" w:lineRule="auto"/>
              <w:ind w:firstLine="0" w:firstLineChars="0"/>
              <w:jc w:val="center"/>
              <w:textAlignment w:val="center"/>
              <w:rPr>
                <w:color w:val="auto"/>
                <w:sz w:val="21"/>
                <w:szCs w:val="21"/>
                <w:lang w:bidi="ar"/>
              </w:rPr>
            </w:pPr>
            <w:r>
              <w:rPr>
                <w:color w:val="auto"/>
                <w:sz w:val="21"/>
                <w:szCs w:val="21"/>
                <w:lang w:bidi="ar"/>
              </w:rPr>
              <w:t>B区</w:t>
            </w:r>
          </w:p>
        </w:tc>
        <w:tc>
          <w:tcPr>
            <w:tcW w:w="1250" w:type="pct"/>
            <w:tcBorders>
              <w:tl2br w:val="nil"/>
              <w:tr2bl w:val="nil"/>
            </w:tcBorders>
            <w:shd w:val="clear" w:color="auto" w:fill="auto"/>
            <w:vAlign w:val="center"/>
          </w:tcPr>
          <w:p w14:paraId="09B3649D">
            <w:pPr>
              <w:widowControl/>
              <w:spacing w:line="240" w:lineRule="auto"/>
              <w:ind w:firstLine="0" w:firstLineChars="0"/>
              <w:jc w:val="center"/>
              <w:textAlignment w:val="center"/>
              <w:rPr>
                <w:color w:val="auto"/>
                <w:sz w:val="21"/>
                <w:szCs w:val="21"/>
                <w:lang w:bidi="ar"/>
              </w:rPr>
            </w:pPr>
            <w:r>
              <w:rPr>
                <w:color w:val="auto"/>
                <w:sz w:val="21"/>
                <w:szCs w:val="21"/>
                <w:lang w:bidi="ar"/>
              </w:rPr>
              <w:t>4.85</w:t>
            </w:r>
          </w:p>
        </w:tc>
        <w:tc>
          <w:tcPr>
            <w:tcW w:w="1250" w:type="pct"/>
            <w:tcBorders>
              <w:tl2br w:val="nil"/>
              <w:tr2bl w:val="nil"/>
            </w:tcBorders>
            <w:shd w:val="clear" w:color="auto" w:fill="auto"/>
            <w:vAlign w:val="center"/>
          </w:tcPr>
          <w:p w14:paraId="1B7B7056">
            <w:pPr>
              <w:widowControl/>
              <w:spacing w:line="240" w:lineRule="auto"/>
              <w:ind w:firstLine="0" w:firstLineChars="0"/>
              <w:jc w:val="center"/>
              <w:textAlignment w:val="center"/>
              <w:rPr>
                <w:color w:val="auto"/>
                <w:sz w:val="21"/>
                <w:szCs w:val="21"/>
                <w:lang w:bidi="ar"/>
              </w:rPr>
            </w:pPr>
            <w:r>
              <w:rPr>
                <w:color w:val="auto"/>
                <w:sz w:val="21"/>
                <w:szCs w:val="21"/>
                <w:lang w:bidi="ar"/>
              </w:rPr>
              <w:t>4.63</w:t>
            </w:r>
          </w:p>
        </w:tc>
        <w:tc>
          <w:tcPr>
            <w:tcW w:w="1250" w:type="pct"/>
            <w:tcBorders>
              <w:tl2br w:val="nil"/>
              <w:tr2bl w:val="nil"/>
            </w:tcBorders>
            <w:shd w:val="clear" w:color="auto" w:fill="auto"/>
            <w:vAlign w:val="center"/>
          </w:tcPr>
          <w:p w14:paraId="0B81DE17">
            <w:pPr>
              <w:widowControl/>
              <w:spacing w:line="240" w:lineRule="auto"/>
              <w:ind w:firstLine="0" w:firstLineChars="0"/>
              <w:jc w:val="center"/>
              <w:textAlignment w:val="center"/>
              <w:rPr>
                <w:color w:val="auto"/>
                <w:sz w:val="21"/>
                <w:szCs w:val="21"/>
                <w:lang w:bidi="ar"/>
              </w:rPr>
            </w:pPr>
          </w:p>
        </w:tc>
      </w:tr>
      <w:tr w14:paraId="7DE44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tcBorders>
              <w:tl2br w:val="nil"/>
              <w:tr2bl w:val="nil"/>
            </w:tcBorders>
            <w:shd w:val="clear" w:color="auto" w:fill="auto"/>
            <w:vAlign w:val="center"/>
          </w:tcPr>
          <w:p w14:paraId="0E948B32">
            <w:pPr>
              <w:widowControl/>
              <w:spacing w:line="240" w:lineRule="auto"/>
              <w:ind w:firstLine="0" w:firstLineChars="0"/>
              <w:jc w:val="center"/>
              <w:textAlignment w:val="center"/>
              <w:rPr>
                <w:color w:val="auto"/>
                <w:sz w:val="21"/>
                <w:szCs w:val="21"/>
                <w:lang w:bidi="ar"/>
              </w:rPr>
            </w:pPr>
            <w:r>
              <w:rPr>
                <w:color w:val="auto"/>
                <w:sz w:val="21"/>
                <w:szCs w:val="21"/>
                <w:lang w:bidi="ar"/>
              </w:rPr>
              <w:t>C区</w:t>
            </w:r>
          </w:p>
        </w:tc>
        <w:tc>
          <w:tcPr>
            <w:tcW w:w="1250" w:type="pct"/>
            <w:tcBorders>
              <w:tl2br w:val="nil"/>
              <w:tr2bl w:val="nil"/>
            </w:tcBorders>
            <w:shd w:val="clear" w:color="auto" w:fill="auto"/>
            <w:vAlign w:val="center"/>
          </w:tcPr>
          <w:p w14:paraId="788669F1">
            <w:pPr>
              <w:widowControl/>
              <w:spacing w:line="240" w:lineRule="auto"/>
              <w:ind w:firstLine="0" w:firstLineChars="0"/>
              <w:jc w:val="center"/>
              <w:textAlignment w:val="center"/>
              <w:rPr>
                <w:color w:val="auto"/>
                <w:sz w:val="21"/>
                <w:szCs w:val="21"/>
                <w:lang w:bidi="ar"/>
              </w:rPr>
            </w:pPr>
            <w:r>
              <w:rPr>
                <w:color w:val="auto"/>
                <w:sz w:val="21"/>
                <w:szCs w:val="21"/>
                <w:lang w:bidi="ar"/>
              </w:rPr>
              <w:t>3.66</w:t>
            </w:r>
          </w:p>
        </w:tc>
        <w:tc>
          <w:tcPr>
            <w:tcW w:w="1250" w:type="pct"/>
            <w:tcBorders>
              <w:tl2br w:val="nil"/>
              <w:tr2bl w:val="nil"/>
            </w:tcBorders>
            <w:shd w:val="clear" w:color="auto" w:fill="auto"/>
            <w:vAlign w:val="center"/>
          </w:tcPr>
          <w:p w14:paraId="37E2DCE0">
            <w:pPr>
              <w:widowControl/>
              <w:spacing w:line="240" w:lineRule="auto"/>
              <w:ind w:firstLine="0" w:firstLineChars="0"/>
              <w:jc w:val="center"/>
              <w:textAlignment w:val="center"/>
              <w:rPr>
                <w:color w:val="auto"/>
                <w:sz w:val="21"/>
                <w:szCs w:val="21"/>
                <w:lang w:bidi="ar"/>
              </w:rPr>
            </w:pPr>
            <w:r>
              <w:rPr>
                <w:color w:val="auto"/>
                <w:sz w:val="21"/>
                <w:szCs w:val="21"/>
                <w:lang w:bidi="ar"/>
              </w:rPr>
              <w:t>3.62</w:t>
            </w:r>
          </w:p>
        </w:tc>
        <w:tc>
          <w:tcPr>
            <w:tcW w:w="1250" w:type="pct"/>
            <w:tcBorders>
              <w:tl2br w:val="nil"/>
              <w:tr2bl w:val="nil"/>
            </w:tcBorders>
            <w:shd w:val="clear" w:color="auto" w:fill="auto"/>
            <w:vAlign w:val="center"/>
          </w:tcPr>
          <w:p w14:paraId="2F1D19E2">
            <w:pPr>
              <w:widowControl/>
              <w:spacing w:line="240" w:lineRule="auto"/>
              <w:ind w:firstLine="0" w:firstLineChars="0"/>
              <w:jc w:val="center"/>
              <w:textAlignment w:val="center"/>
              <w:rPr>
                <w:color w:val="auto"/>
                <w:sz w:val="21"/>
                <w:szCs w:val="21"/>
                <w:lang w:bidi="ar"/>
              </w:rPr>
            </w:pPr>
          </w:p>
        </w:tc>
      </w:tr>
    </w:tbl>
    <w:p w14:paraId="4F3136C2">
      <w:pPr>
        <w:ind w:firstLine="480"/>
        <w:rPr>
          <w:color w:val="auto"/>
        </w:rPr>
      </w:pPr>
      <w:r>
        <w:rPr>
          <w:color w:val="auto"/>
        </w:rPr>
        <w:t>综上所述，九龙工业园区A、B、C区的需水量分别为1.59万m</w:t>
      </w:r>
      <w:r>
        <w:rPr>
          <w:color w:val="auto"/>
          <w:vertAlign w:val="superscript"/>
        </w:rPr>
        <w:t>3</w:t>
      </w:r>
      <w:r>
        <w:rPr>
          <w:color w:val="auto"/>
        </w:rPr>
        <w:t>/d、4.85万m</w:t>
      </w:r>
      <w:r>
        <w:rPr>
          <w:color w:val="auto"/>
          <w:vertAlign w:val="superscript"/>
        </w:rPr>
        <w:t>3</w:t>
      </w:r>
      <w:r>
        <w:rPr>
          <w:color w:val="auto"/>
        </w:rPr>
        <w:t>/d、3.66万m</w:t>
      </w:r>
      <w:r>
        <w:rPr>
          <w:color w:val="auto"/>
          <w:vertAlign w:val="superscript"/>
        </w:rPr>
        <w:t>3</w:t>
      </w:r>
      <w:r>
        <w:rPr>
          <w:color w:val="auto"/>
        </w:rPr>
        <w:t>/d万m</w:t>
      </w:r>
      <w:r>
        <w:rPr>
          <w:color w:val="auto"/>
          <w:vertAlign w:val="superscript"/>
        </w:rPr>
        <w:t>3</w:t>
      </w:r>
      <w:r>
        <w:rPr>
          <w:color w:val="auto"/>
        </w:rPr>
        <w:t>，合计总的需水量为10.10万m</w:t>
      </w:r>
      <w:r>
        <w:rPr>
          <w:color w:val="auto"/>
          <w:vertAlign w:val="superscript"/>
        </w:rPr>
        <w:t>3</w:t>
      </w:r>
      <w:r>
        <w:rPr>
          <w:color w:val="auto"/>
        </w:rPr>
        <w:t>/d万m</w:t>
      </w:r>
      <w:r>
        <w:rPr>
          <w:color w:val="auto"/>
          <w:vertAlign w:val="superscript"/>
        </w:rPr>
        <w:t>3</w:t>
      </w:r>
      <w:r>
        <w:rPr>
          <w:color w:val="auto"/>
        </w:rPr>
        <w:t>，即3685.95万m</w:t>
      </w:r>
      <w:r>
        <w:rPr>
          <w:color w:val="auto"/>
          <w:vertAlign w:val="superscript"/>
        </w:rPr>
        <w:t>3</w:t>
      </w:r>
      <w:r>
        <w:rPr>
          <w:color w:val="auto"/>
        </w:rPr>
        <w:t>。</w:t>
      </w:r>
    </w:p>
    <w:p w14:paraId="7A9F12D8">
      <w:pPr>
        <w:pStyle w:val="5"/>
        <w:numPr>
          <w:ilvl w:val="0"/>
          <w:numId w:val="0"/>
        </w:numPr>
        <w:spacing w:before="0" w:beforeLines="0" w:after="0" w:afterLines="0"/>
        <w:ind w:firstLine="482" w:firstLineChars="200"/>
        <w:rPr>
          <w:color w:val="auto"/>
          <w:sz w:val="24"/>
          <w:szCs w:val="24"/>
        </w:rPr>
      </w:pPr>
      <w:r>
        <w:rPr>
          <w:color w:val="auto"/>
          <w:sz w:val="24"/>
          <w:szCs w:val="24"/>
        </w:rPr>
        <w:t>4、需水结构</w:t>
      </w:r>
    </w:p>
    <w:p w14:paraId="47A4FE09">
      <w:pPr>
        <w:ind w:firstLine="480"/>
        <w:rPr>
          <w:color w:val="auto"/>
        </w:rPr>
      </w:pPr>
      <w:r>
        <w:rPr>
          <w:color w:val="auto"/>
        </w:rPr>
        <w:t>（1）园区需水结构</w:t>
      </w:r>
    </w:p>
    <w:p w14:paraId="7DBE2A39">
      <w:pPr>
        <w:ind w:firstLine="480"/>
        <w:rPr>
          <w:color w:val="auto"/>
        </w:rPr>
      </w:pPr>
      <w:r>
        <w:rPr>
          <w:color w:val="auto"/>
        </w:rPr>
        <w:t>至2025年，九龙工业园区年需水量为3685.95万m</w:t>
      </w:r>
      <w:r>
        <w:rPr>
          <w:color w:val="auto"/>
          <w:vertAlign w:val="superscript"/>
        </w:rPr>
        <w:t>3</w:t>
      </w:r>
      <w:r>
        <w:rPr>
          <w:color w:val="auto"/>
        </w:rPr>
        <w:t>，需水成果及构成见表4.3-9与图4.3-1。从表4.3-9可以看出，园区最大需水量为工业需水，占总需水量的48%，其次为生活用水，占总需水量的23%。</w:t>
      </w:r>
    </w:p>
    <w:p w14:paraId="71639B4A">
      <w:pPr>
        <w:ind w:firstLine="0" w:firstLineChars="0"/>
        <w:jc w:val="left"/>
        <w:rPr>
          <w:b/>
          <w:color w:val="auto"/>
        </w:rPr>
      </w:pPr>
      <w:r>
        <w:rPr>
          <w:b/>
          <w:color w:val="auto"/>
        </w:rPr>
        <w:t>表4.3-9                 九龙工业园区2025年需水组成情况表</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1301"/>
        <w:gridCol w:w="1301"/>
        <w:gridCol w:w="1301"/>
        <w:gridCol w:w="1301"/>
        <w:gridCol w:w="1301"/>
        <w:gridCol w:w="1306"/>
      </w:tblGrid>
      <w:tr w14:paraId="7AC5B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3" w:type="pct"/>
            <w:tcBorders>
              <w:tl2br w:val="nil"/>
              <w:tr2bl w:val="nil"/>
            </w:tcBorders>
            <w:shd w:val="clear" w:color="auto" w:fill="auto"/>
            <w:vAlign w:val="center"/>
          </w:tcPr>
          <w:p w14:paraId="128052F1">
            <w:pPr>
              <w:widowControl/>
              <w:spacing w:line="240" w:lineRule="auto"/>
              <w:ind w:firstLine="0" w:firstLineChars="0"/>
              <w:jc w:val="center"/>
              <w:textAlignment w:val="center"/>
              <w:rPr>
                <w:color w:val="auto"/>
                <w:sz w:val="21"/>
                <w:szCs w:val="21"/>
                <w:lang w:bidi="ar"/>
              </w:rPr>
            </w:pPr>
            <w:r>
              <w:rPr>
                <w:color w:val="auto"/>
                <w:sz w:val="21"/>
                <w:szCs w:val="21"/>
                <w:lang w:bidi="ar"/>
              </w:rPr>
              <w:t>需水</w:t>
            </w:r>
          </w:p>
          <w:p w14:paraId="37AAEE2F">
            <w:pPr>
              <w:widowControl/>
              <w:spacing w:line="240" w:lineRule="auto"/>
              <w:ind w:firstLine="0" w:firstLineChars="0"/>
              <w:jc w:val="center"/>
              <w:textAlignment w:val="center"/>
              <w:rPr>
                <w:color w:val="auto"/>
                <w:sz w:val="21"/>
                <w:szCs w:val="21"/>
                <w:lang w:bidi="ar"/>
              </w:rPr>
            </w:pPr>
            <w:r>
              <w:rPr>
                <w:color w:val="auto"/>
                <w:sz w:val="21"/>
                <w:szCs w:val="21"/>
                <w:lang w:bidi="ar"/>
              </w:rPr>
              <w:t>项目</w:t>
            </w:r>
          </w:p>
        </w:tc>
        <w:tc>
          <w:tcPr>
            <w:tcW w:w="713" w:type="pct"/>
            <w:tcBorders>
              <w:tl2br w:val="nil"/>
              <w:tr2bl w:val="nil"/>
            </w:tcBorders>
            <w:shd w:val="clear" w:color="auto" w:fill="auto"/>
            <w:vAlign w:val="center"/>
          </w:tcPr>
          <w:p w14:paraId="10C46556">
            <w:pPr>
              <w:widowControl/>
              <w:spacing w:line="240" w:lineRule="auto"/>
              <w:ind w:firstLine="0" w:firstLineChars="0"/>
              <w:jc w:val="center"/>
              <w:textAlignment w:val="center"/>
              <w:rPr>
                <w:color w:val="auto"/>
                <w:sz w:val="21"/>
                <w:szCs w:val="21"/>
                <w:lang w:bidi="ar"/>
              </w:rPr>
            </w:pPr>
            <w:r>
              <w:rPr>
                <w:color w:val="auto"/>
                <w:sz w:val="21"/>
                <w:szCs w:val="21"/>
                <w:lang w:bidi="ar"/>
              </w:rPr>
              <w:t>生活综合需水</w:t>
            </w:r>
          </w:p>
        </w:tc>
        <w:tc>
          <w:tcPr>
            <w:tcW w:w="713" w:type="pct"/>
            <w:tcBorders>
              <w:tl2br w:val="nil"/>
              <w:tr2bl w:val="nil"/>
            </w:tcBorders>
            <w:shd w:val="clear" w:color="auto" w:fill="auto"/>
            <w:vAlign w:val="center"/>
          </w:tcPr>
          <w:p w14:paraId="4947EA00">
            <w:pPr>
              <w:widowControl/>
              <w:spacing w:line="240" w:lineRule="auto"/>
              <w:ind w:firstLine="0" w:firstLineChars="0"/>
              <w:jc w:val="center"/>
              <w:textAlignment w:val="center"/>
              <w:rPr>
                <w:color w:val="auto"/>
                <w:sz w:val="21"/>
                <w:szCs w:val="21"/>
                <w:lang w:bidi="ar"/>
              </w:rPr>
            </w:pPr>
            <w:r>
              <w:rPr>
                <w:color w:val="auto"/>
                <w:sz w:val="21"/>
                <w:szCs w:val="21"/>
                <w:lang w:bidi="ar"/>
              </w:rPr>
              <w:t>工业</w:t>
            </w:r>
          </w:p>
          <w:p w14:paraId="379572DC">
            <w:pPr>
              <w:widowControl/>
              <w:spacing w:line="240" w:lineRule="auto"/>
              <w:ind w:firstLine="0" w:firstLineChars="0"/>
              <w:jc w:val="center"/>
              <w:textAlignment w:val="center"/>
              <w:rPr>
                <w:color w:val="auto"/>
                <w:sz w:val="21"/>
                <w:szCs w:val="21"/>
                <w:lang w:bidi="ar"/>
              </w:rPr>
            </w:pPr>
            <w:r>
              <w:rPr>
                <w:color w:val="auto"/>
                <w:sz w:val="21"/>
                <w:szCs w:val="21"/>
                <w:lang w:bidi="ar"/>
              </w:rPr>
              <w:t>企业需水</w:t>
            </w:r>
          </w:p>
        </w:tc>
        <w:tc>
          <w:tcPr>
            <w:tcW w:w="713" w:type="pct"/>
            <w:tcBorders>
              <w:tl2br w:val="nil"/>
              <w:tr2bl w:val="nil"/>
            </w:tcBorders>
            <w:shd w:val="clear" w:color="auto" w:fill="auto"/>
            <w:vAlign w:val="center"/>
          </w:tcPr>
          <w:p w14:paraId="0CFAD8D7">
            <w:pPr>
              <w:widowControl/>
              <w:spacing w:line="240" w:lineRule="auto"/>
              <w:ind w:firstLine="0" w:firstLineChars="0"/>
              <w:jc w:val="center"/>
              <w:textAlignment w:val="center"/>
              <w:rPr>
                <w:color w:val="auto"/>
                <w:sz w:val="21"/>
                <w:szCs w:val="21"/>
                <w:lang w:bidi="ar"/>
              </w:rPr>
            </w:pPr>
            <w:r>
              <w:rPr>
                <w:color w:val="auto"/>
                <w:sz w:val="21"/>
                <w:szCs w:val="21"/>
                <w:lang w:bidi="ar"/>
              </w:rPr>
              <w:t>道路绿地浇洒需水</w:t>
            </w:r>
          </w:p>
        </w:tc>
        <w:tc>
          <w:tcPr>
            <w:tcW w:w="713" w:type="pct"/>
            <w:tcBorders>
              <w:tl2br w:val="nil"/>
              <w:tr2bl w:val="nil"/>
            </w:tcBorders>
            <w:shd w:val="clear" w:color="auto" w:fill="auto"/>
            <w:vAlign w:val="center"/>
          </w:tcPr>
          <w:p w14:paraId="4C19C8CD">
            <w:pPr>
              <w:widowControl/>
              <w:spacing w:line="240" w:lineRule="auto"/>
              <w:ind w:firstLine="0" w:firstLineChars="0"/>
              <w:jc w:val="center"/>
              <w:textAlignment w:val="center"/>
              <w:rPr>
                <w:color w:val="auto"/>
                <w:sz w:val="21"/>
                <w:szCs w:val="21"/>
                <w:lang w:bidi="ar"/>
              </w:rPr>
            </w:pPr>
            <w:r>
              <w:rPr>
                <w:color w:val="auto"/>
                <w:sz w:val="21"/>
                <w:szCs w:val="21"/>
                <w:lang w:bidi="ar"/>
              </w:rPr>
              <w:t>管网渗漏水量</w:t>
            </w:r>
          </w:p>
        </w:tc>
        <w:tc>
          <w:tcPr>
            <w:tcW w:w="713" w:type="pct"/>
            <w:tcBorders>
              <w:tl2br w:val="nil"/>
              <w:tr2bl w:val="nil"/>
            </w:tcBorders>
            <w:shd w:val="clear" w:color="auto" w:fill="auto"/>
            <w:vAlign w:val="center"/>
          </w:tcPr>
          <w:p w14:paraId="4CFE2CAB">
            <w:pPr>
              <w:widowControl/>
              <w:spacing w:line="240" w:lineRule="auto"/>
              <w:ind w:firstLine="0" w:firstLineChars="0"/>
              <w:jc w:val="center"/>
              <w:textAlignment w:val="center"/>
              <w:rPr>
                <w:color w:val="auto"/>
                <w:sz w:val="21"/>
                <w:szCs w:val="21"/>
                <w:lang w:bidi="ar"/>
              </w:rPr>
            </w:pPr>
            <w:r>
              <w:rPr>
                <w:color w:val="auto"/>
                <w:sz w:val="21"/>
                <w:szCs w:val="21"/>
                <w:lang w:bidi="ar"/>
              </w:rPr>
              <w:t>未预见</w:t>
            </w:r>
          </w:p>
          <w:p w14:paraId="1372BF82">
            <w:pPr>
              <w:widowControl/>
              <w:spacing w:line="240" w:lineRule="auto"/>
              <w:ind w:firstLine="0" w:firstLineChars="0"/>
              <w:jc w:val="center"/>
              <w:textAlignment w:val="center"/>
              <w:rPr>
                <w:color w:val="auto"/>
                <w:sz w:val="21"/>
                <w:szCs w:val="21"/>
                <w:lang w:bidi="ar"/>
              </w:rPr>
            </w:pPr>
            <w:r>
              <w:rPr>
                <w:color w:val="auto"/>
                <w:sz w:val="21"/>
                <w:szCs w:val="21"/>
                <w:lang w:bidi="ar"/>
              </w:rPr>
              <w:t>水量</w:t>
            </w:r>
          </w:p>
        </w:tc>
        <w:tc>
          <w:tcPr>
            <w:tcW w:w="716" w:type="pct"/>
            <w:tcBorders>
              <w:tl2br w:val="nil"/>
              <w:tr2bl w:val="nil"/>
            </w:tcBorders>
            <w:shd w:val="clear" w:color="auto" w:fill="auto"/>
            <w:vAlign w:val="center"/>
          </w:tcPr>
          <w:p w14:paraId="1F4AFB78">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r>
      <w:tr w14:paraId="356375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3" w:type="pct"/>
            <w:tcBorders>
              <w:tl2br w:val="nil"/>
              <w:tr2bl w:val="nil"/>
            </w:tcBorders>
            <w:shd w:val="clear" w:color="auto" w:fill="auto"/>
            <w:vAlign w:val="center"/>
          </w:tcPr>
          <w:p w14:paraId="0F9349E6">
            <w:pPr>
              <w:widowControl/>
              <w:spacing w:line="240" w:lineRule="auto"/>
              <w:ind w:firstLine="0" w:firstLineChars="0"/>
              <w:jc w:val="center"/>
              <w:textAlignment w:val="center"/>
              <w:rPr>
                <w:color w:val="auto"/>
                <w:sz w:val="21"/>
                <w:szCs w:val="21"/>
                <w:lang w:bidi="ar"/>
              </w:rPr>
            </w:pPr>
            <w:r>
              <w:rPr>
                <w:color w:val="auto"/>
                <w:sz w:val="21"/>
                <w:szCs w:val="21"/>
                <w:lang w:bidi="ar"/>
              </w:rPr>
              <w:t>指标</w:t>
            </w:r>
          </w:p>
          <w:p w14:paraId="66B613E3">
            <w:pPr>
              <w:widowControl/>
              <w:spacing w:line="240" w:lineRule="auto"/>
              <w:ind w:firstLine="0" w:firstLineChars="0"/>
              <w:jc w:val="center"/>
              <w:textAlignment w:val="center"/>
              <w:rPr>
                <w:color w:val="auto"/>
                <w:sz w:val="21"/>
                <w:szCs w:val="21"/>
                <w:lang w:bidi="ar"/>
              </w:rPr>
            </w:pPr>
            <w:r>
              <w:rPr>
                <w:color w:val="auto"/>
                <w:sz w:val="21"/>
                <w:szCs w:val="21"/>
                <w:lang w:bidi="ar"/>
              </w:rPr>
              <w:t>（万m</w:t>
            </w:r>
            <w:r>
              <w:rPr>
                <w:color w:val="auto"/>
                <w:sz w:val="21"/>
                <w:szCs w:val="21"/>
                <w:vertAlign w:val="superscript"/>
                <w:lang w:bidi="ar"/>
              </w:rPr>
              <w:t>3</w:t>
            </w:r>
            <w:r>
              <w:rPr>
                <w:color w:val="auto"/>
                <w:sz w:val="21"/>
                <w:szCs w:val="21"/>
                <w:lang w:bidi="ar"/>
              </w:rPr>
              <w:t>/d</w:t>
            </w:r>
            <w:r>
              <w:rPr>
                <w:rFonts w:hint="eastAsia"/>
                <w:color w:val="auto"/>
                <w:sz w:val="21"/>
                <w:szCs w:val="21"/>
                <w:lang w:bidi="ar"/>
              </w:rPr>
              <w:t>）</w:t>
            </w:r>
          </w:p>
        </w:tc>
        <w:tc>
          <w:tcPr>
            <w:tcW w:w="713" w:type="pct"/>
            <w:tcBorders>
              <w:tl2br w:val="nil"/>
              <w:tr2bl w:val="nil"/>
            </w:tcBorders>
            <w:shd w:val="clear" w:color="auto" w:fill="auto"/>
            <w:vAlign w:val="center"/>
          </w:tcPr>
          <w:p w14:paraId="02ECB9A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863.50 </w:t>
            </w:r>
          </w:p>
        </w:tc>
        <w:tc>
          <w:tcPr>
            <w:tcW w:w="713" w:type="pct"/>
            <w:tcBorders>
              <w:tl2br w:val="nil"/>
              <w:tr2bl w:val="nil"/>
            </w:tcBorders>
            <w:shd w:val="clear" w:color="auto" w:fill="auto"/>
            <w:vAlign w:val="center"/>
          </w:tcPr>
          <w:p w14:paraId="2C9F9A6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1755.22 </w:t>
            </w:r>
          </w:p>
        </w:tc>
        <w:tc>
          <w:tcPr>
            <w:tcW w:w="713" w:type="pct"/>
            <w:tcBorders>
              <w:tl2br w:val="nil"/>
              <w:tr2bl w:val="nil"/>
            </w:tcBorders>
            <w:shd w:val="clear" w:color="auto" w:fill="auto"/>
            <w:vAlign w:val="center"/>
          </w:tcPr>
          <w:p w14:paraId="16211D5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455.47 </w:t>
            </w:r>
          </w:p>
        </w:tc>
        <w:tc>
          <w:tcPr>
            <w:tcW w:w="713" w:type="pct"/>
            <w:tcBorders>
              <w:tl2br w:val="nil"/>
              <w:tr2bl w:val="nil"/>
            </w:tcBorders>
            <w:shd w:val="clear" w:color="auto" w:fill="auto"/>
            <w:vAlign w:val="center"/>
          </w:tcPr>
          <w:p w14:paraId="51D492F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276.68 </w:t>
            </w:r>
          </w:p>
        </w:tc>
        <w:tc>
          <w:tcPr>
            <w:tcW w:w="713" w:type="pct"/>
            <w:tcBorders>
              <w:tl2br w:val="nil"/>
              <w:tr2bl w:val="nil"/>
            </w:tcBorders>
            <w:shd w:val="clear" w:color="auto" w:fill="auto"/>
            <w:vAlign w:val="center"/>
          </w:tcPr>
          <w:p w14:paraId="1C4E64F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335.09 </w:t>
            </w:r>
          </w:p>
        </w:tc>
        <w:tc>
          <w:tcPr>
            <w:tcW w:w="716" w:type="pct"/>
            <w:tcBorders>
              <w:tl2br w:val="nil"/>
              <w:tr2bl w:val="nil"/>
            </w:tcBorders>
            <w:shd w:val="clear" w:color="auto" w:fill="auto"/>
            <w:vAlign w:val="center"/>
          </w:tcPr>
          <w:p w14:paraId="2D96795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3685.95 </w:t>
            </w:r>
          </w:p>
        </w:tc>
      </w:tr>
      <w:tr w14:paraId="44F09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3" w:type="pct"/>
            <w:tcBorders>
              <w:tl2br w:val="nil"/>
              <w:tr2bl w:val="nil"/>
            </w:tcBorders>
            <w:shd w:val="clear" w:color="auto" w:fill="auto"/>
            <w:vAlign w:val="center"/>
          </w:tcPr>
          <w:p w14:paraId="21E724F3">
            <w:pPr>
              <w:widowControl/>
              <w:spacing w:line="240" w:lineRule="auto"/>
              <w:ind w:firstLine="0" w:firstLineChars="0"/>
              <w:jc w:val="center"/>
              <w:textAlignment w:val="center"/>
              <w:rPr>
                <w:color w:val="auto"/>
                <w:sz w:val="21"/>
                <w:szCs w:val="21"/>
                <w:lang w:bidi="ar"/>
              </w:rPr>
            </w:pPr>
            <w:r>
              <w:rPr>
                <w:color w:val="auto"/>
                <w:sz w:val="21"/>
                <w:szCs w:val="21"/>
                <w:lang w:bidi="ar"/>
              </w:rPr>
              <w:t>所占比例（%</w:t>
            </w:r>
            <w:r>
              <w:rPr>
                <w:rFonts w:hint="eastAsia"/>
                <w:color w:val="auto"/>
                <w:sz w:val="21"/>
                <w:szCs w:val="21"/>
                <w:lang w:bidi="ar"/>
              </w:rPr>
              <w:t>）</w:t>
            </w:r>
          </w:p>
        </w:tc>
        <w:tc>
          <w:tcPr>
            <w:tcW w:w="713" w:type="pct"/>
            <w:tcBorders>
              <w:tl2br w:val="nil"/>
              <w:tr2bl w:val="nil"/>
            </w:tcBorders>
            <w:shd w:val="clear" w:color="auto" w:fill="auto"/>
            <w:vAlign w:val="center"/>
          </w:tcPr>
          <w:p w14:paraId="71080870">
            <w:pPr>
              <w:widowControl/>
              <w:spacing w:line="240" w:lineRule="auto"/>
              <w:ind w:firstLine="0" w:firstLineChars="0"/>
              <w:jc w:val="center"/>
              <w:textAlignment w:val="center"/>
              <w:rPr>
                <w:color w:val="auto"/>
                <w:sz w:val="21"/>
                <w:szCs w:val="21"/>
                <w:lang w:bidi="ar"/>
              </w:rPr>
            </w:pPr>
            <w:r>
              <w:rPr>
                <w:color w:val="auto"/>
                <w:sz w:val="21"/>
                <w:szCs w:val="21"/>
                <w:lang w:bidi="ar"/>
              </w:rPr>
              <w:t>23%</w:t>
            </w:r>
          </w:p>
        </w:tc>
        <w:tc>
          <w:tcPr>
            <w:tcW w:w="713" w:type="pct"/>
            <w:tcBorders>
              <w:tl2br w:val="nil"/>
              <w:tr2bl w:val="nil"/>
            </w:tcBorders>
            <w:shd w:val="clear" w:color="auto" w:fill="auto"/>
            <w:vAlign w:val="center"/>
          </w:tcPr>
          <w:p w14:paraId="1647EF12">
            <w:pPr>
              <w:widowControl/>
              <w:spacing w:line="240" w:lineRule="auto"/>
              <w:ind w:firstLine="0" w:firstLineChars="0"/>
              <w:jc w:val="center"/>
              <w:textAlignment w:val="center"/>
              <w:rPr>
                <w:color w:val="auto"/>
                <w:sz w:val="21"/>
                <w:szCs w:val="21"/>
                <w:lang w:bidi="ar"/>
              </w:rPr>
            </w:pPr>
            <w:r>
              <w:rPr>
                <w:color w:val="auto"/>
                <w:sz w:val="21"/>
                <w:szCs w:val="21"/>
                <w:lang w:bidi="ar"/>
              </w:rPr>
              <w:t>48%</w:t>
            </w:r>
          </w:p>
        </w:tc>
        <w:tc>
          <w:tcPr>
            <w:tcW w:w="713" w:type="pct"/>
            <w:tcBorders>
              <w:tl2br w:val="nil"/>
              <w:tr2bl w:val="nil"/>
            </w:tcBorders>
            <w:shd w:val="clear" w:color="auto" w:fill="auto"/>
            <w:vAlign w:val="center"/>
          </w:tcPr>
          <w:p w14:paraId="19014393">
            <w:pPr>
              <w:widowControl/>
              <w:spacing w:line="240" w:lineRule="auto"/>
              <w:ind w:firstLine="0" w:firstLineChars="0"/>
              <w:jc w:val="center"/>
              <w:textAlignment w:val="center"/>
              <w:rPr>
                <w:color w:val="auto"/>
                <w:sz w:val="21"/>
                <w:szCs w:val="21"/>
                <w:lang w:bidi="ar"/>
              </w:rPr>
            </w:pPr>
            <w:r>
              <w:rPr>
                <w:color w:val="auto"/>
                <w:sz w:val="21"/>
                <w:szCs w:val="21"/>
                <w:lang w:bidi="ar"/>
              </w:rPr>
              <w:t>12%</w:t>
            </w:r>
          </w:p>
        </w:tc>
        <w:tc>
          <w:tcPr>
            <w:tcW w:w="713" w:type="pct"/>
            <w:tcBorders>
              <w:tl2br w:val="nil"/>
              <w:tr2bl w:val="nil"/>
            </w:tcBorders>
            <w:shd w:val="clear" w:color="auto" w:fill="auto"/>
            <w:vAlign w:val="center"/>
          </w:tcPr>
          <w:p w14:paraId="0B2F1F7D">
            <w:pPr>
              <w:widowControl/>
              <w:spacing w:line="240" w:lineRule="auto"/>
              <w:ind w:firstLine="0" w:firstLineChars="0"/>
              <w:jc w:val="center"/>
              <w:textAlignment w:val="center"/>
              <w:rPr>
                <w:color w:val="auto"/>
                <w:sz w:val="21"/>
                <w:szCs w:val="21"/>
                <w:lang w:bidi="ar"/>
              </w:rPr>
            </w:pPr>
            <w:r>
              <w:rPr>
                <w:color w:val="auto"/>
                <w:sz w:val="21"/>
                <w:szCs w:val="21"/>
                <w:lang w:bidi="ar"/>
              </w:rPr>
              <w:t>8%</w:t>
            </w:r>
          </w:p>
        </w:tc>
        <w:tc>
          <w:tcPr>
            <w:tcW w:w="713" w:type="pct"/>
            <w:tcBorders>
              <w:tl2br w:val="nil"/>
              <w:tr2bl w:val="nil"/>
            </w:tcBorders>
            <w:shd w:val="clear" w:color="auto" w:fill="auto"/>
            <w:vAlign w:val="center"/>
          </w:tcPr>
          <w:p w14:paraId="0FE37EA6">
            <w:pPr>
              <w:widowControl/>
              <w:spacing w:line="240" w:lineRule="auto"/>
              <w:ind w:firstLine="0" w:firstLineChars="0"/>
              <w:jc w:val="center"/>
              <w:textAlignment w:val="center"/>
              <w:rPr>
                <w:color w:val="auto"/>
                <w:sz w:val="21"/>
                <w:szCs w:val="21"/>
                <w:lang w:bidi="ar"/>
              </w:rPr>
            </w:pPr>
            <w:r>
              <w:rPr>
                <w:color w:val="auto"/>
                <w:sz w:val="21"/>
                <w:szCs w:val="21"/>
                <w:lang w:bidi="ar"/>
              </w:rPr>
              <w:t>9%</w:t>
            </w:r>
          </w:p>
        </w:tc>
        <w:tc>
          <w:tcPr>
            <w:tcW w:w="716" w:type="pct"/>
            <w:tcBorders>
              <w:tl2br w:val="nil"/>
              <w:tr2bl w:val="nil"/>
            </w:tcBorders>
            <w:shd w:val="clear" w:color="auto" w:fill="auto"/>
            <w:vAlign w:val="center"/>
          </w:tcPr>
          <w:p w14:paraId="587F4E0C">
            <w:pPr>
              <w:widowControl/>
              <w:spacing w:line="240" w:lineRule="auto"/>
              <w:ind w:firstLine="0" w:firstLineChars="0"/>
              <w:jc w:val="center"/>
              <w:textAlignment w:val="center"/>
              <w:rPr>
                <w:color w:val="auto"/>
                <w:sz w:val="21"/>
                <w:szCs w:val="21"/>
                <w:lang w:bidi="ar"/>
              </w:rPr>
            </w:pPr>
            <w:r>
              <w:rPr>
                <w:color w:val="auto"/>
                <w:sz w:val="21"/>
                <w:szCs w:val="21"/>
                <w:lang w:bidi="ar"/>
              </w:rPr>
              <w:t>100%</w:t>
            </w:r>
          </w:p>
        </w:tc>
      </w:tr>
    </w:tbl>
    <w:p w14:paraId="18248F56">
      <w:pPr>
        <w:spacing w:line="240" w:lineRule="auto"/>
        <w:ind w:firstLine="0" w:firstLineChars="0"/>
        <w:jc w:val="center"/>
        <w:rPr>
          <w:color w:val="auto"/>
        </w:rPr>
      </w:pPr>
      <w:r>
        <w:rPr>
          <w:color w:val="auto"/>
        </w:rPr>
        <w:drawing>
          <wp:inline distT="0" distB="0" distL="114300" distR="114300">
            <wp:extent cx="4737100" cy="2972435"/>
            <wp:effectExtent l="0" t="0" r="6350" b="18415"/>
            <wp:docPr id="1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361135">
      <w:pPr>
        <w:ind w:firstLine="0" w:firstLineChars="0"/>
        <w:jc w:val="center"/>
        <w:rPr>
          <w:b/>
          <w:bCs/>
          <w:color w:val="auto"/>
        </w:rPr>
      </w:pPr>
      <w:r>
        <w:rPr>
          <w:b/>
          <w:bCs/>
          <w:color w:val="auto"/>
        </w:rPr>
        <w:t>图4.3-1    九龙工业园区2025年需水组成情况表</w:t>
      </w:r>
    </w:p>
    <w:p w14:paraId="4EA2BF30">
      <w:pPr>
        <w:ind w:firstLine="480"/>
        <w:rPr>
          <w:color w:val="auto"/>
        </w:rPr>
      </w:pPr>
      <w:r>
        <w:rPr>
          <w:color w:val="auto"/>
        </w:rPr>
        <w:t>（2）与九龙坡区的对比</w:t>
      </w:r>
    </w:p>
    <w:p w14:paraId="58A13297">
      <w:pPr>
        <w:ind w:firstLine="480"/>
        <w:jc w:val="left"/>
        <w:rPr>
          <w:color w:val="auto"/>
        </w:rPr>
      </w:pPr>
      <w:r>
        <w:rPr>
          <w:color w:val="auto"/>
        </w:rPr>
        <w:t>根据九龙坡区2019年的水源公报，九龙坡区2019年生活综合用水量为9209万m</w:t>
      </w:r>
      <w:r>
        <w:rPr>
          <w:color w:val="auto"/>
          <w:vertAlign w:val="superscript"/>
        </w:rPr>
        <w:t>3</w:t>
      </w:r>
      <w:r>
        <w:rPr>
          <w:color w:val="auto"/>
        </w:rPr>
        <w:t>，生产用水7809万m</w:t>
      </w:r>
      <w:r>
        <w:rPr>
          <w:color w:val="auto"/>
          <w:vertAlign w:val="superscript"/>
        </w:rPr>
        <w:t>3</w:t>
      </w:r>
      <w:r>
        <w:rPr>
          <w:color w:val="auto"/>
        </w:rPr>
        <w:t>。九龙工业园区与九龙坡区用水构成情况对比表见表4.3-10。根据该表可以看出，两者有一定的差距，主要是九龙工业园区是以工业为主的区域，因此工业用水比例大于生活用水比例是合理的。</w:t>
      </w:r>
    </w:p>
    <w:p w14:paraId="7EAD0F10">
      <w:pPr>
        <w:pStyle w:val="2"/>
        <w:ind w:firstLine="480"/>
        <w:rPr>
          <w:color w:val="auto"/>
        </w:rPr>
      </w:pPr>
    </w:p>
    <w:p w14:paraId="11979D1B">
      <w:pPr>
        <w:ind w:firstLine="0" w:firstLineChars="0"/>
        <w:jc w:val="left"/>
        <w:rPr>
          <w:b/>
          <w:color w:val="auto"/>
        </w:rPr>
      </w:pPr>
      <w:r>
        <w:rPr>
          <w:b/>
          <w:color w:val="auto"/>
        </w:rPr>
        <w:t>表4.3-10                   生产生活用水结构对比表</w:t>
      </w:r>
    </w:p>
    <w:tbl>
      <w:tblPr>
        <w:tblStyle w:val="21"/>
        <w:tblW w:w="4998" w:type="pct"/>
        <w:tblInd w:w="0" w:type="dxa"/>
        <w:tblLayout w:type="autofit"/>
        <w:tblCellMar>
          <w:top w:w="0" w:type="dxa"/>
          <w:left w:w="108" w:type="dxa"/>
          <w:bottom w:w="0" w:type="dxa"/>
          <w:right w:w="108" w:type="dxa"/>
        </w:tblCellMar>
      </w:tblPr>
      <w:tblGrid>
        <w:gridCol w:w="1661"/>
        <w:gridCol w:w="2106"/>
        <w:gridCol w:w="2528"/>
        <w:gridCol w:w="2818"/>
      </w:tblGrid>
      <w:tr w14:paraId="6C12A141">
        <w:tblPrEx>
          <w:tblCellMar>
            <w:top w:w="0" w:type="dxa"/>
            <w:left w:w="108" w:type="dxa"/>
            <w:bottom w:w="0" w:type="dxa"/>
            <w:right w:w="108" w:type="dxa"/>
          </w:tblCellMar>
        </w:tblPrEx>
        <w:trPr>
          <w:trHeight w:val="315" w:hRule="atLeast"/>
        </w:trPr>
        <w:tc>
          <w:tcPr>
            <w:tcW w:w="2120" w:type="pct"/>
            <w:gridSpan w:val="2"/>
            <w:tcBorders>
              <w:top w:val="single" w:color="000000" w:sz="12" w:space="0"/>
              <w:left w:val="single" w:color="000000" w:sz="12" w:space="0"/>
              <w:bottom w:val="single" w:color="000000" w:sz="4" w:space="0"/>
              <w:right w:val="single" w:color="000000" w:sz="4" w:space="0"/>
            </w:tcBorders>
            <w:shd w:val="clear" w:color="auto" w:fill="auto"/>
            <w:vAlign w:val="center"/>
          </w:tcPr>
          <w:p w14:paraId="3AB75EA8">
            <w:pPr>
              <w:widowControl/>
              <w:spacing w:line="240" w:lineRule="auto"/>
              <w:ind w:firstLine="0" w:firstLineChars="0"/>
              <w:jc w:val="center"/>
              <w:textAlignment w:val="center"/>
              <w:rPr>
                <w:color w:val="auto"/>
                <w:sz w:val="21"/>
                <w:szCs w:val="21"/>
                <w:lang w:bidi="ar"/>
              </w:rPr>
            </w:pPr>
            <w:r>
              <w:rPr>
                <w:color w:val="auto"/>
                <w:sz w:val="21"/>
                <w:szCs w:val="21"/>
                <w:lang w:bidi="ar"/>
              </w:rPr>
              <w:t>区       域</w:t>
            </w:r>
          </w:p>
        </w:tc>
        <w:tc>
          <w:tcPr>
            <w:tcW w:w="1361"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14:paraId="38E223E3">
            <w:pPr>
              <w:widowControl/>
              <w:spacing w:line="240" w:lineRule="auto"/>
              <w:ind w:firstLine="0" w:firstLineChars="0"/>
              <w:jc w:val="center"/>
              <w:textAlignment w:val="center"/>
              <w:rPr>
                <w:color w:val="auto"/>
                <w:sz w:val="21"/>
                <w:szCs w:val="21"/>
                <w:lang w:bidi="ar"/>
              </w:rPr>
            </w:pPr>
            <w:r>
              <w:rPr>
                <w:color w:val="auto"/>
                <w:sz w:val="21"/>
                <w:szCs w:val="21"/>
                <w:lang w:bidi="ar"/>
              </w:rPr>
              <w:t>生产用水（万m3）</w:t>
            </w:r>
          </w:p>
        </w:tc>
        <w:tc>
          <w:tcPr>
            <w:tcW w:w="1517" w:type="pct"/>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0AB85508">
            <w:pPr>
              <w:widowControl/>
              <w:spacing w:line="240" w:lineRule="auto"/>
              <w:ind w:firstLine="0" w:firstLineChars="0"/>
              <w:jc w:val="center"/>
              <w:textAlignment w:val="center"/>
              <w:rPr>
                <w:color w:val="auto"/>
                <w:sz w:val="21"/>
                <w:szCs w:val="21"/>
                <w:lang w:bidi="ar"/>
              </w:rPr>
            </w:pPr>
            <w:r>
              <w:rPr>
                <w:color w:val="auto"/>
                <w:sz w:val="21"/>
                <w:szCs w:val="21"/>
                <w:lang w:bidi="ar"/>
              </w:rPr>
              <w:t>生活综合用水（万m3）</w:t>
            </w:r>
          </w:p>
        </w:tc>
      </w:tr>
      <w:tr w14:paraId="7C0469B5">
        <w:tblPrEx>
          <w:tblCellMar>
            <w:top w:w="0" w:type="dxa"/>
            <w:left w:w="108" w:type="dxa"/>
            <w:bottom w:w="0" w:type="dxa"/>
            <w:right w:w="108" w:type="dxa"/>
          </w:tblCellMar>
        </w:tblPrEx>
        <w:trPr>
          <w:trHeight w:val="285" w:hRule="atLeast"/>
        </w:trPr>
        <w:tc>
          <w:tcPr>
            <w:tcW w:w="938" w:type="pct"/>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14:paraId="363FCD59">
            <w:pPr>
              <w:widowControl/>
              <w:spacing w:line="240" w:lineRule="auto"/>
              <w:ind w:firstLine="0" w:firstLineChars="0"/>
              <w:jc w:val="center"/>
              <w:textAlignment w:val="center"/>
              <w:rPr>
                <w:color w:val="auto"/>
                <w:sz w:val="21"/>
                <w:szCs w:val="21"/>
                <w:lang w:bidi="ar"/>
              </w:rPr>
            </w:pPr>
            <w:r>
              <w:rPr>
                <w:color w:val="auto"/>
                <w:sz w:val="21"/>
                <w:szCs w:val="21"/>
                <w:lang w:bidi="ar"/>
              </w:rPr>
              <w:t>九龙坡区</w:t>
            </w:r>
          </w:p>
        </w:tc>
        <w:tc>
          <w:tcPr>
            <w:tcW w:w="1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56D3">
            <w:pPr>
              <w:widowControl/>
              <w:spacing w:line="240" w:lineRule="auto"/>
              <w:ind w:firstLine="0" w:firstLineChars="0"/>
              <w:jc w:val="center"/>
              <w:textAlignment w:val="center"/>
              <w:rPr>
                <w:color w:val="auto"/>
                <w:sz w:val="21"/>
                <w:szCs w:val="21"/>
                <w:lang w:bidi="ar"/>
              </w:rPr>
            </w:pPr>
            <w:r>
              <w:rPr>
                <w:color w:val="auto"/>
                <w:sz w:val="21"/>
                <w:szCs w:val="21"/>
                <w:lang w:bidi="ar"/>
              </w:rPr>
              <w:t>2019年值</w:t>
            </w:r>
          </w:p>
        </w:tc>
        <w:tc>
          <w:tcPr>
            <w:tcW w:w="1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2A30">
            <w:pPr>
              <w:widowControl/>
              <w:spacing w:line="240" w:lineRule="auto"/>
              <w:ind w:firstLine="0" w:firstLineChars="0"/>
              <w:jc w:val="center"/>
              <w:textAlignment w:val="center"/>
              <w:rPr>
                <w:color w:val="auto"/>
                <w:sz w:val="21"/>
                <w:szCs w:val="21"/>
                <w:lang w:bidi="ar"/>
              </w:rPr>
            </w:pPr>
            <w:r>
              <w:rPr>
                <w:color w:val="auto"/>
                <w:sz w:val="21"/>
                <w:szCs w:val="21"/>
                <w:lang w:bidi="ar"/>
              </w:rPr>
              <w:t>7809</w:t>
            </w:r>
          </w:p>
        </w:tc>
        <w:tc>
          <w:tcPr>
            <w:tcW w:w="1517"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1FBE523">
            <w:pPr>
              <w:widowControl/>
              <w:spacing w:line="240" w:lineRule="auto"/>
              <w:ind w:firstLine="0" w:firstLineChars="0"/>
              <w:jc w:val="center"/>
              <w:textAlignment w:val="center"/>
              <w:rPr>
                <w:color w:val="auto"/>
                <w:sz w:val="21"/>
                <w:szCs w:val="21"/>
                <w:lang w:bidi="ar"/>
              </w:rPr>
            </w:pPr>
            <w:r>
              <w:rPr>
                <w:color w:val="auto"/>
                <w:sz w:val="21"/>
                <w:szCs w:val="21"/>
                <w:lang w:bidi="ar"/>
              </w:rPr>
              <w:t>9209</w:t>
            </w:r>
          </w:p>
        </w:tc>
      </w:tr>
      <w:tr w14:paraId="5C2F7F3F">
        <w:tblPrEx>
          <w:tblCellMar>
            <w:top w:w="0" w:type="dxa"/>
            <w:left w:w="108" w:type="dxa"/>
            <w:bottom w:w="0" w:type="dxa"/>
            <w:right w:w="108" w:type="dxa"/>
          </w:tblCellMar>
        </w:tblPrEx>
        <w:trPr>
          <w:trHeight w:val="285" w:hRule="atLeast"/>
        </w:trPr>
        <w:tc>
          <w:tcPr>
            <w:tcW w:w="938"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02BD70EE">
            <w:pPr>
              <w:widowControl/>
              <w:spacing w:line="240" w:lineRule="auto"/>
              <w:ind w:firstLine="0" w:firstLineChars="0"/>
              <w:jc w:val="center"/>
              <w:textAlignment w:val="center"/>
              <w:rPr>
                <w:color w:val="auto"/>
                <w:sz w:val="21"/>
                <w:szCs w:val="21"/>
                <w:lang w:bidi="ar"/>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1F11">
            <w:pPr>
              <w:widowControl/>
              <w:spacing w:line="240" w:lineRule="auto"/>
              <w:ind w:firstLine="0" w:firstLineChars="0"/>
              <w:jc w:val="center"/>
              <w:textAlignment w:val="center"/>
              <w:rPr>
                <w:color w:val="auto"/>
                <w:sz w:val="21"/>
                <w:szCs w:val="21"/>
                <w:lang w:bidi="ar"/>
              </w:rPr>
            </w:pPr>
            <w:r>
              <w:rPr>
                <w:color w:val="auto"/>
                <w:sz w:val="21"/>
                <w:szCs w:val="21"/>
                <w:lang w:bidi="ar"/>
              </w:rPr>
              <w:t>比例</w:t>
            </w:r>
          </w:p>
        </w:tc>
        <w:tc>
          <w:tcPr>
            <w:tcW w:w="1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E357">
            <w:pPr>
              <w:widowControl/>
              <w:spacing w:line="240" w:lineRule="auto"/>
              <w:ind w:firstLine="0" w:firstLineChars="0"/>
              <w:jc w:val="center"/>
              <w:textAlignment w:val="center"/>
              <w:rPr>
                <w:color w:val="auto"/>
                <w:sz w:val="21"/>
                <w:szCs w:val="21"/>
                <w:lang w:bidi="ar"/>
              </w:rPr>
            </w:pPr>
            <w:r>
              <w:rPr>
                <w:color w:val="auto"/>
                <w:sz w:val="21"/>
                <w:szCs w:val="21"/>
                <w:lang w:bidi="ar"/>
              </w:rPr>
              <w:t>45.89%</w:t>
            </w:r>
          </w:p>
        </w:tc>
        <w:tc>
          <w:tcPr>
            <w:tcW w:w="1517"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67CCFD0">
            <w:pPr>
              <w:widowControl/>
              <w:spacing w:line="240" w:lineRule="auto"/>
              <w:ind w:firstLine="0" w:firstLineChars="0"/>
              <w:jc w:val="center"/>
              <w:textAlignment w:val="center"/>
              <w:rPr>
                <w:color w:val="auto"/>
                <w:sz w:val="21"/>
                <w:szCs w:val="21"/>
                <w:lang w:bidi="ar"/>
              </w:rPr>
            </w:pPr>
            <w:r>
              <w:rPr>
                <w:color w:val="auto"/>
                <w:sz w:val="21"/>
                <w:szCs w:val="21"/>
                <w:lang w:bidi="ar"/>
              </w:rPr>
              <w:t>54.11%</w:t>
            </w:r>
          </w:p>
        </w:tc>
      </w:tr>
      <w:tr w14:paraId="0456DDAD">
        <w:tblPrEx>
          <w:tblCellMar>
            <w:top w:w="0" w:type="dxa"/>
            <w:left w:w="108" w:type="dxa"/>
            <w:bottom w:w="0" w:type="dxa"/>
            <w:right w:w="108" w:type="dxa"/>
          </w:tblCellMar>
        </w:tblPrEx>
        <w:trPr>
          <w:trHeight w:val="285" w:hRule="atLeast"/>
        </w:trPr>
        <w:tc>
          <w:tcPr>
            <w:tcW w:w="938" w:type="pct"/>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14:paraId="02547A52">
            <w:pPr>
              <w:widowControl/>
              <w:spacing w:line="240" w:lineRule="auto"/>
              <w:ind w:firstLine="0" w:firstLineChars="0"/>
              <w:jc w:val="center"/>
              <w:textAlignment w:val="center"/>
              <w:rPr>
                <w:color w:val="auto"/>
                <w:sz w:val="21"/>
                <w:szCs w:val="21"/>
                <w:lang w:bidi="ar"/>
              </w:rPr>
            </w:pPr>
            <w:r>
              <w:rPr>
                <w:color w:val="auto"/>
                <w:sz w:val="21"/>
                <w:szCs w:val="21"/>
                <w:lang w:bidi="ar"/>
              </w:rPr>
              <w:t>九龙工业园区</w:t>
            </w:r>
          </w:p>
        </w:tc>
        <w:tc>
          <w:tcPr>
            <w:tcW w:w="1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73E3">
            <w:pPr>
              <w:widowControl/>
              <w:spacing w:line="240" w:lineRule="auto"/>
              <w:ind w:firstLine="0" w:firstLineChars="0"/>
              <w:jc w:val="center"/>
              <w:textAlignment w:val="center"/>
              <w:rPr>
                <w:color w:val="auto"/>
                <w:sz w:val="21"/>
                <w:szCs w:val="21"/>
                <w:lang w:bidi="ar"/>
              </w:rPr>
            </w:pPr>
            <w:r>
              <w:rPr>
                <w:color w:val="auto"/>
                <w:sz w:val="21"/>
                <w:szCs w:val="21"/>
                <w:lang w:bidi="ar"/>
              </w:rPr>
              <w:t>2025年值</w:t>
            </w:r>
          </w:p>
        </w:tc>
        <w:tc>
          <w:tcPr>
            <w:tcW w:w="2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CD02">
            <w:pPr>
              <w:widowControl/>
              <w:spacing w:line="240" w:lineRule="auto"/>
              <w:ind w:firstLine="0" w:firstLineChars="0"/>
              <w:jc w:val="center"/>
              <w:textAlignment w:val="center"/>
              <w:rPr>
                <w:color w:val="auto"/>
                <w:sz w:val="21"/>
                <w:szCs w:val="21"/>
                <w:lang w:bidi="ar"/>
              </w:rPr>
            </w:pPr>
            <w:r>
              <w:rPr>
                <w:color w:val="auto"/>
                <w:sz w:val="21"/>
                <w:szCs w:val="21"/>
                <w:lang w:bidi="ar"/>
              </w:rPr>
              <w:t>1755.22</w:t>
            </w:r>
          </w:p>
        </w:tc>
        <w:tc>
          <w:tcPr>
            <w:tcW w:w="281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8A5ABC2">
            <w:pPr>
              <w:widowControl/>
              <w:spacing w:line="240" w:lineRule="auto"/>
              <w:ind w:firstLine="0" w:firstLineChars="0"/>
              <w:jc w:val="center"/>
              <w:textAlignment w:val="center"/>
              <w:rPr>
                <w:color w:val="auto"/>
                <w:sz w:val="21"/>
                <w:szCs w:val="21"/>
                <w:lang w:bidi="ar"/>
              </w:rPr>
            </w:pPr>
            <w:r>
              <w:rPr>
                <w:color w:val="auto"/>
                <w:sz w:val="21"/>
                <w:szCs w:val="21"/>
                <w:lang w:bidi="ar"/>
              </w:rPr>
              <w:t>863.50</w:t>
            </w:r>
          </w:p>
        </w:tc>
      </w:tr>
      <w:tr w14:paraId="7A37DA82">
        <w:tblPrEx>
          <w:tblCellMar>
            <w:top w:w="0" w:type="dxa"/>
            <w:left w:w="108" w:type="dxa"/>
            <w:bottom w:w="0" w:type="dxa"/>
            <w:right w:w="108" w:type="dxa"/>
          </w:tblCellMar>
        </w:tblPrEx>
        <w:trPr>
          <w:trHeight w:val="300" w:hRule="atLeast"/>
        </w:trPr>
        <w:tc>
          <w:tcPr>
            <w:tcW w:w="938" w:type="pct"/>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14:paraId="4BE9E76D">
            <w:pPr>
              <w:widowControl/>
              <w:spacing w:line="240" w:lineRule="auto"/>
              <w:ind w:firstLine="0" w:firstLineChars="0"/>
              <w:jc w:val="center"/>
              <w:textAlignment w:val="center"/>
              <w:rPr>
                <w:color w:val="auto"/>
                <w:sz w:val="21"/>
                <w:szCs w:val="21"/>
                <w:lang w:bidi="ar"/>
              </w:rPr>
            </w:pPr>
          </w:p>
        </w:tc>
        <w:tc>
          <w:tcPr>
            <w:tcW w:w="1182"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19A28811">
            <w:pPr>
              <w:widowControl/>
              <w:spacing w:line="240" w:lineRule="auto"/>
              <w:ind w:firstLine="0" w:firstLineChars="0"/>
              <w:jc w:val="center"/>
              <w:textAlignment w:val="center"/>
              <w:rPr>
                <w:color w:val="auto"/>
                <w:sz w:val="21"/>
                <w:szCs w:val="21"/>
                <w:lang w:bidi="ar"/>
              </w:rPr>
            </w:pPr>
            <w:r>
              <w:rPr>
                <w:color w:val="auto"/>
                <w:sz w:val="21"/>
                <w:szCs w:val="21"/>
                <w:lang w:bidi="ar"/>
              </w:rPr>
              <w:t>比例</w:t>
            </w:r>
          </w:p>
        </w:tc>
        <w:tc>
          <w:tcPr>
            <w:tcW w:w="2528"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4F1D472">
            <w:pPr>
              <w:widowControl/>
              <w:spacing w:line="240" w:lineRule="auto"/>
              <w:ind w:firstLine="0" w:firstLineChars="0"/>
              <w:jc w:val="center"/>
              <w:textAlignment w:val="center"/>
              <w:rPr>
                <w:color w:val="auto"/>
                <w:sz w:val="21"/>
                <w:szCs w:val="21"/>
                <w:lang w:bidi="ar"/>
              </w:rPr>
            </w:pPr>
            <w:r>
              <w:rPr>
                <w:color w:val="auto"/>
                <w:sz w:val="21"/>
                <w:szCs w:val="21"/>
                <w:lang w:bidi="ar"/>
              </w:rPr>
              <w:t>48%</w:t>
            </w:r>
          </w:p>
        </w:tc>
        <w:tc>
          <w:tcPr>
            <w:tcW w:w="2817"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41DC4289">
            <w:pPr>
              <w:widowControl/>
              <w:spacing w:line="240" w:lineRule="auto"/>
              <w:ind w:firstLine="0" w:firstLineChars="0"/>
              <w:jc w:val="center"/>
              <w:textAlignment w:val="center"/>
              <w:rPr>
                <w:color w:val="auto"/>
                <w:sz w:val="21"/>
                <w:szCs w:val="21"/>
                <w:lang w:bidi="ar"/>
              </w:rPr>
            </w:pPr>
            <w:r>
              <w:rPr>
                <w:color w:val="auto"/>
                <w:sz w:val="21"/>
                <w:szCs w:val="21"/>
                <w:lang w:bidi="ar"/>
              </w:rPr>
              <w:t>23%</w:t>
            </w:r>
          </w:p>
        </w:tc>
      </w:tr>
    </w:tbl>
    <w:p w14:paraId="1300F091">
      <w:pPr>
        <w:pStyle w:val="5"/>
        <w:numPr>
          <w:ilvl w:val="0"/>
          <w:numId w:val="0"/>
        </w:numPr>
        <w:spacing w:before="0" w:beforeLines="0" w:after="0" w:afterLines="0"/>
        <w:rPr>
          <w:color w:val="auto"/>
          <w:sz w:val="24"/>
          <w:szCs w:val="24"/>
        </w:rPr>
      </w:pPr>
      <w:r>
        <w:rPr>
          <w:color w:val="auto"/>
          <w:sz w:val="24"/>
          <w:szCs w:val="24"/>
        </w:rPr>
        <w:t>5、规划年供用耗排分析</w:t>
      </w:r>
    </w:p>
    <w:p w14:paraId="2F7E111A">
      <w:pPr>
        <w:ind w:firstLine="480"/>
        <w:rPr>
          <w:color w:val="auto"/>
        </w:rPr>
      </w:pPr>
      <w:r>
        <w:rPr>
          <w:color w:val="auto"/>
        </w:rPr>
        <w:t>本节主要根据前述章节计算的需水量等计算成果，分析园区规划年的供、用、耗、排平衡情况。</w:t>
      </w:r>
    </w:p>
    <w:p w14:paraId="701BACBA">
      <w:pPr>
        <w:pStyle w:val="11"/>
        <w:ind w:firstLine="482"/>
        <w:rPr>
          <w:b/>
          <w:bCs/>
          <w:color w:val="auto"/>
        </w:rPr>
      </w:pPr>
      <w:r>
        <w:rPr>
          <w:b/>
          <w:bCs/>
          <w:color w:val="auto"/>
        </w:rPr>
        <w:t>（1）供水量</w:t>
      </w:r>
    </w:p>
    <w:p w14:paraId="490B1130">
      <w:pPr>
        <w:ind w:firstLine="480"/>
        <w:rPr>
          <w:color w:val="auto"/>
        </w:rPr>
      </w:pPr>
      <w:r>
        <w:rPr>
          <w:color w:val="auto"/>
        </w:rPr>
        <w:t>根据园区水资源配置总体方案，园区主要由和尚山水厂、丰收坝水厂、西彭水厂，水厂水源均为长江。园区规划年用水统计成果见表 4.3-13。</w:t>
      </w:r>
    </w:p>
    <w:p w14:paraId="38DC9726">
      <w:pPr>
        <w:spacing w:before="2"/>
        <w:ind w:firstLine="0" w:firstLineChars="0"/>
        <w:jc w:val="left"/>
        <w:rPr>
          <w:color w:val="auto"/>
        </w:rPr>
      </w:pPr>
      <w:r>
        <w:rPr>
          <w:b/>
          <w:color w:val="auto"/>
        </w:rPr>
        <w:t>表4.3-13                     园区2025年供水组成情况表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73"/>
        <w:gridCol w:w="1254"/>
        <w:gridCol w:w="1257"/>
        <w:gridCol w:w="1254"/>
        <w:gridCol w:w="1257"/>
        <w:gridCol w:w="2317"/>
        <w:gridCol w:w="815"/>
      </w:tblGrid>
      <w:tr w14:paraId="4BED83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33" w:type="pct"/>
            <w:vMerge w:val="restart"/>
            <w:tcBorders>
              <w:tl2br w:val="nil"/>
              <w:tr2bl w:val="nil"/>
            </w:tcBorders>
          </w:tcPr>
          <w:p w14:paraId="6CD9E101">
            <w:pPr>
              <w:widowControl/>
              <w:spacing w:line="240" w:lineRule="auto"/>
              <w:ind w:firstLine="0" w:firstLineChars="0"/>
              <w:jc w:val="center"/>
              <w:textAlignment w:val="center"/>
              <w:rPr>
                <w:color w:val="auto"/>
                <w:sz w:val="21"/>
                <w:szCs w:val="21"/>
                <w:lang w:bidi="ar"/>
              </w:rPr>
            </w:pPr>
            <w:r>
              <w:rPr>
                <w:color w:val="auto"/>
                <w:sz w:val="21"/>
                <w:szCs w:val="21"/>
                <w:lang w:bidi="ar"/>
              </w:rPr>
              <w:t>分区</w:t>
            </w:r>
          </w:p>
        </w:tc>
        <w:tc>
          <w:tcPr>
            <w:tcW w:w="1406" w:type="pct"/>
            <w:gridSpan w:val="2"/>
            <w:tcBorders>
              <w:tl2br w:val="nil"/>
              <w:tr2bl w:val="nil"/>
            </w:tcBorders>
          </w:tcPr>
          <w:p w14:paraId="016DCF2D">
            <w:pPr>
              <w:widowControl/>
              <w:spacing w:line="240" w:lineRule="auto"/>
              <w:ind w:firstLine="0" w:firstLineChars="0"/>
              <w:jc w:val="center"/>
              <w:textAlignment w:val="center"/>
              <w:rPr>
                <w:color w:val="auto"/>
                <w:sz w:val="21"/>
                <w:szCs w:val="21"/>
                <w:lang w:bidi="ar"/>
              </w:rPr>
            </w:pPr>
            <w:r>
              <w:rPr>
                <w:color w:val="auto"/>
                <w:sz w:val="21"/>
                <w:szCs w:val="21"/>
                <w:lang w:bidi="ar"/>
              </w:rPr>
              <w:t>需水量</w:t>
            </w:r>
          </w:p>
        </w:tc>
        <w:tc>
          <w:tcPr>
            <w:tcW w:w="1406" w:type="pct"/>
            <w:gridSpan w:val="2"/>
            <w:tcBorders>
              <w:tl2br w:val="nil"/>
              <w:tr2bl w:val="nil"/>
            </w:tcBorders>
          </w:tcPr>
          <w:p w14:paraId="1263DEA8">
            <w:pPr>
              <w:widowControl/>
              <w:spacing w:line="240" w:lineRule="auto"/>
              <w:ind w:firstLine="0" w:firstLineChars="0"/>
              <w:jc w:val="center"/>
              <w:textAlignment w:val="center"/>
              <w:rPr>
                <w:color w:val="auto"/>
                <w:sz w:val="21"/>
                <w:szCs w:val="21"/>
                <w:lang w:bidi="ar"/>
              </w:rPr>
            </w:pPr>
            <w:r>
              <w:rPr>
                <w:color w:val="auto"/>
                <w:sz w:val="21"/>
                <w:szCs w:val="21"/>
                <w:lang w:bidi="ar"/>
              </w:rPr>
              <w:t>水厂供水量</w:t>
            </w:r>
          </w:p>
        </w:tc>
        <w:tc>
          <w:tcPr>
            <w:tcW w:w="1297" w:type="pct"/>
            <w:tcBorders>
              <w:tl2br w:val="nil"/>
              <w:tr2bl w:val="nil"/>
            </w:tcBorders>
          </w:tcPr>
          <w:p w14:paraId="5867F391">
            <w:pPr>
              <w:widowControl/>
              <w:spacing w:line="240" w:lineRule="auto"/>
              <w:ind w:firstLine="0" w:firstLineChars="0"/>
              <w:jc w:val="center"/>
              <w:textAlignment w:val="center"/>
              <w:rPr>
                <w:color w:val="auto"/>
                <w:sz w:val="21"/>
                <w:szCs w:val="21"/>
                <w:lang w:bidi="ar"/>
              </w:rPr>
            </w:pPr>
          </w:p>
        </w:tc>
        <w:tc>
          <w:tcPr>
            <w:tcW w:w="456" w:type="pct"/>
            <w:tcBorders>
              <w:tl2br w:val="nil"/>
              <w:tr2bl w:val="nil"/>
            </w:tcBorders>
          </w:tcPr>
          <w:p w14:paraId="5C7E674B">
            <w:pPr>
              <w:widowControl/>
              <w:spacing w:line="240" w:lineRule="auto"/>
              <w:ind w:firstLine="0" w:firstLineChars="0"/>
              <w:jc w:val="center"/>
              <w:textAlignment w:val="center"/>
              <w:rPr>
                <w:color w:val="auto"/>
                <w:sz w:val="21"/>
                <w:szCs w:val="21"/>
                <w:lang w:bidi="ar"/>
              </w:rPr>
            </w:pPr>
          </w:p>
        </w:tc>
      </w:tr>
      <w:tr w14:paraId="1BFB92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33" w:type="pct"/>
            <w:vMerge w:val="continue"/>
            <w:tcBorders>
              <w:tl2br w:val="nil"/>
              <w:tr2bl w:val="nil"/>
            </w:tcBorders>
          </w:tcPr>
          <w:p w14:paraId="35D253CD">
            <w:pPr>
              <w:widowControl/>
              <w:spacing w:line="240" w:lineRule="auto"/>
              <w:ind w:firstLine="0" w:firstLineChars="0"/>
              <w:jc w:val="center"/>
              <w:textAlignment w:val="center"/>
              <w:rPr>
                <w:color w:val="auto"/>
                <w:sz w:val="21"/>
                <w:szCs w:val="21"/>
                <w:lang w:bidi="ar"/>
              </w:rPr>
            </w:pPr>
          </w:p>
        </w:tc>
        <w:tc>
          <w:tcPr>
            <w:tcW w:w="702" w:type="pct"/>
            <w:tcBorders>
              <w:tl2br w:val="nil"/>
              <w:tr2bl w:val="nil"/>
            </w:tcBorders>
          </w:tcPr>
          <w:p w14:paraId="395265D5">
            <w:pPr>
              <w:widowControl/>
              <w:spacing w:line="240" w:lineRule="auto"/>
              <w:ind w:firstLine="0" w:firstLineChars="0"/>
              <w:jc w:val="center"/>
              <w:textAlignment w:val="center"/>
              <w:rPr>
                <w:color w:val="auto"/>
                <w:sz w:val="21"/>
                <w:szCs w:val="21"/>
                <w:lang w:bidi="ar"/>
              </w:rPr>
            </w:pPr>
            <w:r>
              <w:rPr>
                <w:color w:val="auto"/>
                <w:sz w:val="21"/>
                <w:szCs w:val="21"/>
                <w:lang w:bidi="ar"/>
              </w:rPr>
              <w:t>万m</w:t>
            </w:r>
            <w:r>
              <w:rPr>
                <w:color w:val="auto"/>
                <w:sz w:val="21"/>
                <w:szCs w:val="21"/>
                <w:vertAlign w:val="superscript"/>
                <w:lang w:bidi="ar"/>
              </w:rPr>
              <w:t>3</w:t>
            </w:r>
          </w:p>
        </w:tc>
        <w:tc>
          <w:tcPr>
            <w:tcW w:w="704" w:type="pct"/>
            <w:tcBorders>
              <w:tl2br w:val="nil"/>
              <w:tr2bl w:val="nil"/>
            </w:tcBorders>
          </w:tcPr>
          <w:p w14:paraId="3B729F9A">
            <w:pPr>
              <w:widowControl/>
              <w:spacing w:line="240" w:lineRule="auto"/>
              <w:ind w:firstLine="0" w:firstLineChars="0"/>
              <w:jc w:val="center"/>
              <w:textAlignment w:val="center"/>
              <w:rPr>
                <w:color w:val="auto"/>
                <w:sz w:val="21"/>
                <w:szCs w:val="21"/>
                <w:lang w:bidi="ar"/>
              </w:rPr>
            </w:pPr>
            <w:r>
              <w:rPr>
                <w:color w:val="auto"/>
                <w:sz w:val="21"/>
                <w:szCs w:val="21"/>
                <w:lang w:bidi="ar"/>
              </w:rPr>
              <w:t>万m</w:t>
            </w:r>
            <w:r>
              <w:rPr>
                <w:color w:val="auto"/>
                <w:sz w:val="21"/>
                <w:szCs w:val="21"/>
                <w:vertAlign w:val="superscript"/>
                <w:lang w:bidi="ar"/>
              </w:rPr>
              <w:t>3</w:t>
            </w:r>
            <w:r>
              <w:rPr>
                <w:color w:val="auto"/>
                <w:sz w:val="21"/>
                <w:szCs w:val="21"/>
                <w:lang w:bidi="ar"/>
              </w:rPr>
              <w:t>/d</w:t>
            </w:r>
          </w:p>
        </w:tc>
        <w:tc>
          <w:tcPr>
            <w:tcW w:w="702" w:type="pct"/>
            <w:tcBorders>
              <w:tl2br w:val="nil"/>
              <w:tr2bl w:val="nil"/>
            </w:tcBorders>
          </w:tcPr>
          <w:p w14:paraId="4C1D0053">
            <w:pPr>
              <w:widowControl/>
              <w:spacing w:line="240" w:lineRule="auto"/>
              <w:ind w:firstLine="0" w:firstLineChars="0"/>
              <w:jc w:val="center"/>
              <w:textAlignment w:val="center"/>
              <w:rPr>
                <w:color w:val="auto"/>
                <w:sz w:val="21"/>
                <w:szCs w:val="21"/>
                <w:lang w:bidi="ar"/>
              </w:rPr>
            </w:pPr>
            <w:r>
              <w:rPr>
                <w:color w:val="auto"/>
                <w:sz w:val="21"/>
                <w:szCs w:val="21"/>
                <w:lang w:bidi="ar"/>
              </w:rPr>
              <w:t>万m</w:t>
            </w:r>
            <w:r>
              <w:rPr>
                <w:color w:val="auto"/>
                <w:sz w:val="21"/>
                <w:szCs w:val="21"/>
                <w:vertAlign w:val="superscript"/>
                <w:lang w:bidi="ar"/>
              </w:rPr>
              <w:t>3</w:t>
            </w:r>
          </w:p>
        </w:tc>
        <w:tc>
          <w:tcPr>
            <w:tcW w:w="704" w:type="pct"/>
            <w:tcBorders>
              <w:tl2br w:val="nil"/>
              <w:tr2bl w:val="nil"/>
            </w:tcBorders>
          </w:tcPr>
          <w:p w14:paraId="369657E5">
            <w:pPr>
              <w:widowControl/>
              <w:spacing w:line="240" w:lineRule="auto"/>
              <w:ind w:firstLine="0" w:firstLineChars="0"/>
              <w:jc w:val="center"/>
              <w:textAlignment w:val="center"/>
              <w:rPr>
                <w:color w:val="auto"/>
                <w:sz w:val="21"/>
                <w:szCs w:val="21"/>
                <w:lang w:bidi="ar"/>
              </w:rPr>
            </w:pPr>
            <w:r>
              <w:rPr>
                <w:color w:val="auto"/>
                <w:sz w:val="21"/>
                <w:szCs w:val="21"/>
                <w:lang w:bidi="ar"/>
              </w:rPr>
              <w:t>万m</w:t>
            </w:r>
            <w:r>
              <w:rPr>
                <w:color w:val="auto"/>
                <w:sz w:val="21"/>
                <w:szCs w:val="21"/>
                <w:vertAlign w:val="superscript"/>
                <w:lang w:bidi="ar"/>
              </w:rPr>
              <w:t>3</w:t>
            </w:r>
            <w:r>
              <w:rPr>
                <w:color w:val="auto"/>
                <w:sz w:val="21"/>
                <w:szCs w:val="21"/>
                <w:lang w:bidi="ar"/>
              </w:rPr>
              <w:t>/d</w:t>
            </w:r>
          </w:p>
        </w:tc>
        <w:tc>
          <w:tcPr>
            <w:tcW w:w="1297" w:type="pct"/>
            <w:tcBorders>
              <w:tl2br w:val="nil"/>
              <w:tr2bl w:val="nil"/>
            </w:tcBorders>
          </w:tcPr>
          <w:p w14:paraId="0D44FD25">
            <w:pPr>
              <w:widowControl/>
              <w:spacing w:line="240" w:lineRule="auto"/>
              <w:ind w:firstLine="0" w:firstLineChars="0"/>
              <w:jc w:val="center"/>
              <w:textAlignment w:val="center"/>
              <w:rPr>
                <w:color w:val="auto"/>
                <w:sz w:val="21"/>
                <w:szCs w:val="21"/>
                <w:lang w:bidi="ar"/>
              </w:rPr>
            </w:pPr>
            <w:r>
              <w:rPr>
                <w:color w:val="auto"/>
                <w:sz w:val="21"/>
                <w:szCs w:val="21"/>
                <w:lang w:bidi="ar"/>
              </w:rPr>
              <w:t>供水水厂</w:t>
            </w:r>
          </w:p>
        </w:tc>
        <w:tc>
          <w:tcPr>
            <w:tcW w:w="456" w:type="pct"/>
            <w:tcBorders>
              <w:tl2br w:val="nil"/>
              <w:tr2bl w:val="nil"/>
            </w:tcBorders>
          </w:tcPr>
          <w:p w14:paraId="5D395160">
            <w:pPr>
              <w:widowControl/>
              <w:spacing w:line="240" w:lineRule="auto"/>
              <w:ind w:firstLine="0" w:firstLineChars="0"/>
              <w:jc w:val="center"/>
              <w:textAlignment w:val="center"/>
              <w:rPr>
                <w:color w:val="auto"/>
                <w:sz w:val="21"/>
                <w:szCs w:val="21"/>
                <w:lang w:bidi="ar"/>
              </w:rPr>
            </w:pPr>
            <w:r>
              <w:rPr>
                <w:color w:val="auto"/>
                <w:sz w:val="21"/>
                <w:szCs w:val="21"/>
                <w:lang w:bidi="ar"/>
              </w:rPr>
              <w:t>备注</w:t>
            </w:r>
          </w:p>
        </w:tc>
      </w:tr>
      <w:tr w14:paraId="79BE73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33" w:type="pct"/>
            <w:tcBorders>
              <w:tl2br w:val="nil"/>
              <w:tr2bl w:val="nil"/>
            </w:tcBorders>
          </w:tcPr>
          <w:p w14:paraId="1D2DAFF8">
            <w:pPr>
              <w:widowControl/>
              <w:spacing w:line="240" w:lineRule="auto"/>
              <w:ind w:firstLine="0" w:firstLineChars="0"/>
              <w:jc w:val="center"/>
              <w:textAlignment w:val="center"/>
              <w:rPr>
                <w:color w:val="auto"/>
                <w:sz w:val="21"/>
                <w:szCs w:val="21"/>
                <w:lang w:bidi="ar"/>
              </w:rPr>
            </w:pPr>
            <w:r>
              <w:rPr>
                <w:color w:val="auto"/>
                <w:sz w:val="21"/>
                <w:szCs w:val="21"/>
                <w:lang w:bidi="ar"/>
              </w:rPr>
              <w:t>A区</w:t>
            </w:r>
          </w:p>
        </w:tc>
        <w:tc>
          <w:tcPr>
            <w:tcW w:w="702" w:type="pct"/>
            <w:tcBorders>
              <w:tl2br w:val="nil"/>
              <w:tr2bl w:val="nil"/>
            </w:tcBorders>
            <w:vAlign w:val="center"/>
          </w:tcPr>
          <w:p w14:paraId="71B55FC2">
            <w:pPr>
              <w:widowControl/>
              <w:spacing w:line="240" w:lineRule="auto"/>
              <w:ind w:firstLine="0" w:firstLineChars="0"/>
              <w:jc w:val="center"/>
              <w:textAlignment w:val="center"/>
              <w:rPr>
                <w:color w:val="auto"/>
                <w:sz w:val="21"/>
                <w:szCs w:val="21"/>
                <w:lang w:bidi="ar"/>
              </w:rPr>
            </w:pPr>
            <w:r>
              <w:rPr>
                <w:color w:val="auto"/>
                <w:sz w:val="21"/>
                <w:szCs w:val="21"/>
                <w:lang w:bidi="ar"/>
              </w:rPr>
              <w:t>581.45</w:t>
            </w:r>
          </w:p>
        </w:tc>
        <w:tc>
          <w:tcPr>
            <w:tcW w:w="704" w:type="pct"/>
            <w:tcBorders>
              <w:tl2br w:val="nil"/>
              <w:tr2bl w:val="nil"/>
            </w:tcBorders>
            <w:vAlign w:val="center"/>
          </w:tcPr>
          <w:p w14:paraId="335EA702">
            <w:pPr>
              <w:widowControl/>
              <w:spacing w:line="240" w:lineRule="auto"/>
              <w:ind w:firstLine="0" w:firstLineChars="0"/>
              <w:jc w:val="center"/>
              <w:textAlignment w:val="center"/>
              <w:rPr>
                <w:color w:val="auto"/>
                <w:sz w:val="21"/>
                <w:szCs w:val="21"/>
                <w:lang w:bidi="ar"/>
              </w:rPr>
            </w:pPr>
            <w:r>
              <w:rPr>
                <w:color w:val="auto"/>
                <w:sz w:val="21"/>
                <w:szCs w:val="21"/>
                <w:lang w:bidi="ar"/>
              </w:rPr>
              <w:t>1.91</w:t>
            </w:r>
          </w:p>
        </w:tc>
        <w:tc>
          <w:tcPr>
            <w:tcW w:w="702" w:type="pct"/>
            <w:tcBorders>
              <w:tl2br w:val="nil"/>
              <w:tr2bl w:val="nil"/>
            </w:tcBorders>
            <w:vAlign w:val="center"/>
          </w:tcPr>
          <w:p w14:paraId="1A68689E">
            <w:pPr>
              <w:widowControl/>
              <w:spacing w:line="240" w:lineRule="auto"/>
              <w:ind w:firstLine="0" w:firstLineChars="0"/>
              <w:jc w:val="center"/>
              <w:textAlignment w:val="center"/>
              <w:rPr>
                <w:color w:val="auto"/>
                <w:sz w:val="21"/>
                <w:szCs w:val="21"/>
                <w:lang w:bidi="ar"/>
              </w:rPr>
            </w:pPr>
            <w:r>
              <w:rPr>
                <w:color w:val="auto"/>
                <w:sz w:val="21"/>
                <w:szCs w:val="21"/>
                <w:lang w:bidi="ar"/>
              </w:rPr>
              <w:t>581.45</w:t>
            </w:r>
          </w:p>
        </w:tc>
        <w:tc>
          <w:tcPr>
            <w:tcW w:w="704" w:type="pct"/>
            <w:tcBorders>
              <w:tl2br w:val="nil"/>
              <w:tr2bl w:val="nil"/>
            </w:tcBorders>
            <w:vAlign w:val="center"/>
          </w:tcPr>
          <w:p w14:paraId="3E1E5A94">
            <w:pPr>
              <w:widowControl/>
              <w:spacing w:line="240" w:lineRule="auto"/>
              <w:ind w:firstLine="0" w:firstLineChars="0"/>
              <w:jc w:val="center"/>
              <w:textAlignment w:val="center"/>
              <w:rPr>
                <w:color w:val="auto"/>
                <w:sz w:val="21"/>
                <w:szCs w:val="21"/>
                <w:lang w:bidi="ar"/>
              </w:rPr>
            </w:pPr>
            <w:r>
              <w:rPr>
                <w:color w:val="auto"/>
                <w:sz w:val="21"/>
                <w:szCs w:val="21"/>
                <w:lang w:bidi="ar"/>
              </w:rPr>
              <w:t>1.91</w:t>
            </w:r>
          </w:p>
        </w:tc>
        <w:tc>
          <w:tcPr>
            <w:tcW w:w="1297" w:type="pct"/>
            <w:tcBorders>
              <w:tl2br w:val="nil"/>
              <w:tr2bl w:val="nil"/>
            </w:tcBorders>
          </w:tcPr>
          <w:p w14:paraId="75B69E4C">
            <w:pPr>
              <w:widowControl/>
              <w:spacing w:line="240" w:lineRule="auto"/>
              <w:ind w:firstLine="0" w:firstLineChars="0"/>
              <w:jc w:val="center"/>
              <w:textAlignment w:val="center"/>
              <w:rPr>
                <w:color w:val="auto"/>
                <w:sz w:val="21"/>
                <w:szCs w:val="21"/>
                <w:lang w:bidi="ar"/>
              </w:rPr>
            </w:pPr>
            <w:r>
              <w:rPr>
                <w:color w:val="auto"/>
                <w:sz w:val="21"/>
                <w:szCs w:val="21"/>
                <w:lang w:bidi="ar"/>
              </w:rPr>
              <w:t>和尚山水厂</w:t>
            </w:r>
          </w:p>
        </w:tc>
        <w:tc>
          <w:tcPr>
            <w:tcW w:w="456" w:type="pct"/>
            <w:tcBorders>
              <w:tl2br w:val="nil"/>
              <w:tr2bl w:val="nil"/>
            </w:tcBorders>
          </w:tcPr>
          <w:p w14:paraId="75D7C13A">
            <w:pPr>
              <w:widowControl/>
              <w:spacing w:line="240" w:lineRule="auto"/>
              <w:ind w:firstLine="0" w:firstLineChars="0"/>
              <w:jc w:val="center"/>
              <w:textAlignment w:val="center"/>
              <w:rPr>
                <w:color w:val="auto"/>
                <w:sz w:val="21"/>
                <w:szCs w:val="21"/>
                <w:lang w:bidi="ar"/>
              </w:rPr>
            </w:pPr>
          </w:p>
        </w:tc>
      </w:tr>
      <w:tr w14:paraId="292E7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433" w:type="pct"/>
            <w:tcBorders>
              <w:tl2br w:val="nil"/>
              <w:tr2bl w:val="nil"/>
            </w:tcBorders>
          </w:tcPr>
          <w:p w14:paraId="4329AD27">
            <w:pPr>
              <w:widowControl/>
              <w:spacing w:line="240" w:lineRule="auto"/>
              <w:ind w:firstLine="0" w:firstLineChars="0"/>
              <w:jc w:val="center"/>
              <w:textAlignment w:val="center"/>
              <w:rPr>
                <w:color w:val="auto"/>
                <w:sz w:val="21"/>
                <w:szCs w:val="21"/>
                <w:lang w:bidi="ar"/>
              </w:rPr>
            </w:pPr>
            <w:r>
              <w:rPr>
                <w:color w:val="auto"/>
                <w:sz w:val="21"/>
                <w:szCs w:val="21"/>
                <w:lang w:bidi="ar"/>
              </w:rPr>
              <w:t>B区</w:t>
            </w:r>
          </w:p>
        </w:tc>
        <w:tc>
          <w:tcPr>
            <w:tcW w:w="702" w:type="pct"/>
            <w:tcBorders>
              <w:tl2br w:val="nil"/>
              <w:tr2bl w:val="nil"/>
            </w:tcBorders>
            <w:vAlign w:val="center"/>
          </w:tcPr>
          <w:p w14:paraId="31E373FD">
            <w:pPr>
              <w:widowControl/>
              <w:spacing w:line="240" w:lineRule="auto"/>
              <w:ind w:firstLine="0" w:firstLineChars="0"/>
              <w:jc w:val="center"/>
              <w:textAlignment w:val="center"/>
              <w:rPr>
                <w:color w:val="auto"/>
                <w:sz w:val="21"/>
                <w:szCs w:val="21"/>
                <w:lang w:bidi="ar"/>
              </w:rPr>
            </w:pPr>
            <w:r>
              <w:rPr>
                <w:color w:val="auto"/>
                <w:sz w:val="21"/>
                <w:szCs w:val="21"/>
                <w:lang w:bidi="ar"/>
              </w:rPr>
              <w:t>1770.09</w:t>
            </w:r>
          </w:p>
        </w:tc>
        <w:tc>
          <w:tcPr>
            <w:tcW w:w="704" w:type="pct"/>
            <w:tcBorders>
              <w:tl2br w:val="nil"/>
              <w:tr2bl w:val="nil"/>
            </w:tcBorders>
            <w:vAlign w:val="center"/>
          </w:tcPr>
          <w:p w14:paraId="6545C811">
            <w:pPr>
              <w:widowControl/>
              <w:spacing w:line="240" w:lineRule="auto"/>
              <w:ind w:firstLine="0" w:firstLineChars="0"/>
              <w:jc w:val="center"/>
              <w:textAlignment w:val="center"/>
              <w:rPr>
                <w:color w:val="auto"/>
                <w:sz w:val="21"/>
                <w:szCs w:val="21"/>
                <w:lang w:bidi="ar"/>
              </w:rPr>
            </w:pPr>
            <w:r>
              <w:rPr>
                <w:color w:val="auto"/>
                <w:sz w:val="21"/>
                <w:szCs w:val="21"/>
                <w:lang w:bidi="ar"/>
              </w:rPr>
              <w:t>5.82</w:t>
            </w:r>
          </w:p>
        </w:tc>
        <w:tc>
          <w:tcPr>
            <w:tcW w:w="702" w:type="pct"/>
            <w:tcBorders>
              <w:tl2br w:val="nil"/>
              <w:tr2bl w:val="nil"/>
            </w:tcBorders>
            <w:vAlign w:val="center"/>
          </w:tcPr>
          <w:p w14:paraId="37E064A6">
            <w:pPr>
              <w:widowControl/>
              <w:spacing w:line="240" w:lineRule="auto"/>
              <w:ind w:firstLine="0" w:firstLineChars="0"/>
              <w:jc w:val="center"/>
              <w:textAlignment w:val="center"/>
              <w:rPr>
                <w:color w:val="auto"/>
                <w:sz w:val="21"/>
                <w:szCs w:val="21"/>
                <w:lang w:bidi="ar"/>
              </w:rPr>
            </w:pPr>
            <w:r>
              <w:rPr>
                <w:color w:val="auto"/>
                <w:sz w:val="21"/>
                <w:szCs w:val="21"/>
                <w:lang w:bidi="ar"/>
              </w:rPr>
              <w:t>1770.09</w:t>
            </w:r>
          </w:p>
        </w:tc>
        <w:tc>
          <w:tcPr>
            <w:tcW w:w="704" w:type="pct"/>
            <w:tcBorders>
              <w:tl2br w:val="nil"/>
              <w:tr2bl w:val="nil"/>
            </w:tcBorders>
            <w:vAlign w:val="center"/>
          </w:tcPr>
          <w:p w14:paraId="7BEA8D36">
            <w:pPr>
              <w:widowControl/>
              <w:spacing w:line="240" w:lineRule="auto"/>
              <w:ind w:firstLine="0" w:firstLineChars="0"/>
              <w:jc w:val="center"/>
              <w:textAlignment w:val="center"/>
              <w:rPr>
                <w:color w:val="auto"/>
                <w:sz w:val="21"/>
                <w:szCs w:val="21"/>
                <w:lang w:bidi="ar"/>
              </w:rPr>
            </w:pPr>
            <w:r>
              <w:rPr>
                <w:color w:val="auto"/>
                <w:sz w:val="21"/>
                <w:szCs w:val="21"/>
                <w:lang w:bidi="ar"/>
              </w:rPr>
              <w:t>5.82</w:t>
            </w:r>
          </w:p>
        </w:tc>
        <w:tc>
          <w:tcPr>
            <w:tcW w:w="1297" w:type="pct"/>
            <w:tcBorders>
              <w:tl2br w:val="nil"/>
              <w:tr2bl w:val="nil"/>
            </w:tcBorders>
          </w:tcPr>
          <w:p w14:paraId="7296D43B">
            <w:pPr>
              <w:widowControl/>
              <w:spacing w:line="240" w:lineRule="auto"/>
              <w:ind w:firstLine="0" w:firstLineChars="0"/>
              <w:jc w:val="center"/>
              <w:textAlignment w:val="center"/>
              <w:rPr>
                <w:color w:val="auto"/>
                <w:sz w:val="21"/>
                <w:szCs w:val="21"/>
                <w:lang w:bidi="ar"/>
              </w:rPr>
            </w:pPr>
            <w:r>
              <w:rPr>
                <w:color w:val="auto"/>
                <w:sz w:val="21"/>
                <w:szCs w:val="21"/>
                <w:lang w:bidi="ar"/>
              </w:rPr>
              <w:t>丰收坝水厂</w:t>
            </w:r>
          </w:p>
        </w:tc>
        <w:tc>
          <w:tcPr>
            <w:tcW w:w="456" w:type="pct"/>
            <w:tcBorders>
              <w:tl2br w:val="nil"/>
              <w:tr2bl w:val="nil"/>
            </w:tcBorders>
          </w:tcPr>
          <w:p w14:paraId="6055C7B7">
            <w:pPr>
              <w:widowControl/>
              <w:spacing w:line="240" w:lineRule="auto"/>
              <w:ind w:firstLine="0" w:firstLineChars="0"/>
              <w:jc w:val="center"/>
              <w:textAlignment w:val="center"/>
              <w:rPr>
                <w:color w:val="auto"/>
                <w:sz w:val="21"/>
                <w:szCs w:val="21"/>
                <w:lang w:bidi="ar"/>
              </w:rPr>
            </w:pPr>
          </w:p>
        </w:tc>
      </w:tr>
      <w:tr w14:paraId="2F6B5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33" w:type="pct"/>
            <w:tcBorders>
              <w:tl2br w:val="nil"/>
              <w:tr2bl w:val="nil"/>
            </w:tcBorders>
          </w:tcPr>
          <w:p w14:paraId="28F1B5FE">
            <w:pPr>
              <w:widowControl/>
              <w:spacing w:line="240" w:lineRule="auto"/>
              <w:ind w:firstLine="0" w:firstLineChars="0"/>
              <w:jc w:val="center"/>
              <w:textAlignment w:val="center"/>
              <w:rPr>
                <w:color w:val="auto"/>
                <w:sz w:val="21"/>
                <w:szCs w:val="21"/>
                <w:lang w:bidi="ar"/>
              </w:rPr>
            </w:pPr>
            <w:r>
              <w:rPr>
                <w:color w:val="auto"/>
                <w:sz w:val="21"/>
                <w:szCs w:val="21"/>
                <w:lang w:bidi="ar"/>
              </w:rPr>
              <w:t>C区</w:t>
            </w:r>
          </w:p>
        </w:tc>
        <w:tc>
          <w:tcPr>
            <w:tcW w:w="702" w:type="pct"/>
            <w:tcBorders>
              <w:tl2br w:val="nil"/>
              <w:tr2bl w:val="nil"/>
            </w:tcBorders>
            <w:vAlign w:val="center"/>
          </w:tcPr>
          <w:p w14:paraId="0C2EE492">
            <w:pPr>
              <w:widowControl/>
              <w:spacing w:line="240" w:lineRule="auto"/>
              <w:ind w:firstLine="0" w:firstLineChars="0"/>
              <w:jc w:val="center"/>
              <w:textAlignment w:val="center"/>
              <w:rPr>
                <w:color w:val="auto"/>
                <w:sz w:val="21"/>
                <w:szCs w:val="21"/>
                <w:lang w:bidi="ar"/>
              </w:rPr>
            </w:pPr>
            <w:r>
              <w:rPr>
                <w:color w:val="auto"/>
                <w:sz w:val="21"/>
                <w:szCs w:val="21"/>
                <w:lang w:bidi="ar"/>
              </w:rPr>
              <w:t>1334.42</w:t>
            </w:r>
          </w:p>
        </w:tc>
        <w:tc>
          <w:tcPr>
            <w:tcW w:w="704" w:type="pct"/>
            <w:tcBorders>
              <w:tl2br w:val="nil"/>
              <w:tr2bl w:val="nil"/>
            </w:tcBorders>
            <w:vAlign w:val="center"/>
          </w:tcPr>
          <w:p w14:paraId="03413014">
            <w:pPr>
              <w:widowControl/>
              <w:spacing w:line="240" w:lineRule="auto"/>
              <w:ind w:firstLine="0" w:firstLineChars="0"/>
              <w:jc w:val="center"/>
              <w:textAlignment w:val="center"/>
              <w:rPr>
                <w:color w:val="auto"/>
                <w:sz w:val="21"/>
                <w:szCs w:val="21"/>
                <w:lang w:bidi="ar"/>
              </w:rPr>
            </w:pPr>
            <w:r>
              <w:rPr>
                <w:color w:val="auto"/>
                <w:sz w:val="21"/>
                <w:szCs w:val="21"/>
                <w:lang w:bidi="ar"/>
              </w:rPr>
              <w:t>4.39</w:t>
            </w:r>
          </w:p>
        </w:tc>
        <w:tc>
          <w:tcPr>
            <w:tcW w:w="702" w:type="pct"/>
            <w:tcBorders>
              <w:tl2br w:val="nil"/>
              <w:tr2bl w:val="nil"/>
            </w:tcBorders>
            <w:vAlign w:val="center"/>
          </w:tcPr>
          <w:p w14:paraId="72515D77">
            <w:pPr>
              <w:widowControl/>
              <w:spacing w:line="240" w:lineRule="auto"/>
              <w:ind w:firstLine="0" w:firstLineChars="0"/>
              <w:jc w:val="center"/>
              <w:textAlignment w:val="center"/>
              <w:rPr>
                <w:color w:val="auto"/>
                <w:sz w:val="21"/>
                <w:szCs w:val="21"/>
                <w:lang w:bidi="ar"/>
              </w:rPr>
            </w:pPr>
            <w:r>
              <w:rPr>
                <w:color w:val="auto"/>
                <w:sz w:val="21"/>
                <w:szCs w:val="21"/>
                <w:lang w:bidi="ar"/>
              </w:rPr>
              <w:t>1334.42</w:t>
            </w:r>
          </w:p>
        </w:tc>
        <w:tc>
          <w:tcPr>
            <w:tcW w:w="704" w:type="pct"/>
            <w:tcBorders>
              <w:tl2br w:val="nil"/>
              <w:tr2bl w:val="nil"/>
            </w:tcBorders>
            <w:vAlign w:val="center"/>
          </w:tcPr>
          <w:p w14:paraId="2E65E354">
            <w:pPr>
              <w:widowControl/>
              <w:spacing w:line="240" w:lineRule="auto"/>
              <w:ind w:firstLine="0" w:firstLineChars="0"/>
              <w:jc w:val="center"/>
              <w:textAlignment w:val="center"/>
              <w:rPr>
                <w:color w:val="auto"/>
                <w:sz w:val="21"/>
                <w:szCs w:val="21"/>
                <w:lang w:bidi="ar"/>
              </w:rPr>
            </w:pPr>
            <w:r>
              <w:rPr>
                <w:color w:val="auto"/>
                <w:sz w:val="21"/>
                <w:szCs w:val="21"/>
                <w:lang w:bidi="ar"/>
              </w:rPr>
              <w:t>4.39</w:t>
            </w:r>
          </w:p>
        </w:tc>
        <w:tc>
          <w:tcPr>
            <w:tcW w:w="1297" w:type="pct"/>
            <w:tcBorders>
              <w:tl2br w:val="nil"/>
              <w:tr2bl w:val="nil"/>
            </w:tcBorders>
          </w:tcPr>
          <w:p w14:paraId="2A2A0E81">
            <w:pPr>
              <w:widowControl/>
              <w:spacing w:line="240" w:lineRule="auto"/>
              <w:ind w:firstLine="0" w:firstLineChars="0"/>
              <w:jc w:val="center"/>
              <w:textAlignment w:val="center"/>
              <w:rPr>
                <w:color w:val="auto"/>
                <w:sz w:val="21"/>
                <w:szCs w:val="21"/>
                <w:lang w:bidi="ar"/>
              </w:rPr>
            </w:pPr>
            <w:r>
              <w:rPr>
                <w:color w:val="auto"/>
                <w:sz w:val="21"/>
                <w:szCs w:val="21"/>
                <w:lang w:bidi="ar"/>
              </w:rPr>
              <w:t>西彭水厂</w:t>
            </w:r>
          </w:p>
        </w:tc>
        <w:tc>
          <w:tcPr>
            <w:tcW w:w="456" w:type="pct"/>
            <w:tcBorders>
              <w:tl2br w:val="nil"/>
              <w:tr2bl w:val="nil"/>
            </w:tcBorders>
          </w:tcPr>
          <w:p w14:paraId="2D42DE75">
            <w:pPr>
              <w:widowControl/>
              <w:spacing w:line="240" w:lineRule="auto"/>
              <w:ind w:firstLine="0" w:firstLineChars="0"/>
              <w:jc w:val="center"/>
              <w:textAlignment w:val="center"/>
              <w:rPr>
                <w:color w:val="auto"/>
                <w:sz w:val="21"/>
                <w:szCs w:val="21"/>
                <w:lang w:bidi="ar"/>
              </w:rPr>
            </w:pPr>
          </w:p>
        </w:tc>
      </w:tr>
      <w:tr w14:paraId="5D44D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33" w:type="pct"/>
            <w:tcBorders>
              <w:tl2br w:val="nil"/>
              <w:tr2bl w:val="nil"/>
            </w:tcBorders>
          </w:tcPr>
          <w:p w14:paraId="24DA5B98">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c>
          <w:tcPr>
            <w:tcW w:w="702" w:type="pct"/>
            <w:tcBorders>
              <w:tl2br w:val="nil"/>
              <w:tr2bl w:val="nil"/>
            </w:tcBorders>
            <w:vAlign w:val="center"/>
          </w:tcPr>
          <w:p w14:paraId="390385E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3685.95 </w:t>
            </w:r>
          </w:p>
        </w:tc>
        <w:tc>
          <w:tcPr>
            <w:tcW w:w="704" w:type="pct"/>
            <w:tcBorders>
              <w:tl2br w:val="nil"/>
              <w:tr2bl w:val="nil"/>
            </w:tcBorders>
            <w:vAlign w:val="center"/>
          </w:tcPr>
          <w:p w14:paraId="76DCDB4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12.12 </w:t>
            </w:r>
          </w:p>
        </w:tc>
        <w:tc>
          <w:tcPr>
            <w:tcW w:w="702" w:type="pct"/>
            <w:tcBorders>
              <w:tl2br w:val="nil"/>
              <w:tr2bl w:val="nil"/>
            </w:tcBorders>
            <w:vAlign w:val="center"/>
          </w:tcPr>
          <w:p w14:paraId="2A5F503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3685.95 </w:t>
            </w:r>
          </w:p>
        </w:tc>
        <w:tc>
          <w:tcPr>
            <w:tcW w:w="704" w:type="pct"/>
            <w:tcBorders>
              <w:tl2br w:val="nil"/>
              <w:tr2bl w:val="nil"/>
            </w:tcBorders>
            <w:vAlign w:val="center"/>
          </w:tcPr>
          <w:p w14:paraId="0F32D40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12.12 </w:t>
            </w:r>
          </w:p>
        </w:tc>
        <w:tc>
          <w:tcPr>
            <w:tcW w:w="1297" w:type="pct"/>
            <w:tcBorders>
              <w:tl2br w:val="nil"/>
              <w:tr2bl w:val="nil"/>
            </w:tcBorders>
          </w:tcPr>
          <w:p w14:paraId="2C155104">
            <w:pPr>
              <w:widowControl/>
              <w:spacing w:line="240" w:lineRule="auto"/>
              <w:ind w:firstLine="0" w:firstLineChars="0"/>
              <w:jc w:val="center"/>
              <w:textAlignment w:val="center"/>
              <w:rPr>
                <w:color w:val="auto"/>
                <w:sz w:val="21"/>
                <w:szCs w:val="21"/>
                <w:lang w:bidi="ar"/>
              </w:rPr>
            </w:pPr>
          </w:p>
        </w:tc>
        <w:tc>
          <w:tcPr>
            <w:tcW w:w="456" w:type="pct"/>
            <w:tcBorders>
              <w:tl2br w:val="nil"/>
              <w:tr2bl w:val="nil"/>
            </w:tcBorders>
          </w:tcPr>
          <w:p w14:paraId="0FCA1979">
            <w:pPr>
              <w:widowControl/>
              <w:spacing w:line="240" w:lineRule="auto"/>
              <w:ind w:firstLine="0" w:firstLineChars="0"/>
              <w:jc w:val="center"/>
              <w:textAlignment w:val="center"/>
              <w:rPr>
                <w:color w:val="auto"/>
                <w:sz w:val="21"/>
                <w:szCs w:val="21"/>
                <w:lang w:bidi="ar"/>
              </w:rPr>
            </w:pPr>
          </w:p>
        </w:tc>
      </w:tr>
    </w:tbl>
    <w:p w14:paraId="067C7A6E">
      <w:pPr>
        <w:pStyle w:val="11"/>
        <w:ind w:firstLine="482"/>
        <w:rPr>
          <w:b/>
          <w:bCs/>
          <w:color w:val="auto"/>
        </w:rPr>
      </w:pPr>
      <w:r>
        <w:rPr>
          <w:b/>
          <w:bCs/>
          <w:color w:val="auto"/>
        </w:rPr>
        <w:t>（2）用水量</w:t>
      </w:r>
    </w:p>
    <w:p w14:paraId="013EA244">
      <w:pPr>
        <w:ind w:firstLine="480"/>
        <w:rPr>
          <w:color w:val="auto"/>
        </w:rPr>
      </w:pPr>
      <w:r>
        <w:rPr>
          <w:color w:val="auto"/>
        </w:rPr>
        <w:t>至2025年，园区总的用水量为3685.95万m</w:t>
      </w:r>
      <w:r>
        <w:rPr>
          <w:color w:val="auto"/>
          <w:vertAlign w:val="superscript"/>
        </w:rPr>
        <w:t>3</w:t>
      </w:r>
      <w:r>
        <w:rPr>
          <w:color w:val="auto"/>
        </w:rPr>
        <w:t>，其中A、B、C三区的用水量分别为581.45万m</w:t>
      </w:r>
      <w:r>
        <w:rPr>
          <w:color w:val="auto"/>
          <w:vertAlign w:val="superscript"/>
        </w:rPr>
        <w:t>3</w:t>
      </w:r>
      <w:r>
        <w:rPr>
          <w:color w:val="auto"/>
        </w:rPr>
        <w:t>、1770.09万m</w:t>
      </w:r>
      <w:r>
        <w:rPr>
          <w:color w:val="auto"/>
          <w:vertAlign w:val="superscript"/>
        </w:rPr>
        <w:t>3</w:t>
      </w:r>
      <w:r>
        <w:rPr>
          <w:color w:val="auto"/>
        </w:rPr>
        <w:t>、1334.42万m</w:t>
      </w:r>
      <w:r>
        <w:rPr>
          <w:color w:val="auto"/>
          <w:vertAlign w:val="superscript"/>
        </w:rPr>
        <w:t>3</w:t>
      </w:r>
      <w:r>
        <w:rPr>
          <w:color w:val="auto"/>
        </w:rPr>
        <w:t>。需水成果及构成见表4.3-14。</w:t>
      </w:r>
    </w:p>
    <w:p w14:paraId="722EFF1F">
      <w:pPr>
        <w:spacing w:before="2"/>
        <w:ind w:firstLine="0" w:firstLineChars="0"/>
        <w:jc w:val="left"/>
        <w:rPr>
          <w:b/>
          <w:color w:val="auto"/>
        </w:rPr>
      </w:pPr>
      <w:r>
        <w:rPr>
          <w:b/>
          <w:color w:val="auto"/>
        </w:rPr>
        <w:t>表4.3-14                园区2025年用水组成情况表</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6"/>
        <w:gridCol w:w="1599"/>
        <w:gridCol w:w="1156"/>
        <w:gridCol w:w="968"/>
        <w:gridCol w:w="1297"/>
        <w:gridCol w:w="1076"/>
        <w:gridCol w:w="1133"/>
        <w:gridCol w:w="1177"/>
      </w:tblGrid>
      <w:tr w14:paraId="37EE5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shd w:val="clear" w:color="auto" w:fill="auto"/>
            <w:noWrap/>
            <w:vAlign w:val="center"/>
          </w:tcPr>
          <w:p w14:paraId="11B28705">
            <w:pPr>
              <w:widowControl/>
              <w:spacing w:line="240" w:lineRule="auto"/>
              <w:ind w:firstLine="0" w:firstLineChars="0"/>
              <w:jc w:val="center"/>
              <w:textAlignment w:val="center"/>
              <w:rPr>
                <w:color w:val="auto"/>
                <w:sz w:val="21"/>
                <w:szCs w:val="21"/>
                <w:lang w:bidi="ar"/>
              </w:rPr>
            </w:pPr>
            <w:r>
              <w:rPr>
                <w:color w:val="auto"/>
                <w:sz w:val="21"/>
                <w:szCs w:val="21"/>
                <w:lang w:bidi="ar"/>
              </w:rPr>
              <w:t>分区</w:t>
            </w:r>
          </w:p>
        </w:tc>
        <w:tc>
          <w:tcPr>
            <w:tcW w:w="877" w:type="pct"/>
            <w:vMerge w:val="restart"/>
            <w:tcBorders>
              <w:tl2br w:val="nil"/>
              <w:tr2bl w:val="nil"/>
            </w:tcBorders>
            <w:shd w:val="clear" w:color="auto" w:fill="auto"/>
            <w:vAlign w:val="center"/>
          </w:tcPr>
          <w:p w14:paraId="52E8A989">
            <w:pPr>
              <w:widowControl/>
              <w:spacing w:line="240" w:lineRule="auto"/>
              <w:ind w:firstLine="0" w:firstLineChars="0"/>
              <w:jc w:val="center"/>
              <w:textAlignment w:val="center"/>
              <w:rPr>
                <w:color w:val="auto"/>
                <w:sz w:val="21"/>
                <w:szCs w:val="21"/>
                <w:lang w:bidi="ar"/>
              </w:rPr>
            </w:pPr>
            <w:r>
              <w:rPr>
                <w:color w:val="auto"/>
                <w:sz w:val="21"/>
                <w:szCs w:val="21"/>
                <w:lang w:bidi="ar"/>
              </w:rPr>
              <w:t>需水项目</w:t>
            </w:r>
          </w:p>
        </w:tc>
        <w:tc>
          <w:tcPr>
            <w:tcW w:w="634" w:type="pct"/>
            <w:vMerge w:val="restart"/>
            <w:tcBorders>
              <w:tl2br w:val="nil"/>
              <w:tr2bl w:val="nil"/>
            </w:tcBorders>
            <w:shd w:val="clear" w:color="auto" w:fill="auto"/>
            <w:vAlign w:val="center"/>
          </w:tcPr>
          <w:p w14:paraId="0ED746FB">
            <w:pPr>
              <w:widowControl/>
              <w:spacing w:line="240" w:lineRule="auto"/>
              <w:ind w:firstLine="0" w:firstLineChars="0"/>
              <w:jc w:val="center"/>
              <w:textAlignment w:val="center"/>
              <w:rPr>
                <w:color w:val="auto"/>
                <w:sz w:val="21"/>
                <w:szCs w:val="21"/>
                <w:lang w:bidi="ar"/>
              </w:rPr>
            </w:pPr>
            <w:r>
              <w:rPr>
                <w:color w:val="auto"/>
                <w:sz w:val="21"/>
                <w:szCs w:val="21"/>
                <w:lang w:bidi="ar"/>
              </w:rPr>
              <w:t>生活综合需水量</w:t>
            </w:r>
          </w:p>
        </w:tc>
        <w:tc>
          <w:tcPr>
            <w:tcW w:w="531" w:type="pct"/>
            <w:vMerge w:val="restart"/>
            <w:tcBorders>
              <w:tl2br w:val="nil"/>
              <w:tr2bl w:val="nil"/>
            </w:tcBorders>
            <w:shd w:val="clear" w:color="auto" w:fill="auto"/>
            <w:vAlign w:val="center"/>
          </w:tcPr>
          <w:p w14:paraId="2B518283">
            <w:pPr>
              <w:widowControl/>
              <w:spacing w:line="240" w:lineRule="auto"/>
              <w:ind w:firstLine="0" w:firstLineChars="0"/>
              <w:jc w:val="center"/>
              <w:textAlignment w:val="center"/>
              <w:rPr>
                <w:color w:val="auto"/>
                <w:sz w:val="21"/>
                <w:szCs w:val="21"/>
                <w:lang w:bidi="ar"/>
              </w:rPr>
            </w:pPr>
            <w:r>
              <w:rPr>
                <w:color w:val="auto"/>
                <w:sz w:val="21"/>
                <w:szCs w:val="21"/>
                <w:lang w:bidi="ar"/>
              </w:rPr>
              <w:t>工业</w:t>
            </w:r>
          </w:p>
          <w:p w14:paraId="4784C2C7">
            <w:pPr>
              <w:widowControl/>
              <w:spacing w:line="240" w:lineRule="auto"/>
              <w:ind w:firstLine="0" w:firstLineChars="0"/>
              <w:jc w:val="center"/>
              <w:textAlignment w:val="center"/>
              <w:rPr>
                <w:color w:val="auto"/>
                <w:sz w:val="21"/>
                <w:szCs w:val="21"/>
                <w:lang w:bidi="ar"/>
              </w:rPr>
            </w:pPr>
            <w:r>
              <w:rPr>
                <w:color w:val="auto"/>
                <w:sz w:val="21"/>
                <w:szCs w:val="21"/>
                <w:lang w:bidi="ar"/>
              </w:rPr>
              <w:t>需水量</w:t>
            </w:r>
          </w:p>
        </w:tc>
        <w:tc>
          <w:tcPr>
            <w:tcW w:w="711" w:type="pct"/>
            <w:vMerge w:val="restart"/>
            <w:tcBorders>
              <w:tl2br w:val="nil"/>
              <w:tr2bl w:val="nil"/>
            </w:tcBorders>
            <w:shd w:val="clear" w:color="auto" w:fill="auto"/>
            <w:vAlign w:val="center"/>
          </w:tcPr>
          <w:p w14:paraId="50F63AA6">
            <w:pPr>
              <w:widowControl/>
              <w:spacing w:line="240" w:lineRule="auto"/>
              <w:ind w:firstLine="0" w:firstLineChars="0"/>
              <w:jc w:val="center"/>
              <w:textAlignment w:val="center"/>
              <w:rPr>
                <w:color w:val="auto"/>
                <w:sz w:val="21"/>
                <w:szCs w:val="21"/>
                <w:lang w:bidi="ar"/>
              </w:rPr>
            </w:pPr>
            <w:r>
              <w:rPr>
                <w:color w:val="auto"/>
                <w:sz w:val="21"/>
                <w:szCs w:val="21"/>
                <w:lang w:bidi="ar"/>
              </w:rPr>
              <w:t>道路绿地洒浇需水量</w:t>
            </w:r>
          </w:p>
        </w:tc>
        <w:tc>
          <w:tcPr>
            <w:tcW w:w="590" w:type="pct"/>
            <w:vMerge w:val="restart"/>
            <w:tcBorders>
              <w:tl2br w:val="nil"/>
              <w:tr2bl w:val="nil"/>
            </w:tcBorders>
            <w:shd w:val="clear" w:color="auto" w:fill="auto"/>
            <w:vAlign w:val="center"/>
          </w:tcPr>
          <w:p w14:paraId="0D56C8F3">
            <w:pPr>
              <w:widowControl/>
              <w:spacing w:line="240" w:lineRule="auto"/>
              <w:ind w:firstLine="0" w:firstLineChars="0"/>
              <w:jc w:val="center"/>
              <w:textAlignment w:val="center"/>
              <w:rPr>
                <w:color w:val="auto"/>
                <w:sz w:val="21"/>
                <w:szCs w:val="21"/>
                <w:lang w:bidi="ar"/>
              </w:rPr>
            </w:pPr>
            <w:r>
              <w:rPr>
                <w:color w:val="auto"/>
                <w:sz w:val="21"/>
                <w:szCs w:val="21"/>
                <w:lang w:bidi="ar"/>
              </w:rPr>
              <w:t>管网</w:t>
            </w:r>
          </w:p>
          <w:p w14:paraId="2E72AB00">
            <w:pPr>
              <w:widowControl/>
              <w:spacing w:line="240" w:lineRule="auto"/>
              <w:ind w:firstLine="0" w:firstLineChars="0"/>
              <w:jc w:val="center"/>
              <w:textAlignment w:val="center"/>
              <w:rPr>
                <w:color w:val="auto"/>
                <w:sz w:val="21"/>
                <w:szCs w:val="21"/>
                <w:lang w:bidi="ar"/>
              </w:rPr>
            </w:pPr>
            <w:r>
              <w:rPr>
                <w:color w:val="auto"/>
                <w:sz w:val="21"/>
                <w:szCs w:val="21"/>
                <w:lang w:bidi="ar"/>
              </w:rPr>
              <w:t>渗漏水</w:t>
            </w:r>
          </w:p>
        </w:tc>
        <w:tc>
          <w:tcPr>
            <w:tcW w:w="621" w:type="pct"/>
            <w:vMerge w:val="restart"/>
            <w:tcBorders>
              <w:tl2br w:val="nil"/>
              <w:tr2bl w:val="nil"/>
            </w:tcBorders>
            <w:shd w:val="clear" w:color="auto" w:fill="auto"/>
            <w:vAlign w:val="center"/>
          </w:tcPr>
          <w:p w14:paraId="3A866242">
            <w:pPr>
              <w:widowControl/>
              <w:spacing w:line="240" w:lineRule="auto"/>
              <w:ind w:firstLine="0" w:firstLineChars="0"/>
              <w:jc w:val="center"/>
              <w:textAlignment w:val="center"/>
              <w:rPr>
                <w:color w:val="auto"/>
                <w:sz w:val="21"/>
                <w:szCs w:val="21"/>
                <w:lang w:bidi="ar"/>
              </w:rPr>
            </w:pPr>
            <w:r>
              <w:rPr>
                <w:color w:val="auto"/>
                <w:sz w:val="21"/>
                <w:szCs w:val="21"/>
                <w:lang w:bidi="ar"/>
              </w:rPr>
              <w:t>未预见</w:t>
            </w:r>
          </w:p>
          <w:p w14:paraId="65979E50">
            <w:pPr>
              <w:widowControl/>
              <w:spacing w:line="240" w:lineRule="auto"/>
              <w:ind w:firstLine="0" w:firstLineChars="0"/>
              <w:jc w:val="center"/>
              <w:textAlignment w:val="center"/>
              <w:rPr>
                <w:color w:val="auto"/>
                <w:sz w:val="21"/>
                <w:szCs w:val="21"/>
                <w:lang w:bidi="ar"/>
              </w:rPr>
            </w:pPr>
            <w:r>
              <w:rPr>
                <w:color w:val="auto"/>
                <w:sz w:val="21"/>
                <w:szCs w:val="21"/>
                <w:lang w:bidi="ar"/>
              </w:rPr>
              <w:t>水量</w:t>
            </w:r>
          </w:p>
        </w:tc>
        <w:tc>
          <w:tcPr>
            <w:tcW w:w="645" w:type="pct"/>
            <w:vMerge w:val="restart"/>
            <w:tcBorders>
              <w:tl2br w:val="nil"/>
              <w:tr2bl w:val="nil"/>
            </w:tcBorders>
            <w:shd w:val="clear" w:color="auto" w:fill="auto"/>
            <w:vAlign w:val="center"/>
          </w:tcPr>
          <w:p w14:paraId="5F202DD6">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r>
      <w:tr w14:paraId="6DC9C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shd w:val="clear" w:color="auto" w:fill="auto"/>
            <w:noWrap/>
            <w:vAlign w:val="center"/>
          </w:tcPr>
          <w:p w14:paraId="03066CC1">
            <w:pPr>
              <w:widowControl/>
              <w:spacing w:line="240" w:lineRule="auto"/>
              <w:ind w:firstLine="0" w:firstLineChars="0"/>
              <w:jc w:val="center"/>
              <w:textAlignment w:val="center"/>
              <w:rPr>
                <w:color w:val="auto"/>
                <w:sz w:val="21"/>
                <w:szCs w:val="21"/>
                <w:lang w:bidi="ar"/>
              </w:rPr>
            </w:pPr>
          </w:p>
        </w:tc>
        <w:tc>
          <w:tcPr>
            <w:tcW w:w="877" w:type="pct"/>
            <w:vMerge w:val="continue"/>
            <w:tcBorders>
              <w:tl2br w:val="nil"/>
              <w:tr2bl w:val="nil"/>
            </w:tcBorders>
            <w:shd w:val="clear" w:color="auto" w:fill="auto"/>
            <w:vAlign w:val="center"/>
          </w:tcPr>
          <w:p w14:paraId="395BF758">
            <w:pPr>
              <w:widowControl/>
              <w:spacing w:line="240" w:lineRule="auto"/>
              <w:ind w:firstLine="0" w:firstLineChars="0"/>
              <w:jc w:val="center"/>
              <w:textAlignment w:val="center"/>
              <w:rPr>
                <w:color w:val="auto"/>
                <w:sz w:val="21"/>
                <w:szCs w:val="21"/>
                <w:lang w:bidi="ar"/>
              </w:rPr>
            </w:pPr>
          </w:p>
        </w:tc>
        <w:tc>
          <w:tcPr>
            <w:tcW w:w="634" w:type="pct"/>
            <w:vMerge w:val="continue"/>
            <w:tcBorders>
              <w:tl2br w:val="nil"/>
              <w:tr2bl w:val="nil"/>
            </w:tcBorders>
            <w:shd w:val="clear" w:color="auto" w:fill="auto"/>
            <w:vAlign w:val="center"/>
          </w:tcPr>
          <w:p w14:paraId="31B2C09C">
            <w:pPr>
              <w:widowControl/>
              <w:spacing w:line="240" w:lineRule="auto"/>
              <w:ind w:firstLine="0" w:firstLineChars="0"/>
              <w:jc w:val="center"/>
              <w:textAlignment w:val="center"/>
              <w:rPr>
                <w:color w:val="auto"/>
                <w:sz w:val="21"/>
                <w:szCs w:val="21"/>
                <w:lang w:bidi="ar"/>
              </w:rPr>
            </w:pPr>
          </w:p>
        </w:tc>
        <w:tc>
          <w:tcPr>
            <w:tcW w:w="531" w:type="pct"/>
            <w:vMerge w:val="continue"/>
            <w:tcBorders>
              <w:tl2br w:val="nil"/>
              <w:tr2bl w:val="nil"/>
            </w:tcBorders>
            <w:shd w:val="clear" w:color="auto" w:fill="auto"/>
            <w:vAlign w:val="center"/>
          </w:tcPr>
          <w:p w14:paraId="23575196">
            <w:pPr>
              <w:widowControl/>
              <w:spacing w:line="240" w:lineRule="auto"/>
              <w:ind w:firstLine="0" w:firstLineChars="0"/>
              <w:jc w:val="center"/>
              <w:textAlignment w:val="center"/>
              <w:rPr>
                <w:color w:val="auto"/>
                <w:sz w:val="21"/>
                <w:szCs w:val="21"/>
                <w:lang w:bidi="ar"/>
              </w:rPr>
            </w:pPr>
          </w:p>
        </w:tc>
        <w:tc>
          <w:tcPr>
            <w:tcW w:w="711" w:type="pct"/>
            <w:vMerge w:val="continue"/>
            <w:tcBorders>
              <w:tl2br w:val="nil"/>
              <w:tr2bl w:val="nil"/>
            </w:tcBorders>
            <w:shd w:val="clear" w:color="auto" w:fill="auto"/>
            <w:vAlign w:val="center"/>
          </w:tcPr>
          <w:p w14:paraId="594C38A5">
            <w:pPr>
              <w:widowControl/>
              <w:spacing w:line="240" w:lineRule="auto"/>
              <w:ind w:firstLine="0" w:firstLineChars="0"/>
              <w:jc w:val="center"/>
              <w:textAlignment w:val="center"/>
              <w:rPr>
                <w:color w:val="auto"/>
                <w:sz w:val="21"/>
                <w:szCs w:val="21"/>
                <w:lang w:bidi="ar"/>
              </w:rPr>
            </w:pPr>
          </w:p>
        </w:tc>
        <w:tc>
          <w:tcPr>
            <w:tcW w:w="590" w:type="pct"/>
            <w:vMerge w:val="continue"/>
            <w:tcBorders>
              <w:tl2br w:val="nil"/>
              <w:tr2bl w:val="nil"/>
            </w:tcBorders>
            <w:shd w:val="clear" w:color="auto" w:fill="auto"/>
            <w:vAlign w:val="center"/>
          </w:tcPr>
          <w:p w14:paraId="32B6DD54">
            <w:pPr>
              <w:widowControl/>
              <w:spacing w:line="240" w:lineRule="auto"/>
              <w:ind w:firstLine="0" w:firstLineChars="0"/>
              <w:jc w:val="center"/>
              <w:textAlignment w:val="center"/>
              <w:rPr>
                <w:color w:val="auto"/>
                <w:sz w:val="21"/>
                <w:szCs w:val="21"/>
                <w:lang w:bidi="ar"/>
              </w:rPr>
            </w:pPr>
          </w:p>
        </w:tc>
        <w:tc>
          <w:tcPr>
            <w:tcW w:w="621" w:type="pct"/>
            <w:vMerge w:val="continue"/>
            <w:tcBorders>
              <w:tl2br w:val="nil"/>
              <w:tr2bl w:val="nil"/>
            </w:tcBorders>
            <w:shd w:val="clear" w:color="auto" w:fill="auto"/>
            <w:vAlign w:val="center"/>
          </w:tcPr>
          <w:p w14:paraId="6590EC18">
            <w:pPr>
              <w:widowControl/>
              <w:spacing w:line="240" w:lineRule="auto"/>
              <w:ind w:firstLine="0" w:firstLineChars="0"/>
              <w:jc w:val="center"/>
              <w:textAlignment w:val="center"/>
              <w:rPr>
                <w:color w:val="auto"/>
                <w:sz w:val="21"/>
                <w:szCs w:val="21"/>
                <w:lang w:bidi="ar"/>
              </w:rPr>
            </w:pPr>
          </w:p>
        </w:tc>
        <w:tc>
          <w:tcPr>
            <w:tcW w:w="645" w:type="pct"/>
            <w:vMerge w:val="continue"/>
            <w:tcBorders>
              <w:tl2br w:val="nil"/>
              <w:tr2bl w:val="nil"/>
            </w:tcBorders>
            <w:shd w:val="clear" w:color="auto" w:fill="auto"/>
            <w:vAlign w:val="center"/>
          </w:tcPr>
          <w:p w14:paraId="0E4ED97C">
            <w:pPr>
              <w:widowControl/>
              <w:spacing w:line="240" w:lineRule="auto"/>
              <w:ind w:firstLine="0" w:firstLineChars="0"/>
              <w:jc w:val="center"/>
              <w:textAlignment w:val="center"/>
              <w:rPr>
                <w:color w:val="auto"/>
                <w:sz w:val="21"/>
                <w:szCs w:val="21"/>
                <w:lang w:bidi="ar"/>
              </w:rPr>
            </w:pPr>
          </w:p>
        </w:tc>
      </w:tr>
      <w:tr w14:paraId="4529D0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shd w:val="clear" w:color="auto" w:fill="auto"/>
            <w:vAlign w:val="center"/>
          </w:tcPr>
          <w:p w14:paraId="2691E3EB">
            <w:pPr>
              <w:widowControl/>
              <w:spacing w:line="240" w:lineRule="auto"/>
              <w:ind w:firstLine="0" w:firstLineChars="0"/>
              <w:jc w:val="center"/>
              <w:textAlignment w:val="center"/>
              <w:rPr>
                <w:color w:val="auto"/>
                <w:sz w:val="21"/>
                <w:szCs w:val="21"/>
                <w:lang w:bidi="ar"/>
              </w:rPr>
            </w:pPr>
            <w:r>
              <w:rPr>
                <w:color w:val="auto"/>
                <w:sz w:val="21"/>
                <w:szCs w:val="21"/>
                <w:lang w:bidi="ar"/>
              </w:rPr>
              <w:t>A区</w:t>
            </w:r>
          </w:p>
        </w:tc>
        <w:tc>
          <w:tcPr>
            <w:tcW w:w="877" w:type="pct"/>
            <w:tcBorders>
              <w:tl2br w:val="nil"/>
              <w:tr2bl w:val="nil"/>
            </w:tcBorders>
            <w:shd w:val="clear" w:color="auto" w:fill="auto"/>
            <w:vAlign w:val="center"/>
          </w:tcPr>
          <w:p w14:paraId="48444DFD">
            <w:pPr>
              <w:widowControl/>
              <w:spacing w:line="240" w:lineRule="auto"/>
              <w:ind w:firstLine="0" w:firstLineChars="0"/>
              <w:jc w:val="center"/>
              <w:textAlignment w:val="center"/>
              <w:rPr>
                <w:color w:val="auto"/>
                <w:sz w:val="21"/>
                <w:szCs w:val="21"/>
                <w:lang w:bidi="ar"/>
              </w:rPr>
            </w:pPr>
            <w:r>
              <w:rPr>
                <w:color w:val="auto"/>
                <w:sz w:val="21"/>
                <w:szCs w:val="21"/>
                <w:lang w:bidi="ar"/>
              </w:rPr>
              <w:t>指标（万m</w:t>
            </w:r>
            <w:r>
              <w:rPr>
                <w:color w:val="auto"/>
                <w:sz w:val="21"/>
                <w:szCs w:val="21"/>
                <w:vertAlign w:val="superscript"/>
                <w:lang w:bidi="ar"/>
              </w:rPr>
              <w:t>3</w:t>
            </w:r>
            <w:r>
              <w:rPr>
                <w:rFonts w:hint="eastAsia"/>
                <w:color w:val="auto"/>
                <w:sz w:val="21"/>
                <w:szCs w:val="21"/>
                <w:vertAlign w:val="superscript"/>
                <w:lang w:bidi="ar"/>
              </w:rPr>
              <w:t>）</w:t>
            </w:r>
          </w:p>
        </w:tc>
        <w:tc>
          <w:tcPr>
            <w:tcW w:w="634" w:type="pct"/>
            <w:tcBorders>
              <w:tl2br w:val="nil"/>
              <w:tr2bl w:val="nil"/>
            </w:tcBorders>
            <w:shd w:val="clear" w:color="auto" w:fill="auto"/>
            <w:vAlign w:val="center"/>
          </w:tcPr>
          <w:p w14:paraId="06DF9D3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290.72 </w:t>
            </w:r>
          </w:p>
        </w:tc>
        <w:tc>
          <w:tcPr>
            <w:tcW w:w="531" w:type="pct"/>
            <w:tcBorders>
              <w:tl2br w:val="nil"/>
              <w:tr2bl w:val="nil"/>
            </w:tcBorders>
            <w:shd w:val="clear" w:color="auto" w:fill="auto"/>
            <w:vAlign w:val="center"/>
          </w:tcPr>
          <w:p w14:paraId="3730AA8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98.99 </w:t>
            </w:r>
          </w:p>
        </w:tc>
        <w:tc>
          <w:tcPr>
            <w:tcW w:w="711" w:type="pct"/>
            <w:tcBorders>
              <w:tl2br w:val="nil"/>
              <w:tr2bl w:val="nil"/>
            </w:tcBorders>
            <w:shd w:val="clear" w:color="auto" w:fill="auto"/>
            <w:vAlign w:val="center"/>
          </w:tcPr>
          <w:p w14:paraId="51E4048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95.23 </w:t>
            </w:r>
          </w:p>
        </w:tc>
        <w:tc>
          <w:tcPr>
            <w:tcW w:w="590" w:type="pct"/>
            <w:tcBorders>
              <w:tl2br w:val="nil"/>
              <w:tr2bl w:val="nil"/>
            </w:tcBorders>
            <w:shd w:val="clear" w:color="auto" w:fill="auto"/>
            <w:vAlign w:val="center"/>
          </w:tcPr>
          <w:p w14:paraId="042E24A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43.65 </w:t>
            </w:r>
          </w:p>
        </w:tc>
        <w:tc>
          <w:tcPr>
            <w:tcW w:w="621" w:type="pct"/>
            <w:tcBorders>
              <w:tl2br w:val="nil"/>
              <w:tr2bl w:val="nil"/>
            </w:tcBorders>
            <w:shd w:val="clear" w:color="auto" w:fill="auto"/>
            <w:vAlign w:val="center"/>
          </w:tcPr>
          <w:p w14:paraId="799D1DD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52.86 </w:t>
            </w:r>
          </w:p>
        </w:tc>
        <w:tc>
          <w:tcPr>
            <w:tcW w:w="645" w:type="pct"/>
            <w:tcBorders>
              <w:tl2br w:val="nil"/>
              <w:tr2bl w:val="nil"/>
            </w:tcBorders>
            <w:shd w:val="clear" w:color="auto" w:fill="auto"/>
            <w:vAlign w:val="center"/>
          </w:tcPr>
          <w:p w14:paraId="7850F97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581.45 </w:t>
            </w:r>
          </w:p>
        </w:tc>
      </w:tr>
      <w:tr w14:paraId="2D761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shd w:val="clear" w:color="auto" w:fill="auto"/>
            <w:vAlign w:val="center"/>
          </w:tcPr>
          <w:p w14:paraId="40FCBB83">
            <w:pPr>
              <w:widowControl/>
              <w:spacing w:line="240" w:lineRule="auto"/>
              <w:ind w:firstLine="0" w:firstLineChars="0"/>
              <w:jc w:val="center"/>
              <w:textAlignment w:val="center"/>
              <w:rPr>
                <w:color w:val="auto"/>
                <w:sz w:val="21"/>
                <w:szCs w:val="21"/>
                <w:lang w:bidi="ar"/>
              </w:rPr>
            </w:pPr>
          </w:p>
        </w:tc>
        <w:tc>
          <w:tcPr>
            <w:tcW w:w="877" w:type="pct"/>
            <w:tcBorders>
              <w:tl2br w:val="nil"/>
              <w:tr2bl w:val="nil"/>
            </w:tcBorders>
            <w:shd w:val="clear" w:color="auto" w:fill="auto"/>
            <w:vAlign w:val="center"/>
          </w:tcPr>
          <w:p w14:paraId="1974A923">
            <w:pPr>
              <w:widowControl/>
              <w:spacing w:line="240" w:lineRule="auto"/>
              <w:ind w:firstLine="0" w:firstLineChars="0"/>
              <w:jc w:val="center"/>
              <w:textAlignment w:val="center"/>
              <w:rPr>
                <w:color w:val="auto"/>
                <w:sz w:val="21"/>
                <w:szCs w:val="21"/>
                <w:lang w:bidi="ar"/>
              </w:rPr>
            </w:pPr>
            <w:r>
              <w:rPr>
                <w:color w:val="auto"/>
                <w:sz w:val="21"/>
                <w:szCs w:val="21"/>
                <w:lang w:bidi="ar"/>
              </w:rPr>
              <w:t>所占比例（%</w:t>
            </w:r>
            <w:r>
              <w:rPr>
                <w:rFonts w:hint="eastAsia"/>
                <w:color w:val="auto"/>
                <w:sz w:val="21"/>
                <w:szCs w:val="21"/>
                <w:lang w:bidi="ar"/>
              </w:rPr>
              <w:t>）</w:t>
            </w:r>
          </w:p>
        </w:tc>
        <w:tc>
          <w:tcPr>
            <w:tcW w:w="634" w:type="pct"/>
            <w:tcBorders>
              <w:tl2br w:val="nil"/>
              <w:tr2bl w:val="nil"/>
            </w:tcBorders>
            <w:shd w:val="clear" w:color="auto" w:fill="auto"/>
            <w:vAlign w:val="center"/>
          </w:tcPr>
          <w:p w14:paraId="0BB7E67B">
            <w:pPr>
              <w:widowControl/>
              <w:spacing w:line="240" w:lineRule="auto"/>
              <w:ind w:firstLine="0" w:firstLineChars="0"/>
              <w:jc w:val="center"/>
              <w:textAlignment w:val="center"/>
              <w:rPr>
                <w:color w:val="auto"/>
                <w:sz w:val="21"/>
                <w:szCs w:val="21"/>
                <w:lang w:bidi="ar"/>
              </w:rPr>
            </w:pPr>
            <w:r>
              <w:rPr>
                <w:color w:val="auto"/>
                <w:sz w:val="21"/>
                <w:szCs w:val="21"/>
                <w:lang w:bidi="ar"/>
              </w:rPr>
              <w:t>50.00%</w:t>
            </w:r>
          </w:p>
        </w:tc>
        <w:tc>
          <w:tcPr>
            <w:tcW w:w="531" w:type="pct"/>
            <w:tcBorders>
              <w:tl2br w:val="nil"/>
              <w:tr2bl w:val="nil"/>
            </w:tcBorders>
            <w:shd w:val="clear" w:color="auto" w:fill="auto"/>
            <w:vAlign w:val="center"/>
          </w:tcPr>
          <w:p w14:paraId="488B33C4">
            <w:pPr>
              <w:widowControl/>
              <w:spacing w:line="240" w:lineRule="auto"/>
              <w:ind w:firstLine="0" w:firstLineChars="0"/>
              <w:jc w:val="center"/>
              <w:textAlignment w:val="center"/>
              <w:rPr>
                <w:color w:val="auto"/>
                <w:sz w:val="21"/>
                <w:szCs w:val="21"/>
                <w:lang w:bidi="ar"/>
              </w:rPr>
            </w:pPr>
            <w:r>
              <w:rPr>
                <w:color w:val="auto"/>
                <w:sz w:val="21"/>
                <w:szCs w:val="21"/>
                <w:lang w:bidi="ar"/>
              </w:rPr>
              <w:t>17.02%</w:t>
            </w:r>
          </w:p>
        </w:tc>
        <w:tc>
          <w:tcPr>
            <w:tcW w:w="711" w:type="pct"/>
            <w:tcBorders>
              <w:tl2br w:val="nil"/>
              <w:tr2bl w:val="nil"/>
            </w:tcBorders>
            <w:shd w:val="clear" w:color="auto" w:fill="auto"/>
            <w:vAlign w:val="center"/>
          </w:tcPr>
          <w:p w14:paraId="609C49C9">
            <w:pPr>
              <w:widowControl/>
              <w:spacing w:line="240" w:lineRule="auto"/>
              <w:ind w:firstLine="0" w:firstLineChars="0"/>
              <w:jc w:val="center"/>
              <w:textAlignment w:val="center"/>
              <w:rPr>
                <w:color w:val="auto"/>
                <w:sz w:val="21"/>
                <w:szCs w:val="21"/>
                <w:lang w:bidi="ar"/>
              </w:rPr>
            </w:pPr>
            <w:r>
              <w:rPr>
                <w:color w:val="auto"/>
                <w:sz w:val="21"/>
                <w:szCs w:val="21"/>
                <w:lang w:bidi="ar"/>
              </w:rPr>
              <w:t>16.38%</w:t>
            </w:r>
          </w:p>
        </w:tc>
        <w:tc>
          <w:tcPr>
            <w:tcW w:w="590" w:type="pct"/>
            <w:tcBorders>
              <w:tl2br w:val="nil"/>
              <w:tr2bl w:val="nil"/>
            </w:tcBorders>
            <w:shd w:val="clear" w:color="auto" w:fill="auto"/>
            <w:vAlign w:val="center"/>
          </w:tcPr>
          <w:p w14:paraId="60211D8D">
            <w:pPr>
              <w:widowControl/>
              <w:spacing w:line="240" w:lineRule="auto"/>
              <w:ind w:firstLine="0" w:firstLineChars="0"/>
              <w:jc w:val="center"/>
              <w:textAlignment w:val="center"/>
              <w:rPr>
                <w:color w:val="auto"/>
                <w:sz w:val="21"/>
                <w:szCs w:val="21"/>
                <w:lang w:bidi="ar"/>
              </w:rPr>
            </w:pPr>
            <w:r>
              <w:rPr>
                <w:color w:val="auto"/>
                <w:sz w:val="21"/>
                <w:szCs w:val="21"/>
                <w:lang w:bidi="ar"/>
              </w:rPr>
              <w:t>7.51%</w:t>
            </w:r>
          </w:p>
        </w:tc>
        <w:tc>
          <w:tcPr>
            <w:tcW w:w="621" w:type="pct"/>
            <w:tcBorders>
              <w:tl2br w:val="nil"/>
              <w:tr2bl w:val="nil"/>
            </w:tcBorders>
            <w:shd w:val="clear" w:color="auto" w:fill="auto"/>
            <w:vAlign w:val="center"/>
          </w:tcPr>
          <w:p w14:paraId="1FBE203E">
            <w:pPr>
              <w:widowControl/>
              <w:spacing w:line="240" w:lineRule="auto"/>
              <w:ind w:firstLine="0" w:firstLineChars="0"/>
              <w:jc w:val="center"/>
              <w:textAlignment w:val="center"/>
              <w:rPr>
                <w:color w:val="auto"/>
                <w:sz w:val="21"/>
                <w:szCs w:val="21"/>
                <w:lang w:bidi="ar"/>
              </w:rPr>
            </w:pPr>
            <w:r>
              <w:rPr>
                <w:color w:val="auto"/>
                <w:sz w:val="21"/>
                <w:szCs w:val="21"/>
                <w:lang w:bidi="ar"/>
              </w:rPr>
              <w:t>9.09%</w:t>
            </w:r>
          </w:p>
        </w:tc>
        <w:tc>
          <w:tcPr>
            <w:tcW w:w="645" w:type="pct"/>
            <w:tcBorders>
              <w:tl2br w:val="nil"/>
              <w:tr2bl w:val="nil"/>
            </w:tcBorders>
            <w:shd w:val="clear" w:color="auto" w:fill="auto"/>
            <w:vAlign w:val="center"/>
          </w:tcPr>
          <w:p w14:paraId="59DAD176">
            <w:pPr>
              <w:widowControl/>
              <w:spacing w:line="240" w:lineRule="auto"/>
              <w:ind w:firstLine="0" w:firstLineChars="0"/>
              <w:jc w:val="center"/>
              <w:textAlignment w:val="center"/>
              <w:rPr>
                <w:color w:val="auto"/>
                <w:sz w:val="21"/>
                <w:szCs w:val="21"/>
                <w:lang w:bidi="ar"/>
              </w:rPr>
            </w:pPr>
            <w:r>
              <w:rPr>
                <w:color w:val="auto"/>
                <w:sz w:val="21"/>
                <w:szCs w:val="21"/>
                <w:lang w:bidi="ar"/>
              </w:rPr>
              <w:t>100.00%</w:t>
            </w:r>
          </w:p>
        </w:tc>
      </w:tr>
      <w:tr w14:paraId="13B85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shd w:val="clear" w:color="auto" w:fill="auto"/>
            <w:vAlign w:val="center"/>
          </w:tcPr>
          <w:p w14:paraId="2D0D6FB0">
            <w:pPr>
              <w:widowControl/>
              <w:spacing w:line="240" w:lineRule="auto"/>
              <w:ind w:firstLine="0" w:firstLineChars="0"/>
              <w:jc w:val="center"/>
              <w:textAlignment w:val="center"/>
              <w:rPr>
                <w:color w:val="auto"/>
                <w:sz w:val="21"/>
                <w:szCs w:val="21"/>
                <w:lang w:bidi="ar"/>
              </w:rPr>
            </w:pPr>
            <w:r>
              <w:rPr>
                <w:color w:val="auto"/>
                <w:sz w:val="21"/>
                <w:szCs w:val="21"/>
                <w:lang w:bidi="ar"/>
              </w:rPr>
              <w:t>B区</w:t>
            </w:r>
          </w:p>
        </w:tc>
        <w:tc>
          <w:tcPr>
            <w:tcW w:w="877" w:type="pct"/>
            <w:tcBorders>
              <w:tl2br w:val="nil"/>
              <w:tr2bl w:val="nil"/>
            </w:tcBorders>
            <w:shd w:val="clear" w:color="auto" w:fill="auto"/>
            <w:vAlign w:val="center"/>
          </w:tcPr>
          <w:p w14:paraId="666BC936">
            <w:pPr>
              <w:widowControl/>
              <w:spacing w:line="240" w:lineRule="auto"/>
              <w:ind w:firstLine="0" w:firstLineChars="0"/>
              <w:jc w:val="center"/>
              <w:textAlignment w:val="center"/>
              <w:rPr>
                <w:color w:val="auto"/>
                <w:sz w:val="21"/>
                <w:szCs w:val="21"/>
                <w:lang w:bidi="ar"/>
              </w:rPr>
            </w:pPr>
            <w:r>
              <w:rPr>
                <w:color w:val="auto"/>
                <w:sz w:val="21"/>
                <w:szCs w:val="21"/>
                <w:lang w:bidi="ar"/>
              </w:rPr>
              <w:t>指标（万m</w:t>
            </w:r>
            <w:r>
              <w:rPr>
                <w:color w:val="auto"/>
                <w:sz w:val="21"/>
                <w:szCs w:val="21"/>
                <w:vertAlign w:val="superscript"/>
                <w:lang w:bidi="ar"/>
              </w:rPr>
              <w:t>3</w:t>
            </w:r>
            <w:r>
              <w:rPr>
                <w:rFonts w:hint="eastAsia"/>
                <w:color w:val="auto"/>
                <w:sz w:val="21"/>
                <w:szCs w:val="21"/>
                <w:vertAlign w:val="superscript"/>
                <w:lang w:bidi="ar"/>
              </w:rPr>
              <w:t>）</w:t>
            </w:r>
          </w:p>
        </w:tc>
        <w:tc>
          <w:tcPr>
            <w:tcW w:w="634" w:type="pct"/>
            <w:tcBorders>
              <w:tl2br w:val="nil"/>
              <w:tr2bl w:val="nil"/>
            </w:tcBorders>
            <w:shd w:val="clear" w:color="auto" w:fill="auto"/>
            <w:vAlign w:val="center"/>
          </w:tcPr>
          <w:p w14:paraId="3C4A5D1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273.20 </w:t>
            </w:r>
          </w:p>
        </w:tc>
        <w:tc>
          <w:tcPr>
            <w:tcW w:w="531" w:type="pct"/>
            <w:tcBorders>
              <w:tl2br w:val="nil"/>
              <w:tr2bl w:val="nil"/>
            </w:tcBorders>
            <w:shd w:val="clear" w:color="auto" w:fill="auto"/>
            <w:vAlign w:val="center"/>
          </w:tcPr>
          <w:p w14:paraId="318DAFF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981.35 </w:t>
            </w:r>
          </w:p>
        </w:tc>
        <w:tc>
          <w:tcPr>
            <w:tcW w:w="711" w:type="pct"/>
            <w:tcBorders>
              <w:tl2br w:val="nil"/>
              <w:tr2bl w:val="nil"/>
            </w:tcBorders>
            <w:shd w:val="clear" w:color="auto" w:fill="auto"/>
            <w:vAlign w:val="center"/>
          </w:tcPr>
          <w:p w14:paraId="464BBAC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221.75 </w:t>
            </w:r>
          </w:p>
        </w:tc>
        <w:tc>
          <w:tcPr>
            <w:tcW w:w="590" w:type="pct"/>
            <w:tcBorders>
              <w:tl2br w:val="nil"/>
              <w:tr2bl w:val="nil"/>
            </w:tcBorders>
            <w:shd w:val="clear" w:color="auto" w:fill="auto"/>
            <w:vAlign w:val="center"/>
          </w:tcPr>
          <w:p w14:paraId="098AC0A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132.87 </w:t>
            </w:r>
          </w:p>
        </w:tc>
        <w:tc>
          <w:tcPr>
            <w:tcW w:w="621" w:type="pct"/>
            <w:tcBorders>
              <w:tl2br w:val="nil"/>
              <w:tr2bl w:val="nil"/>
            </w:tcBorders>
            <w:shd w:val="clear" w:color="auto" w:fill="auto"/>
            <w:vAlign w:val="center"/>
          </w:tcPr>
          <w:p w14:paraId="5BABEA5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160.92 </w:t>
            </w:r>
          </w:p>
        </w:tc>
        <w:tc>
          <w:tcPr>
            <w:tcW w:w="645" w:type="pct"/>
            <w:tcBorders>
              <w:tl2br w:val="nil"/>
              <w:tr2bl w:val="nil"/>
            </w:tcBorders>
            <w:shd w:val="clear" w:color="auto" w:fill="auto"/>
            <w:vAlign w:val="center"/>
          </w:tcPr>
          <w:p w14:paraId="2E6E5B6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1770.09 </w:t>
            </w:r>
          </w:p>
        </w:tc>
      </w:tr>
      <w:tr w14:paraId="39FE5A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shd w:val="clear" w:color="auto" w:fill="auto"/>
            <w:vAlign w:val="center"/>
          </w:tcPr>
          <w:p w14:paraId="464A4562">
            <w:pPr>
              <w:widowControl/>
              <w:spacing w:line="240" w:lineRule="auto"/>
              <w:ind w:firstLine="0" w:firstLineChars="0"/>
              <w:jc w:val="center"/>
              <w:textAlignment w:val="center"/>
              <w:rPr>
                <w:color w:val="auto"/>
                <w:sz w:val="21"/>
                <w:szCs w:val="21"/>
                <w:lang w:bidi="ar"/>
              </w:rPr>
            </w:pPr>
          </w:p>
        </w:tc>
        <w:tc>
          <w:tcPr>
            <w:tcW w:w="877" w:type="pct"/>
            <w:tcBorders>
              <w:tl2br w:val="nil"/>
              <w:tr2bl w:val="nil"/>
            </w:tcBorders>
            <w:shd w:val="clear" w:color="auto" w:fill="auto"/>
            <w:vAlign w:val="center"/>
          </w:tcPr>
          <w:p w14:paraId="718E10F6">
            <w:pPr>
              <w:widowControl/>
              <w:spacing w:line="240" w:lineRule="auto"/>
              <w:ind w:firstLine="0" w:firstLineChars="0"/>
              <w:jc w:val="center"/>
              <w:textAlignment w:val="center"/>
              <w:rPr>
                <w:color w:val="auto"/>
                <w:sz w:val="21"/>
                <w:szCs w:val="21"/>
                <w:lang w:bidi="ar"/>
              </w:rPr>
            </w:pPr>
            <w:r>
              <w:rPr>
                <w:color w:val="auto"/>
                <w:sz w:val="21"/>
                <w:szCs w:val="21"/>
                <w:lang w:bidi="ar"/>
              </w:rPr>
              <w:t>所占比例（%</w:t>
            </w:r>
            <w:r>
              <w:rPr>
                <w:rFonts w:hint="eastAsia"/>
                <w:color w:val="auto"/>
                <w:sz w:val="21"/>
                <w:szCs w:val="21"/>
                <w:lang w:bidi="ar"/>
              </w:rPr>
              <w:t>）</w:t>
            </w:r>
          </w:p>
        </w:tc>
        <w:tc>
          <w:tcPr>
            <w:tcW w:w="634" w:type="pct"/>
            <w:tcBorders>
              <w:tl2br w:val="nil"/>
              <w:tr2bl w:val="nil"/>
            </w:tcBorders>
            <w:shd w:val="clear" w:color="auto" w:fill="auto"/>
            <w:vAlign w:val="center"/>
          </w:tcPr>
          <w:p w14:paraId="4A8AD6CD">
            <w:pPr>
              <w:widowControl/>
              <w:spacing w:line="240" w:lineRule="auto"/>
              <w:ind w:firstLine="0" w:firstLineChars="0"/>
              <w:jc w:val="center"/>
              <w:textAlignment w:val="center"/>
              <w:rPr>
                <w:color w:val="auto"/>
                <w:sz w:val="21"/>
                <w:szCs w:val="21"/>
                <w:lang w:bidi="ar"/>
              </w:rPr>
            </w:pPr>
            <w:r>
              <w:rPr>
                <w:color w:val="auto"/>
                <w:sz w:val="21"/>
                <w:szCs w:val="21"/>
                <w:lang w:bidi="ar"/>
              </w:rPr>
              <w:t>15.43%</w:t>
            </w:r>
          </w:p>
        </w:tc>
        <w:tc>
          <w:tcPr>
            <w:tcW w:w="531" w:type="pct"/>
            <w:tcBorders>
              <w:tl2br w:val="nil"/>
              <w:tr2bl w:val="nil"/>
            </w:tcBorders>
            <w:shd w:val="clear" w:color="auto" w:fill="auto"/>
            <w:vAlign w:val="center"/>
          </w:tcPr>
          <w:p w14:paraId="07EBA609">
            <w:pPr>
              <w:widowControl/>
              <w:spacing w:line="240" w:lineRule="auto"/>
              <w:ind w:firstLine="0" w:firstLineChars="0"/>
              <w:jc w:val="center"/>
              <w:textAlignment w:val="center"/>
              <w:rPr>
                <w:color w:val="auto"/>
                <w:sz w:val="21"/>
                <w:szCs w:val="21"/>
                <w:lang w:bidi="ar"/>
              </w:rPr>
            </w:pPr>
            <w:r>
              <w:rPr>
                <w:color w:val="auto"/>
                <w:sz w:val="21"/>
                <w:szCs w:val="21"/>
                <w:lang w:bidi="ar"/>
              </w:rPr>
              <w:t>55.44%</w:t>
            </w:r>
          </w:p>
        </w:tc>
        <w:tc>
          <w:tcPr>
            <w:tcW w:w="711" w:type="pct"/>
            <w:tcBorders>
              <w:tl2br w:val="nil"/>
              <w:tr2bl w:val="nil"/>
            </w:tcBorders>
            <w:shd w:val="clear" w:color="auto" w:fill="auto"/>
            <w:vAlign w:val="center"/>
          </w:tcPr>
          <w:p w14:paraId="63641C07">
            <w:pPr>
              <w:widowControl/>
              <w:spacing w:line="240" w:lineRule="auto"/>
              <w:ind w:firstLine="0" w:firstLineChars="0"/>
              <w:jc w:val="center"/>
              <w:textAlignment w:val="center"/>
              <w:rPr>
                <w:color w:val="auto"/>
                <w:sz w:val="21"/>
                <w:szCs w:val="21"/>
                <w:lang w:bidi="ar"/>
              </w:rPr>
            </w:pPr>
            <w:r>
              <w:rPr>
                <w:color w:val="auto"/>
                <w:sz w:val="21"/>
                <w:szCs w:val="21"/>
                <w:lang w:bidi="ar"/>
              </w:rPr>
              <w:t>12.53%</w:t>
            </w:r>
          </w:p>
        </w:tc>
        <w:tc>
          <w:tcPr>
            <w:tcW w:w="590" w:type="pct"/>
            <w:tcBorders>
              <w:tl2br w:val="nil"/>
              <w:tr2bl w:val="nil"/>
            </w:tcBorders>
            <w:shd w:val="clear" w:color="auto" w:fill="auto"/>
            <w:vAlign w:val="center"/>
          </w:tcPr>
          <w:p w14:paraId="0B96B0DB">
            <w:pPr>
              <w:widowControl/>
              <w:spacing w:line="240" w:lineRule="auto"/>
              <w:ind w:firstLine="0" w:firstLineChars="0"/>
              <w:jc w:val="center"/>
              <w:textAlignment w:val="center"/>
              <w:rPr>
                <w:color w:val="auto"/>
                <w:sz w:val="21"/>
                <w:szCs w:val="21"/>
                <w:lang w:bidi="ar"/>
              </w:rPr>
            </w:pPr>
            <w:r>
              <w:rPr>
                <w:color w:val="auto"/>
                <w:sz w:val="21"/>
                <w:szCs w:val="21"/>
                <w:lang w:bidi="ar"/>
              </w:rPr>
              <w:t>7.51%</w:t>
            </w:r>
          </w:p>
        </w:tc>
        <w:tc>
          <w:tcPr>
            <w:tcW w:w="621" w:type="pct"/>
            <w:tcBorders>
              <w:tl2br w:val="nil"/>
              <w:tr2bl w:val="nil"/>
            </w:tcBorders>
            <w:shd w:val="clear" w:color="auto" w:fill="auto"/>
            <w:vAlign w:val="center"/>
          </w:tcPr>
          <w:p w14:paraId="501E7701">
            <w:pPr>
              <w:widowControl/>
              <w:spacing w:line="240" w:lineRule="auto"/>
              <w:ind w:firstLine="0" w:firstLineChars="0"/>
              <w:jc w:val="center"/>
              <w:textAlignment w:val="center"/>
              <w:rPr>
                <w:color w:val="auto"/>
                <w:sz w:val="21"/>
                <w:szCs w:val="21"/>
                <w:lang w:bidi="ar"/>
              </w:rPr>
            </w:pPr>
            <w:r>
              <w:rPr>
                <w:color w:val="auto"/>
                <w:sz w:val="21"/>
                <w:szCs w:val="21"/>
                <w:lang w:bidi="ar"/>
              </w:rPr>
              <w:t>9.09%</w:t>
            </w:r>
          </w:p>
        </w:tc>
        <w:tc>
          <w:tcPr>
            <w:tcW w:w="645" w:type="pct"/>
            <w:tcBorders>
              <w:tl2br w:val="nil"/>
              <w:tr2bl w:val="nil"/>
            </w:tcBorders>
            <w:shd w:val="clear" w:color="auto" w:fill="auto"/>
            <w:vAlign w:val="center"/>
          </w:tcPr>
          <w:p w14:paraId="72F06D43">
            <w:pPr>
              <w:widowControl/>
              <w:spacing w:line="240" w:lineRule="auto"/>
              <w:ind w:firstLine="0" w:firstLineChars="0"/>
              <w:jc w:val="center"/>
              <w:textAlignment w:val="center"/>
              <w:rPr>
                <w:color w:val="auto"/>
                <w:sz w:val="21"/>
                <w:szCs w:val="21"/>
                <w:lang w:bidi="ar"/>
              </w:rPr>
            </w:pPr>
            <w:r>
              <w:rPr>
                <w:color w:val="auto"/>
                <w:sz w:val="21"/>
                <w:szCs w:val="21"/>
                <w:lang w:bidi="ar"/>
              </w:rPr>
              <w:t>100.00%</w:t>
            </w:r>
          </w:p>
        </w:tc>
      </w:tr>
      <w:tr w14:paraId="55197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shd w:val="clear" w:color="auto" w:fill="auto"/>
            <w:vAlign w:val="center"/>
          </w:tcPr>
          <w:p w14:paraId="66507AE0">
            <w:pPr>
              <w:widowControl/>
              <w:spacing w:line="240" w:lineRule="auto"/>
              <w:ind w:firstLine="0" w:firstLineChars="0"/>
              <w:jc w:val="center"/>
              <w:textAlignment w:val="center"/>
              <w:rPr>
                <w:color w:val="auto"/>
                <w:sz w:val="21"/>
                <w:szCs w:val="21"/>
                <w:lang w:bidi="ar"/>
              </w:rPr>
            </w:pPr>
            <w:r>
              <w:rPr>
                <w:color w:val="auto"/>
                <w:sz w:val="21"/>
                <w:szCs w:val="21"/>
                <w:lang w:bidi="ar"/>
              </w:rPr>
              <w:t>C区</w:t>
            </w:r>
          </w:p>
        </w:tc>
        <w:tc>
          <w:tcPr>
            <w:tcW w:w="877" w:type="pct"/>
            <w:tcBorders>
              <w:tl2br w:val="nil"/>
              <w:tr2bl w:val="nil"/>
            </w:tcBorders>
            <w:shd w:val="clear" w:color="auto" w:fill="auto"/>
            <w:vAlign w:val="center"/>
          </w:tcPr>
          <w:p w14:paraId="1B4E07DA">
            <w:pPr>
              <w:widowControl/>
              <w:spacing w:line="240" w:lineRule="auto"/>
              <w:ind w:firstLine="0" w:firstLineChars="0"/>
              <w:jc w:val="center"/>
              <w:textAlignment w:val="center"/>
              <w:rPr>
                <w:color w:val="auto"/>
                <w:sz w:val="21"/>
                <w:szCs w:val="21"/>
                <w:lang w:bidi="ar"/>
              </w:rPr>
            </w:pPr>
            <w:r>
              <w:rPr>
                <w:color w:val="auto"/>
                <w:sz w:val="21"/>
                <w:szCs w:val="21"/>
                <w:lang w:bidi="ar"/>
              </w:rPr>
              <w:t>指标（万m</w:t>
            </w:r>
            <w:r>
              <w:rPr>
                <w:color w:val="auto"/>
                <w:sz w:val="21"/>
                <w:szCs w:val="21"/>
                <w:vertAlign w:val="superscript"/>
                <w:lang w:bidi="ar"/>
              </w:rPr>
              <w:t>3</w:t>
            </w:r>
            <w:r>
              <w:rPr>
                <w:rFonts w:hint="eastAsia"/>
                <w:color w:val="auto"/>
                <w:sz w:val="21"/>
                <w:szCs w:val="21"/>
                <w:vertAlign w:val="superscript"/>
                <w:lang w:bidi="ar"/>
              </w:rPr>
              <w:t>）</w:t>
            </w:r>
          </w:p>
        </w:tc>
        <w:tc>
          <w:tcPr>
            <w:tcW w:w="634" w:type="pct"/>
            <w:tcBorders>
              <w:tl2br w:val="nil"/>
              <w:tr2bl w:val="nil"/>
            </w:tcBorders>
            <w:shd w:val="clear" w:color="auto" w:fill="auto"/>
            <w:vAlign w:val="center"/>
          </w:tcPr>
          <w:p w14:paraId="6A809E7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299.58 </w:t>
            </w:r>
          </w:p>
        </w:tc>
        <w:tc>
          <w:tcPr>
            <w:tcW w:w="531" w:type="pct"/>
            <w:tcBorders>
              <w:tl2br w:val="nil"/>
              <w:tr2bl w:val="nil"/>
            </w:tcBorders>
            <w:shd w:val="clear" w:color="auto" w:fill="auto"/>
            <w:vAlign w:val="center"/>
          </w:tcPr>
          <w:p w14:paraId="26E155E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674.88 </w:t>
            </w:r>
          </w:p>
        </w:tc>
        <w:tc>
          <w:tcPr>
            <w:tcW w:w="711" w:type="pct"/>
            <w:tcBorders>
              <w:tl2br w:val="nil"/>
              <w:tr2bl w:val="nil"/>
            </w:tcBorders>
            <w:shd w:val="clear" w:color="auto" w:fill="auto"/>
            <w:vAlign w:val="center"/>
          </w:tcPr>
          <w:p w14:paraId="7A3C1BE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138.48 </w:t>
            </w:r>
          </w:p>
        </w:tc>
        <w:tc>
          <w:tcPr>
            <w:tcW w:w="590" w:type="pct"/>
            <w:tcBorders>
              <w:tl2br w:val="nil"/>
              <w:tr2bl w:val="nil"/>
            </w:tcBorders>
            <w:shd w:val="clear" w:color="auto" w:fill="auto"/>
            <w:vAlign w:val="center"/>
          </w:tcPr>
          <w:p w14:paraId="1F1620E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100.16 </w:t>
            </w:r>
          </w:p>
        </w:tc>
        <w:tc>
          <w:tcPr>
            <w:tcW w:w="621" w:type="pct"/>
            <w:tcBorders>
              <w:tl2br w:val="nil"/>
              <w:tr2bl w:val="nil"/>
            </w:tcBorders>
            <w:shd w:val="clear" w:color="auto" w:fill="auto"/>
            <w:vAlign w:val="center"/>
          </w:tcPr>
          <w:p w14:paraId="7B24ED0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121.31 </w:t>
            </w:r>
          </w:p>
        </w:tc>
        <w:tc>
          <w:tcPr>
            <w:tcW w:w="645" w:type="pct"/>
            <w:tcBorders>
              <w:tl2br w:val="nil"/>
              <w:tr2bl w:val="nil"/>
            </w:tcBorders>
            <w:shd w:val="clear" w:color="auto" w:fill="auto"/>
            <w:vAlign w:val="center"/>
          </w:tcPr>
          <w:p w14:paraId="2284FFD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1334.42 </w:t>
            </w:r>
          </w:p>
        </w:tc>
      </w:tr>
      <w:tr w14:paraId="45C76C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shd w:val="clear" w:color="auto" w:fill="auto"/>
            <w:vAlign w:val="center"/>
          </w:tcPr>
          <w:p w14:paraId="1EDD4625">
            <w:pPr>
              <w:widowControl/>
              <w:spacing w:line="240" w:lineRule="auto"/>
              <w:ind w:firstLine="0" w:firstLineChars="0"/>
              <w:jc w:val="center"/>
              <w:textAlignment w:val="center"/>
              <w:rPr>
                <w:color w:val="auto"/>
                <w:sz w:val="21"/>
                <w:szCs w:val="21"/>
                <w:lang w:bidi="ar"/>
              </w:rPr>
            </w:pPr>
          </w:p>
        </w:tc>
        <w:tc>
          <w:tcPr>
            <w:tcW w:w="877" w:type="pct"/>
            <w:tcBorders>
              <w:tl2br w:val="nil"/>
              <w:tr2bl w:val="nil"/>
            </w:tcBorders>
            <w:shd w:val="clear" w:color="auto" w:fill="auto"/>
            <w:vAlign w:val="center"/>
          </w:tcPr>
          <w:p w14:paraId="31925898">
            <w:pPr>
              <w:widowControl/>
              <w:spacing w:line="240" w:lineRule="auto"/>
              <w:ind w:firstLine="0" w:firstLineChars="0"/>
              <w:jc w:val="center"/>
              <w:textAlignment w:val="center"/>
              <w:rPr>
                <w:color w:val="auto"/>
                <w:sz w:val="21"/>
                <w:szCs w:val="21"/>
                <w:lang w:bidi="ar"/>
              </w:rPr>
            </w:pPr>
            <w:r>
              <w:rPr>
                <w:color w:val="auto"/>
                <w:sz w:val="21"/>
                <w:szCs w:val="21"/>
                <w:lang w:bidi="ar"/>
              </w:rPr>
              <w:t>所占比例（%</w:t>
            </w:r>
            <w:r>
              <w:rPr>
                <w:rFonts w:hint="eastAsia"/>
                <w:color w:val="auto"/>
                <w:sz w:val="21"/>
                <w:szCs w:val="21"/>
                <w:lang w:bidi="ar"/>
              </w:rPr>
              <w:t>）</w:t>
            </w:r>
          </w:p>
        </w:tc>
        <w:tc>
          <w:tcPr>
            <w:tcW w:w="634" w:type="pct"/>
            <w:tcBorders>
              <w:tl2br w:val="nil"/>
              <w:tr2bl w:val="nil"/>
            </w:tcBorders>
            <w:shd w:val="clear" w:color="auto" w:fill="auto"/>
            <w:vAlign w:val="center"/>
          </w:tcPr>
          <w:p w14:paraId="3023B0C8">
            <w:pPr>
              <w:widowControl/>
              <w:spacing w:line="240" w:lineRule="auto"/>
              <w:ind w:firstLine="0" w:firstLineChars="0"/>
              <w:jc w:val="center"/>
              <w:textAlignment w:val="center"/>
              <w:rPr>
                <w:color w:val="auto"/>
                <w:sz w:val="21"/>
                <w:szCs w:val="21"/>
                <w:lang w:bidi="ar"/>
              </w:rPr>
            </w:pPr>
            <w:r>
              <w:rPr>
                <w:color w:val="auto"/>
                <w:sz w:val="21"/>
                <w:szCs w:val="21"/>
                <w:lang w:bidi="ar"/>
              </w:rPr>
              <w:t>22.45%</w:t>
            </w:r>
          </w:p>
        </w:tc>
        <w:tc>
          <w:tcPr>
            <w:tcW w:w="531" w:type="pct"/>
            <w:tcBorders>
              <w:tl2br w:val="nil"/>
              <w:tr2bl w:val="nil"/>
            </w:tcBorders>
            <w:shd w:val="clear" w:color="auto" w:fill="auto"/>
            <w:vAlign w:val="center"/>
          </w:tcPr>
          <w:p w14:paraId="7579DFC9">
            <w:pPr>
              <w:widowControl/>
              <w:spacing w:line="240" w:lineRule="auto"/>
              <w:ind w:firstLine="0" w:firstLineChars="0"/>
              <w:jc w:val="center"/>
              <w:textAlignment w:val="center"/>
              <w:rPr>
                <w:color w:val="auto"/>
                <w:sz w:val="21"/>
                <w:szCs w:val="21"/>
                <w:lang w:bidi="ar"/>
              </w:rPr>
            </w:pPr>
            <w:r>
              <w:rPr>
                <w:color w:val="auto"/>
                <w:sz w:val="21"/>
                <w:szCs w:val="21"/>
                <w:lang w:bidi="ar"/>
              </w:rPr>
              <w:t>50.57%</w:t>
            </w:r>
          </w:p>
        </w:tc>
        <w:tc>
          <w:tcPr>
            <w:tcW w:w="711" w:type="pct"/>
            <w:tcBorders>
              <w:tl2br w:val="nil"/>
              <w:tr2bl w:val="nil"/>
            </w:tcBorders>
            <w:shd w:val="clear" w:color="auto" w:fill="auto"/>
            <w:vAlign w:val="center"/>
          </w:tcPr>
          <w:p w14:paraId="04A5A1FB">
            <w:pPr>
              <w:widowControl/>
              <w:spacing w:line="240" w:lineRule="auto"/>
              <w:ind w:firstLine="0" w:firstLineChars="0"/>
              <w:jc w:val="center"/>
              <w:textAlignment w:val="center"/>
              <w:rPr>
                <w:color w:val="auto"/>
                <w:sz w:val="21"/>
                <w:szCs w:val="21"/>
                <w:lang w:bidi="ar"/>
              </w:rPr>
            </w:pPr>
            <w:r>
              <w:rPr>
                <w:color w:val="auto"/>
                <w:sz w:val="21"/>
                <w:szCs w:val="21"/>
                <w:lang w:bidi="ar"/>
              </w:rPr>
              <w:t>10.38%</w:t>
            </w:r>
          </w:p>
        </w:tc>
        <w:tc>
          <w:tcPr>
            <w:tcW w:w="590" w:type="pct"/>
            <w:tcBorders>
              <w:tl2br w:val="nil"/>
              <w:tr2bl w:val="nil"/>
            </w:tcBorders>
            <w:shd w:val="clear" w:color="auto" w:fill="auto"/>
            <w:vAlign w:val="center"/>
          </w:tcPr>
          <w:p w14:paraId="5CEB403D">
            <w:pPr>
              <w:widowControl/>
              <w:spacing w:line="240" w:lineRule="auto"/>
              <w:ind w:firstLine="0" w:firstLineChars="0"/>
              <w:jc w:val="center"/>
              <w:textAlignment w:val="center"/>
              <w:rPr>
                <w:color w:val="auto"/>
                <w:sz w:val="21"/>
                <w:szCs w:val="21"/>
                <w:lang w:bidi="ar"/>
              </w:rPr>
            </w:pPr>
            <w:r>
              <w:rPr>
                <w:color w:val="auto"/>
                <w:sz w:val="21"/>
                <w:szCs w:val="21"/>
                <w:lang w:bidi="ar"/>
              </w:rPr>
              <w:t>7.51%</w:t>
            </w:r>
          </w:p>
        </w:tc>
        <w:tc>
          <w:tcPr>
            <w:tcW w:w="621" w:type="pct"/>
            <w:tcBorders>
              <w:tl2br w:val="nil"/>
              <w:tr2bl w:val="nil"/>
            </w:tcBorders>
            <w:shd w:val="clear" w:color="auto" w:fill="auto"/>
            <w:vAlign w:val="center"/>
          </w:tcPr>
          <w:p w14:paraId="63EAA9F2">
            <w:pPr>
              <w:widowControl/>
              <w:spacing w:line="240" w:lineRule="auto"/>
              <w:ind w:firstLine="0" w:firstLineChars="0"/>
              <w:jc w:val="center"/>
              <w:textAlignment w:val="center"/>
              <w:rPr>
                <w:color w:val="auto"/>
                <w:sz w:val="21"/>
                <w:szCs w:val="21"/>
                <w:lang w:bidi="ar"/>
              </w:rPr>
            </w:pPr>
            <w:r>
              <w:rPr>
                <w:color w:val="auto"/>
                <w:sz w:val="21"/>
                <w:szCs w:val="21"/>
                <w:lang w:bidi="ar"/>
              </w:rPr>
              <w:t>9.09%</w:t>
            </w:r>
          </w:p>
        </w:tc>
        <w:tc>
          <w:tcPr>
            <w:tcW w:w="645" w:type="pct"/>
            <w:tcBorders>
              <w:tl2br w:val="nil"/>
              <w:tr2bl w:val="nil"/>
            </w:tcBorders>
            <w:shd w:val="clear" w:color="auto" w:fill="auto"/>
            <w:vAlign w:val="center"/>
          </w:tcPr>
          <w:p w14:paraId="58139271">
            <w:pPr>
              <w:widowControl/>
              <w:spacing w:line="240" w:lineRule="auto"/>
              <w:ind w:firstLine="0" w:firstLineChars="0"/>
              <w:jc w:val="center"/>
              <w:textAlignment w:val="center"/>
              <w:rPr>
                <w:color w:val="auto"/>
                <w:sz w:val="21"/>
                <w:szCs w:val="21"/>
                <w:lang w:bidi="ar"/>
              </w:rPr>
            </w:pPr>
            <w:r>
              <w:rPr>
                <w:color w:val="auto"/>
                <w:sz w:val="21"/>
                <w:szCs w:val="21"/>
                <w:lang w:bidi="ar"/>
              </w:rPr>
              <w:t>100.00%</w:t>
            </w:r>
          </w:p>
        </w:tc>
      </w:tr>
    </w:tbl>
    <w:p w14:paraId="08A54E37">
      <w:pPr>
        <w:ind w:firstLine="482"/>
        <w:rPr>
          <w:color w:val="auto"/>
        </w:rPr>
      </w:pPr>
      <w:r>
        <w:rPr>
          <w:b/>
          <w:bCs/>
          <w:color w:val="auto"/>
        </w:rPr>
        <w:t>（3）耗水量</w:t>
      </w:r>
      <w:r>
        <w:rPr>
          <w:color w:val="auto"/>
        </w:rPr>
        <w:t xml:space="preserve"> </w:t>
      </w:r>
    </w:p>
    <w:p w14:paraId="6975FFEC">
      <w:pPr>
        <w:ind w:firstLine="480"/>
        <w:rPr>
          <w:color w:val="auto"/>
        </w:rPr>
      </w:pPr>
      <w:r>
        <w:rPr>
          <w:color w:val="auto"/>
        </w:rPr>
        <w:t>根据对现状年的耗水量进行分析，现状年园区A区、B区、C区的生活用水耗水率分别为23.15%、22.71%、23.98%，规划年考虑到用水习惯的改善、节水等措施的开展，生活用水的耗水率取20%；同时现状年园区A区、B区、C区的工业用水耗水率分别为31.22%、34.65%、35.28%，规划年考虑到生产工艺、节水等措施的开展，工业用水的耗水率取30%。</w:t>
      </w:r>
    </w:p>
    <w:p w14:paraId="7791237B">
      <w:pPr>
        <w:ind w:firstLine="480"/>
        <w:rPr>
          <w:color w:val="auto"/>
        </w:rPr>
      </w:pPr>
      <w:r>
        <w:rPr>
          <w:color w:val="auto"/>
        </w:rPr>
        <w:t>未可预见水量由生活未可预见水量、工业生产未可预见水量、洒浇道路和绿地未可预见水量与管网渗漏未可预见水量四部分组成，生活未可预见水量耗水按水量的20%来考虑，工业生产耗水未可预见水量按水量的30%考虑，洒浇道路和绿地未可预见水量与管网渗漏未可预见水量按全部耗水考虑。</w:t>
      </w:r>
    </w:p>
    <w:p w14:paraId="4CD477D6">
      <w:pPr>
        <w:ind w:firstLine="480"/>
        <w:rPr>
          <w:color w:val="auto"/>
        </w:rPr>
      </w:pPr>
      <w:r>
        <w:rPr>
          <w:color w:val="auto"/>
        </w:rPr>
        <w:t>（4）排水量</w:t>
      </w:r>
    </w:p>
    <w:p w14:paraId="65E5FECE">
      <w:pPr>
        <w:ind w:firstLine="480"/>
        <w:rPr>
          <w:color w:val="auto"/>
        </w:rPr>
      </w:pPr>
      <w:r>
        <w:rPr>
          <w:color w:val="auto"/>
        </w:rPr>
        <w:t>洒浇道路和绿地、城市消防用水量除了渗漏和蒸发以外剩余部分全部进入雨水管道，因此考虑无排水量。生活用水排水量按需水量的 80%来考虑，工业生产排水按补需水量的70%考虑。</w:t>
      </w:r>
    </w:p>
    <w:p w14:paraId="4D6B9106">
      <w:pPr>
        <w:ind w:firstLine="480"/>
        <w:rPr>
          <w:color w:val="auto"/>
        </w:rPr>
      </w:pPr>
      <w:r>
        <w:rPr>
          <w:color w:val="auto"/>
        </w:rPr>
        <w:t>未可预见水量由生活未可预见水量、工业生产未可预见水量、洒浇道路和绿地未可预见水量与管网渗漏未可预见水量四部分组成，其中：生活未可预见水量排水按水量的80%来考虑；工业生产未可预见水量排水按水量的70%考虑；洒浇道路和绿地未可预见水量与管网渗漏未可预见水量按全部耗水考虑，无排水。</w:t>
      </w:r>
    </w:p>
    <w:p w14:paraId="47667D1D">
      <w:pPr>
        <w:spacing w:line="307" w:lineRule="exact"/>
        <w:ind w:firstLine="0" w:firstLineChars="0"/>
        <w:rPr>
          <w:b/>
          <w:color w:val="auto"/>
        </w:rPr>
      </w:pPr>
      <w:r>
        <w:rPr>
          <w:b/>
          <w:color w:val="auto"/>
        </w:rPr>
        <w:t>表4.3-15        园区2025年用水、耗水、排水量组成情况表     （单位：万m</w:t>
      </w:r>
      <w:r>
        <w:rPr>
          <w:b/>
          <w:color w:val="auto"/>
          <w:vertAlign w:val="superscript"/>
        </w:rPr>
        <w:t>3</w:t>
      </w:r>
      <w:r>
        <w:rPr>
          <w:b/>
          <w:color w:val="auto"/>
        </w:rPr>
        <w:t>）</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83"/>
        <w:gridCol w:w="1701"/>
        <w:gridCol w:w="2494"/>
        <w:gridCol w:w="1183"/>
        <w:gridCol w:w="1431"/>
        <w:gridCol w:w="1220"/>
      </w:tblGrid>
      <w:tr w14:paraId="4F40FA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tcBorders>
              <w:tl2br w:val="nil"/>
              <w:tr2bl w:val="nil"/>
            </w:tcBorders>
            <w:shd w:val="clear" w:color="auto" w:fill="auto"/>
            <w:vAlign w:val="center"/>
          </w:tcPr>
          <w:p w14:paraId="4BA645D9">
            <w:pPr>
              <w:widowControl/>
              <w:spacing w:line="240" w:lineRule="auto"/>
              <w:ind w:firstLine="0" w:firstLineChars="0"/>
              <w:jc w:val="center"/>
              <w:textAlignment w:val="center"/>
              <w:rPr>
                <w:color w:val="auto"/>
                <w:sz w:val="21"/>
                <w:szCs w:val="21"/>
                <w:lang w:bidi="ar"/>
              </w:rPr>
            </w:pPr>
            <w:r>
              <w:rPr>
                <w:color w:val="auto"/>
                <w:sz w:val="21"/>
                <w:szCs w:val="21"/>
                <w:lang w:bidi="ar"/>
              </w:rPr>
              <w:t>分区</w:t>
            </w:r>
          </w:p>
        </w:tc>
        <w:tc>
          <w:tcPr>
            <w:tcW w:w="2301" w:type="pct"/>
            <w:gridSpan w:val="2"/>
            <w:tcBorders>
              <w:tl2br w:val="nil"/>
              <w:tr2bl w:val="nil"/>
            </w:tcBorders>
            <w:shd w:val="clear" w:color="auto" w:fill="auto"/>
            <w:vAlign w:val="center"/>
          </w:tcPr>
          <w:p w14:paraId="7413025C">
            <w:pPr>
              <w:widowControl/>
              <w:spacing w:line="240" w:lineRule="auto"/>
              <w:ind w:firstLine="0" w:firstLineChars="0"/>
              <w:jc w:val="center"/>
              <w:textAlignment w:val="center"/>
              <w:rPr>
                <w:color w:val="auto"/>
                <w:sz w:val="21"/>
                <w:szCs w:val="21"/>
                <w:lang w:bidi="ar"/>
              </w:rPr>
            </w:pPr>
            <w:r>
              <w:rPr>
                <w:color w:val="auto"/>
                <w:sz w:val="21"/>
                <w:szCs w:val="21"/>
                <w:lang w:bidi="ar"/>
              </w:rPr>
              <w:t>需水项目</w:t>
            </w:r>
          </w:p>
        </w:tc>
        <w:tc>
          <w:tcPr>
            <w:tcW w:w="649" w:type="pct"/>
            <w:tcBorders>
              <w:tl2br w:val="nil"/>
              <w:tr2bl w:val="nil"/>
            </w:tcBorders>
            <w:shd w:val="clear" w:color="auto" w:fill="auto"/>
            <w:vAlign w:val="center"/>
          </w:tcPr>
          <w:p w14:paraId="66B9028B">
            <w:pPr>
              <w:widowControl/>
              <w:spacing w:line="240" w:lineRule="auto"/>
              <w:ind w:firstLine="0" w:firstLineChars="0"/>
              <w:jc w:val="center"/>
              <w:textAlignment w:val="center"/>
              <w:rPr>
                <w:color w:val="auto"/>
                <w:sz w:val="21"/>
                <w:szCs w:val="21"/>
                <w:lang w:bidi="ar"/>
              </w:rPr>
            </w:pPr>
            <w:r>
              <w:rPr>
                <w:color w:val="auto"/>
                <w:sz w:val="21"/>
                <w:szCs w:val="21"/>
                <w:lang w:bidi="ar"/>
              </w:rPr>
              <w:t>2025用水</w:t>
            </w:r>
          </w:p>
        </w:tc>
        <w:tc>
          <w:tcPr>
            <w:tcW w:w="785" w:type="pct"/>
            <w:tcBorders>
              <w:tl2br w:val="nil"/>
              <w:tr2bl w:val="nil"/>
            </w:tcBorders>
            <w:shd w:val="clear" w:color="auto" w:fill="auto"/>
            <w:vAlign w:val="center"/>
          </w:tcPr>
          <w:p w14:paraId="62E4301F">
            <w:pPr>
              <w:widowControl/>
              <w:spacing w:line="240" w:lineRule="auto"/>
              <w:ind w:firstLine="0" w:firstLineChars="0"/>
              <w:jc w:val="center"/>
              <w:textAlignment w:val="center"/>
              <w:rPr>
                <w:color w:val="auto"/>
                <w:sz w:val="21"/>
                <w:szCs w:val="21"/>
                <w:lang w:bidi="ar"/>
              </w:rPr>
            </w:pPr>
            <w:r>
              <w:rPr>
                <w:color w:val="auto"/>
                <w:sz w:val="21"/>
                <w:szCs w:val="21"/>
                <w:lang w:bidi="ar"/>
              </w:rPr>
              <w:t>2025耗水</w:t>
            </w:r>
          </w:p>
        </w:tc>
        <w:tc>
          <w:tcPr>
            <w:tcW w:w="669" w:type="pct"/>
            <w:tcBorders>
              <w:tl2br w:val="nil"/>
              <w:tr2bl w:val="nil"/>
            </w:tcBorders>
            <w:shd w:val="clear" w:color="auto" w:fill="auto"/>
            <w:vAlign w:val="center"/>
          </w:tcPr>
          <w:p w14:paraId="14B14B7B">
            <w:pPr>
              <w:widowControl/>
              <w:spacing w:line="240" w:lineRule="auto"/>
              <w:ind w:firstLine="0" w:firstLineChars="0"/>
              <w:jc w:val="center"/>
              <w:textAlignment w:val="center"/>
              <w:rPr>
                <w:color w:val="auto"/>
                <w:sz w:val="21"/>
                <w:szCs w:val="21"/>
                <w:lang w:bidi="ar"/>
              </w:rPr>
            </w:pPr>
            <w:r>
              <w:rPr>
                <w:color w:val="auto"/>
                <w:sz w:val="21"/>
                <w:szCs w:val="21"/>
                <w:lang w:bidi="ar"/>
              </w:rPr>
              <w:t>2025排水</w:t>
            </w:r>
          </w:p>
        </w:tc>
      </w:tr>
      <w:tr w14:paraId="51BA21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restart"/>
            <w:tcBorders>
              <w:tl2br w:val="nil"/>
              <w:tr2bl w:val="nil"/>
            </w:tcBorders>
            <w:shd w:val="clear" w:color="auto" w:fill="auto"/>
            <w:vAlign w:val="center"/>
          </w:tcPr>
          <w:p w14:paraId="65DF6FB2">
            <w:pPr>
              <w:widowControl/>
              <w:spacing w:line="240" w:lineRule="auto"/>
              <w:ind w:firstLine="0" w:firstLineChars="0"/>
              <w:jc w:val="center"/>
              <w:textAlignment w:val="center"/>
              <w:rPr>
                <w:color w:val="auto"/>
                <w:sz w:val="21"/>
                <w:szCs w:val="21"/>
                <w:lang w:bidi="ar"/>
              </w:rPr>
            </w:pPr>
            <w:r>
              <w:rPr>
                <w:color w:val="auto"/>
                <w:sz w:val="21"/>
                <w:szCs w:val="21"/>
                <w:lang w:bidi="ar"/>
              </w:rPr>
              <w:t>A区</w:t>
            </w:r>
          </w:p>
        </w:tc>
        <w:tc>
          <w:tcPr>
            <w:tcW w:w="2301" w:type="pct"/>
            <w:gridSpan w:val="2"/>
            <w:tcBorders>
              <w:tl2br w:val="nil"/>
              <w:tr2bl w:val="nil"/>
            </w:tcBorders>
            <w:shd w:val="clear" w:color="auto" w:fill="auto"/>
            <w:vAlign w:val="center"/>
          </w:tcPr>
          <w:p w14:paraId="34895E5C">
            <w:pPr>
              <w:widowControl/>
              <w:spacing w:line="240" w:lineRule="auto"/>
              <w:ind w:firstLine="0" w:firstLineChars="0"/>
              <w:jc w:val="center"/>
              <w:textAlignment w:val="center"/>
              <w:rPr>
                <w:color w:val="auto"/>
                <w:sz w:val="21"/>
                <w:szCs w:val="21"/>
                <w:lang w:bidi="ar"/>
              </w:rPr>
            </w:pPr>
            <w:r>
              <w:rPr>
                <w:color w:val="auto"/>
                <w:sz w:val="21"/>
                <w:szCs w:val="21"/>
                <w:lang w:bidi="ar"/>
              </w:rPr>
              <w:t>生活用水</w:t>
            </w:r>
          </w:p>
        </w:tc>
        <w:tc>
          <w:tcPr>
            <w:tcW w:w="1183" w:type="dxa"/>
            <w:tcBorders>
              <w:tl2br w:val="nil"/>
              <w:tr2bl w:val="nil"/>
            </w:tcBorders>
            <w:shd w:val="clear" w:color="auto" w:fill="auto"/>
            <w:vAlign w:val="center"/>
          </w:tcPr>
          <w:p w14:paraId="7690430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290.72 </w:t>
            </w:r>
          </w:p>
        </w:tc>
        <w:tc>
          <w:tcPr>
            <w:tcW w:w="1431" w:type="dxa"/>
            <w:tcBorders>
              <w:tl2br w:val="nil"/>
              <w:tr2bl w:val="nil"/>
            </w:tcBorders>
            <w:shd w:val="clear" w:color="auto" w:fill="auto"/>
            <w:vAlign w:val="center"/>
          </w:tcPr>
          <w:p w14:paraId="59D3D50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58.14 </w:t>
            </w:r>
          </w:p>
        </w:tc>
        <w:tc>
          <w:tcPr>
            <w:tcW w:w="1220" w:type="dxa"/>
            <w:tcBorders>
              <w:tl2br w:val="nil"/>
              <w:tr2bl w:val="nil"/>
            </w:tcBorders>
            <w:shd w:val="clear" w:color="auto" w:fill="auto"/>
            <w:vAlign w:val="center"/>
          </w:tcPr>
          <w:p w14:paraId="59D582F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232.58 </w:t>
            </w:r>
          </w:p>
        </w:tc>
      </w:tr>
      <w:tr w14:paraId="2E39D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624670AE">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2DE680E5">
            <w:pPr>
              <w:widowControl/>
              <w:spacing w:line="240" w:lineRule="auto"/>
              <w:ind w:firstLine="0" w:firstLineChars="0"/>
              <w:jc w:val="center"/>
              <w:textAlignment w:val="center"/>
              <w:rPr>
                <w:color w:val="auto"/>
                <w:sz w:val="21"/>
                <w:szCs w:val="21"/>
                <w:lang w:bidi="ar"/>
              </w:rPr>
            </w:pPr>
            <w:r>
              <w:rPr>
                <w:color w:val="auto"/>
                <w:sz w:val="21"/>
                <w:szCs w:val="21"/>
                <w:lang w:bidi="ar"/>
              </w:rPr>
              <w:t>工业用水</w:t>
            </w:r>
          </w:p>
        </w:tc>
        <w:tc>
          <w:tcPr>
            <w:tcW w:w="1183" w:type="dxa"/>
            <w:tcBorders>
              <w:tl2br w:val="nil"/>
              <w:tr2bl w:val="nil"/>
            </w:tcBorders>
            <w:shd w:val="clear" w:color="auto" w:fill="auto"/>
            <w:vAlign w:val="center"/>
          </w:tcPr>
          <w:p w14:paraId="0D8A641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98.99 </w:t>
            </w:r>
          </w:p>
        </w:tc>
        <w:tc>
          <w:tcPr>
            <w:tcW w:w="1431" w:type="dxa"/>
            <w:tcBorders>
              <w:tl2br w:val="nil"/>
              <w:tr2bl w:val="nil"/>
            </w:tcBorders>
            <w:shd w:val="clear" w:color="auto" w:fill="auto"/>
            <w:vAlign w:val="center"/>
          </w:tcPr>
          <w:p w14:paraId="7C01DAB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29.70 </w:t>
            </w:r>
          </w:p>
        </w:tc>
        <w:tc>
          <w:tcPr>
            <w:tcW w:w="1220" w:type="dxa"/>
            <w:tcBorders>
              <w:tl2br w:val="nil"/>
              <w:tr2bl w:val="nil"/>
            </w:tcBorders>
            <w:shd w:val="clear" w:color="auto" w:fill="auto"/>
            <w:vAlign w:val="center"/>
          </w:tcPr>
          <w:p w14:paraId="1896E00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69.29 </w:t>
            </w:r>
          </w:p>
        </w:tc>
      </w:tr>
      <w:tr w14:paraId="29FDF3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18E5F063">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noWrap/>
            <w:vAlign w:val="center"/>
          </w:tcPr>
          <w:p w14:paraId="42BD92DE">
            <w:pPr>
              <w:widowControl/>
              <w:spacing w:line="240" w:lineRule="auto"/>
              <w:ind w:firstLine="0" w:firstLineChars="0"/>
              <w:jc w:val="center"/>
              <w:textAlignment w:val="center"/>
              <w:rPr>
                <w:color w:val="auto"/>
                <w:sz w:val="21"/>
                <w:szCs w:val="21"/>
                <w:lang w:bidi="ar"/>
              </w:rPr>
            </w:pPr>
            <w:r>
              <w:rPr>
                <w:color w:val="auto"/>
                <w:sz w:val="21"/>
                <w:szCs w:val="21"/>
                <w:lang w:bidi="ar"/>
              </w:rPr>
              <w:t>洒浇道路和绿地</w:t>
            </w:r>
          </w:p>
        </w:tc>
        <w:tc>
          <w:tcPr>
            <w:tcW w:w="1183" w:type="dxa"/>
            <w:tcBorders>
              <w:tl2br w:val="nil"/>
              <w:tr2bl w:val="nil"/>
            </w:tcBorders>
            <w:shd w:val="clear" w:color="auto" w:fill="auto"/>
            <w:vAlign w:val="center"/>
          </w:tcPr>
          <w:p w14:paraId="5A1A2AD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95.23 </w:t>
            </w:r>
          </w:p>
        </w:tc>
        <w:tc>
          <w:tcPr>
            <w:tcW w:w="1431" w:type="dxa"/>
            <w:tcBorders>
              <w:tl2br w:val="nil"/>
              <w:tr2bl w:val="nil"/>
            </w:tcBorders>
            <w:shd w:val="clear" w:color="auto" w:fill="auto"/>
            <w:vAlign w:val="center"/>
          </w:tcPr>
          <w:p w14:paraId="4B03FE9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95.23 </w:t>
            </w:r>
          </w:p>
        </w:tc>
        <w:tc>
          <w:tcPr>
            <w:tcW w:w="1220" w:type="dxa"/>
            <w:tcBorders>
              <w:tl2br w:val="nil"/>
              <w:tr2bl w:val="nil"/>
            </w:tcBorders>
            <w:shd w:val="clear" w:color="auto" w:fill="auto"/>
            <w:vAlign w:val="center"/>
          </w:tcPr>
          <w:p w14:paraId="534AD5A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7E998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58E21340">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1A9C772B">
            <w:pPr>
              <w:widowControl/>
              <w:spacing w:line="240" w:lineRule="auto"/>
              <w:ind w:firstLine="0" w:firstLineChars="0"/>
              <w:jc w:val="center"/>
              <w:textAlignment w:val="center"/>
              <w:rPr>
                <w:color w:val="auto"/>
                <w:sz w:val="21"/>
                <w:szCs w:val="21"/>
                <w:lang w:bidi="ar"/>
              </w:rPr>
            </w:pPr>
            <w:r>
              <w:rPr>
                <w:color w:val="auto"/>
                <w:sz w:val="21"/>
                <w:szCs w:val="21"/>
                <w:lang w:bidi="ar"/>
              </w:rPr>
              <w:t>管网渗漏</w:t>
            </w:r>
          </w:p>
        </w:tc>
        <w:tc>
          <w:tcPr>
            <w:tcW w:w="1183" w:type="dxa"/>
            <w:tcBorders>
              <w:tl2br w:val="nil"/>
              <w:tr2bl w:val="nil"/>
            </w:tcBorders>
            <w:shd w:val="clear" w:color="auto" w:fill="auto"/>
            <w:vAlign w:val="center"/>
          </w:tcPr>
          <w:p w14:paraId="401933E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43.65 </w:t>
            </w:r>
          </w:p>
        </w:tc>
        <w:tc>
          <w:tcPr>
            <w:tcW w:w="1431" w:type="dxa"/>
            <w:tcBorders>
              <w:tl2br w:val="nil"/>
              <w:tr2bl w:val="nil"/>
            </w:tcBorders>
            <w:shd w:val="clear" w:color="auto" w:fill="auto"/>
            <w:vAlign w:val="center"/>
          </w:tcPr>
          <w:p w14:paraId="15BEAFA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43.65 </w:t>
            </w:r>
          </w:p>
        </w:tc>
        <w:tc>
          <w:tcPr>
            <w:tcW w:w="1220" w:type="dxa"/>
            <w:tcBorders>
              <w:tl2br w:val="nil"/>
              <w:tr2bl w:val="nil"/>
            </w:tcBorders>
            <w:shd w:val="clear" w:color="auto" w:fill="auto"/>
            <w:vAlign w:val="center"/>
          </w:tcPr>
          <w:p w14:paraId="709E632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7AC88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6DAB7BC8">
            <w:pPr>
              <w:widowControl/>
              <w:spacing w:line="240" w:lineRule="auto"/>
              <w:ind w:firstLine="0" w:firstLineChars="0"/>
              <w:jc w:val="center"/>
              <w:textAlignment w:val="center"/>
              <w:rPr>
                <w:color w:val="auto"/>
                <w:sz w:val="21"/>
                <w:szCs w:val="21"/>
                <w:lang w:bidi="ar"/>
              </w:rPr>
            </w:pPr>
          </w:p>
        </w:tc>
        <w:tc>
          <w:tcPr>
            <w:tcW w:w="933" w:type="pct"/>
            <w:vMerge w:val="restart"/>
            <w:tcBorders>
              <w:tl2br w:val="nil"/>
              <w:tr2bl w:val="nil"/>
            </w:tcBorders>
            <w:shd w:val="clear" w:color="auto" w:fill="auto"/>
            <w:vAlign w:val="center"/>
          </w:tcPr>
          <w:p w14:paraId="63E57596">
            <w:pPr>
              <w:widowControl/>
              <w:spacing w:line="240" w:lineRule="auto"/>
              <w:ind w:firstLine="0" w:firstLineChars="0"/>
              <w:jc w:val="center"/>
              <w:textAlignment w:val="center"/>
              <w:rPr>
                <w:color w:val="auto"/>
                <w:sz w:val="21"/>
                <w:szCs w:val="21"/>
                <w:lang w:bidi="ar"/>
              </w:rPr>
            </w:pPr>
            <w:r>
              <w:rPr>
                <w:color w:val="auto"/>
                <w:sz w:val="21"/>
                <w:szCs w:val="21"/>
                <w:lang w:bidi="ar"/>
              </w:rPr>
              <w:t>未可预见水</w:t>
            </w:r>
          </w:p>
        </w:tc>
        <w:tc>
          <w:tcPr>
            <w:tcW w:w="1368" w:type="pct"/>
            <w:tcBorders>
              <w:tl2br w:val="nil"/>
              <w:tr2bl w:val="nil"/>
            </w:tcBorders>
            <w:shd w:val="clear" w:color="auto" w:fill="auto"/>
            <w:vAlign w:val="center"/>
          </w:tcPr>
          <w:p w14:paraId="717420CD">
            <w:pPr>
              <w:widowControl/>
              <w:spacing w:line="240" w:lineRule="auto"/>
              <w:ind w:firstLine="0" w:firstLineChars="0"/>
              <w:jc w:val="center"/>
              <w:textAlignment w:val="center"/>
              <w:rPr>
                <w:color w:val="auto"/>
                <w:sz w:val="21"/>
                <w:szCs w:val="21"/>
                <w:lang w:bidi="ar"/>
              </w:rPr>
            </w:pPr>
            <w:r>
              <w:rPr>
                <w:color w:val="auto"/>
                <w:sz w:val="21"/>
                <w:szCs w:val="21"/>
                <w:lang w:bidi="ar"/>
              </w:rPr>
              <w:t>生活未可预见水量</w:t>
            </w:r>
          </w:p>
        </w:tc>
        <w:tc>
          <w:tcPr>
            <w:tcW w:w="1183" w:type="dxa"/>
            <w:tcBorders>
              <w:tl2br w:val="nil"/>
              <w:tr2bl w:val="nil"/>
            </w:tcBorders>
            <w:shd w:val="clear" w:color="auto" w:fill="auto"/>
            <w:vAlign w:val="center"/>
          </w:tcPr>
          <w:p w14:paraId="5872F18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29.07 </w:t>
            </w:r>
          </w:p>
        </w:tc>
        <w:tc>
          <w:tcPr>
            <w:tcW w:w="1431" w:type="dxa"/>
            <w:tcBorders>
              <w:tl2br w:val="nil"/>
              <w:tr2bl w:val="nil"/>
            </w:tcBorders>
            <w:shd w:val="clear" w:color="auto" w:fill="auto"/>
            <w:vAlign w:val="center"/>
          </w:tcPr>
          <w:p w14:paraId="0B7E610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5.81 </w:t>
            </w:r>
          </w:p>
        </w:tc>
        <w:tc>
          <w:tcPr>
            <w:tcW w:w="1220" w:type="dxa"/>
            <w:tcBorders>
              <w:tl2br w:val="nil"/>
              <w:tr2bl w:val="nil"/>
            </w:tcBorders>
            <w:shd w:val="clear" w:color="auto" w:fill="auto"/>
            <w:vAlign w:val="center"/>
          </w:tcPr>
          <w:p w14:paraId="709C397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23.26 </w:t>
            </w:r>
          </w:p>
        </w:tc>
      </w:tr>
      <w:tr w14:paraId="6EF2C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49F85B0A">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1C60718B">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49708D79">
            <w:pPr>
              <w:widowControl/>
              <w:spacing w:line="240" w:lineRule="auto"/>
              <w:ind w:firstLine="0" w:firstLineChars="0"/>
              <w:jc w:val="center"/>
              <w:textAlignment w:val="center"/>
              <w:rPr>
                <w:color w:val="auto"/>
                <w:sz w:val="21"/>
                <w:szCs w:val="21"/>
                <w:lang w:bidi="ar"/>
              </w:rPr>
            </w:pPr>
            <w:r>
              <w:rPr>
                <w:color w:val="auto"/>
                <w:sz w:val="21"/>
                <w:szCs w:val="21"/>
                <w:lang w:bidi="ar"/>
              </w:rPr>
              <w:t>工业未可预见水量</w:t>
            </w:r>
          </w:p>
        </w:tc>
        <w:tc>
          <w:tcPr>
            <w:tcW w:w="1183" w:type="dxa"/>
            <w:tcBorders>
              <w:tl2br w:val="nil"/>
              <w:tr2bl w:val="nil"/>
            </w:tcBorders>
            <w:shd w:val="clear" w:color="auto" w:fill="auto"/>
            <w:vAlign w:val="center"/>
          </w:tcPr>
          <w:p w14:paraId="0FF26A5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9.90 </w:t>
            </w:r>
          </w:p>
        </w:tc>
        <w:tc>
          <w:tcPr>
            <w:tcW w:w="1431" w:type="dxa"/>
            <w:tcBorders>
              <w:tl2br w:val="nil"/>
              <w:tr2bl w:val="nil"/>
            </w:tcBorders>
            <w:shd w:val="clear" w:color="auto" w:fill="auto"/>
            <w:vAlign w:val="center"/>
          </w:tcPr>
          <w:p w14:paraId="7853658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2.97 </w:t>
            </w:r>
          </w:p>
        </w:tc>
        <w:tc>
          <w:tcPr>
            <w:tcW w:w="1220" w:type="dxa"/>
            <w:tcBorders>
              <w:tl2br w:val="nil"/>
              <w:tr2bl w:val="nil"/>
            </w:tcBorders>
            <w:shd w:val="clear" w:color="auto" w:fill="auto"/>
            <w:vAlign w:val="center"/>
          </w:tcPr>
          <w:p w14:paraId="56F99A0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6.93 </w:t>
            </w:r>
          </w:p>
        </w:tc>
      </w:tr>
      <w:tr w14:paraId="3BB5F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7F0C5AD4">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620DFAB1">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1210EBBB">
            <w:pPr>
              <w:widowControl/>
              <w:spacing w:line="240" w:lineRule="auto"/>
              <w:ind w:firstLine="0" w:firstLineChars="0"/>
              <w:jc w:val="center"/>
              <w:textAlignment w:val="center"/>
              <w:rPr>
                <w:color w:val="auto"/>
                <w:sz w:val="21"/>
                <w:szCs w:val="21"/>
                <w:lang w:bidi="ar"/>
              </w:rPr>
            </w:pPr>
            <w:r>
              <w:rPr>
                <w:color w:val="auto"/>
                <w:sz w:val="21"/>
                <w:szCs w:val="21"/>
                <w:lang w:bidi="ar"/>
              </w:rPr>
              <w:t>洒浇绿地未可预见水量</w:t>
            </w:r>
          </w:p>
        </w:tc>
        <w:tc>
          <w:tcPr>
            <w:tcW w:w="1183" w:type="dxa"/>
            <w:tcBorders>
              <w:tl2br w:val="nil"/>
              <w:tr2bl w:val="nil"/>
            </w:tcBorders>
            <w:shd w:val="clear" w:color="auto" w:fill="auto"/>
            <w:vAlign w:val="center"/>
          </w:tcPr>
          <w:p w14:paraId="0834958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9.52 </w:t>
            </w:r>
          </w:p>
        </w:tc>
        <w:tc>
          <w:tcPr>
            <w:tcW w:w="1431" w:type="dxa"/>
            <w:tcBorders>
              <w:tl2br w:val="nil"/>
              <w:tr2bl w:val="nil"/>
            </w:tcBorders>
            <w:shd w:val="clear" w:color="auto" w:fill="auto"/>
            <w:vAlign w:val="center"/>
          </w:tcPr>
          <w:p w14:paraId="23ACA4F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9.52 </w:t>
            </w:r>
          </w:p>
        </w:tc>
        <w:tc>
          <w:tcPr>
            <w:tcW w:w="1220" w:type="dxa"/>
            <w:tcBorders>
              <w:tl2br w:val="nil"/>
              <w:tr2bl w:val="nil"/>
            </w:tcBorders>
            <w:shd w:val="clear" w:color="auto" w:fill="auto"/>
            <w:vAlign w:val="center"/>
          </w:tcPr>
          <w:p w14:paraId="1B6B8F7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075E61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2EE1FCCE">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0B25A66D">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73FBC67F">
            <w:pPr>
              <w:widowControl/>
              <w:spacing w:line="240" w:lineRule="auto"/>
              <w:ind w:firstLine="0" w:firstLineChars="0"/>
              <w:jc w:val="center"/>
              <w:textAlignment w:val="center"/>
              <w:rPr>
                <w:color w:val="auto"/>
                <w:sz w:val="21"/>
                <w:szCs w:val="21"/>
                <w:lang w:bidi="ar"/>
              </w:rPr>
            </w:pPr>
            <w:r>
              <w:rPr>
                <w:color w:val="auto"/>
                <w:sz w:val="21"/>
                <w:szCs w:val="21"/>
                <w:lang w:bidi="ar"/>
              </w:rPr>
              <w:t>渗漏未可预见水量</w:t>
            </w:r>
          </w:p>
        </w:tc>
        <w:tc>
          <w:tcPr>
            <w:tcW w:w="1183" w:type="dxa"/>
            <w:tcBorders>
              <w:tl2br w:val="nil"/>
              <w:tr2bl w:val="nil"/>
            </w:tcBorders>
            <w:shd w:val="clear" w:color="auto" w:fill="auto"/>
            <w:vAlign w:val="center"/>
          </w:tcPr>
          <w:p w14:paraId="69ECBCF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 </w:t>
            </w:r>
          </w:p>
        </w:tc>
        <w:tc>
          <w:tcPr>
            <w:tcW w:w="1431" w:type="dxa"/>
            <w:tcBorders>
              <w:tl2br w:val="nil"/>
              <w:tr2bl w:val="nil"/>
            </w:tcBorders>
            <w:shd w:val="clear" w:color="auto" w:fill="auto"/>
            <w:vAlign w:val="center"/>
          </w:tcPr>
          <w:p w14:paraId="4681A19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4.36 </w:t>
            </w:r>
          </w:p>
        </w:tc>
        <w:tc>
          <w:tcPr>
            <w:tcW w:w="1220" w:type="dxa"/>
            <w:tcBorders>
              <w:tl2br w:val="nil"/>
              <w:tr2bl w:val="nil"/>
            </w:tcBorders>
            <w:shd w:val="clear" w:color="auto" w:fill="auto"/>
            <w:vAlign w:val="center"/>
          </w:tcPr>
          <w:p w14:paraId="1BF84F0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2F663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52DC7939">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43108523">
            <w:pPr>
              <w:widowControl/>
              <w:spacing w:line="240" w:lineRule="auto"/>
              <w:ind w:firstLine="0" w:firstLineChars="0"/>
              <w:jc w:val="center"/>
              <w:textAlignment w:val="center"/>
              <w:rPr>
                <w:color w:val="auto"/>
                <w:sz w:val="21"/>
                <w:szCs w:val="21"/>
                <w:lang w:bidi="ar"/>
              </w:rPr>
            </w:pPr>
            <w:r>
              <w:rPr>
                <w:color w:val="auto"/>
                <w:sz w:val="21"/>
                <w:szCs w:val="21"/>
                <w:lang w:bidi="ar"/>
              </w:rPr>
              <w:t>小计</w:t>
            </w:r>
          </w:p>
        </w:tc>
        <w:tc>
          <w:tcPr>
            <w:tcW w:w="1183" w:type="dxa"/>
            <w:tcBorders>
              <w:tl2br w:val="nil"/>
              <w:tr2bl w:val="nil"/>
            </w:tcBorders>
            <w:shd w:val="clear" w:color="auto" w:fill="auto"/>
            <w:vAlign w:val="center"/>
          </w:tcPr>
          <w:p w14:paraId="05167A3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581.45 </w:t>
            </w:r>
          </w:p>
        </w:tc>
        <w:tc>
          <w:tcPr>
            <w:tcW w:w="1431" w:type="dxa"/>
            <w:tcBorders>
              <w:tl2br w:val="nil"/>
              <w:tr2bl w:val="nil"/>
            </w:tcBorders>
            <w:shd w:val="clear" w:color="auto" w:fill="auto"/>
            <w:vAlign w:val="center"/>
          </w:tcPr>
          <w:p w14:paraId="27F23A4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249.39 </w:t>
            </w:r>
          </w:p>
        </w:tc>
        <w:tc>
          <w:tcPr>
            <w:tcW w:w="1220" w:type="dxa"/>
            <w:tcBorders>
              <w:tl2br w:val="nil"/>
              <w:tr2bl w:val="nil"/>
            </w:tcBorders>
            <w:shd w:val="clear" w:color="auto" w:fill="auto"/>
            <w:vAlign w:val="center"/>
          </w:tcPr>
          <w:p w14:paraId="51A4022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332.06 </w:t>
            </w:r>
          </w:p>
        </w:tc>
      </w:tr>
      <w:tr w14:paraId="5419CD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restart"/>
            <w:tcBorders>
              <w:tl2br w:val="nil"/>
              <w:tr2bl w:val="nil"/>
            </w:tcBorders>
            <w:shd w:val="clear" w:color="auto" w:fill="auto"/>
            <w:vAlign w:val="center"/>
          </w:tcPr>
          <w:p w14:paraId="0182B18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B区</w:t>
            </w:r>
          </w:p>
        </w:tc>
        <w:tc>
          <w:tcPr>
            <w:tcW w:w="2301" w:type="pct"/>
            <w:gridSpan w:val="2"/>
            <w:tcBorders>
              <w:tl2br w:val="nil"/>
              <w:tr2bl w:val="nil"/>
            </w:tcBorders>
            <w:shd w:val="clear" w:color="auto" w:fill="auto"/>
            <w:vAlign w:val="center"/>
          </w:tcPr>
          <w:p w14:paraId="4B8F3031">
            <w:pPr>
              <w:widowControl/>
              <w:spacing w:line="240" w:lineRule="auto"/>
              <w:ind w:firstLine="0" w:firstLineChars="0"/>
              <w:jc w:val="center"/>
              <w:textAlignment w:val="center"/>
              <w:rPr>
                <w:color w:val="auto"/>
                <w:sz w:val="21"/>
                <w:szCs w:val="21"/>
                <w:lang w:bidi="ar"/>
              </w:rPr>
            </w:pPr>
            <w:r>
              <w:rPr>
                <w:color w:val="auto"/>
                <w:sz w:val="21"/>
                <w:szCs w:val="21"/>
                <w:lang w:bidi="ar"/>
              </w:rPr>
              <w:t>生活用水</w:t>
            </w:r>
          </w:p>
        </w:tc>
        <w:tc>
          <w:tcPr>
            <w:tcW w:w="1183" w:type="dxa"/>
            <w:tcBorders>
              <w:tl2br w:val="nil"/>
              <w:tr2bl w:val="nil"/>
            </w:tcBorders>
            <w:shd w:val="clear" w:color="auto" w:fill="auto"/>
            <w:vAlign w:val="center"/>
          </w:tcPr>
          <w:p w14:paraId="43E731B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273.20 </w:t>
            </w:r>
          </w:p>
        </w:tc>
        <w:tc>
          <w:tcPr>
            <w:tcW w:w="1431" w:type="dxa"/>
            <w:tcBorders>
              <w:tl2br w:val="nil"/>
              <w:tr2bl w:val="nil"/>
            </w:tcBorders>
            <w:shd w:val="clear" w:color="auto" w:fill="auto"/>
            <w:vAlign w:val="center"/>
          </w:tcPr>
          <w:p w14:paraId="03BB794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54.64 </w:t>
            </w:r>
          </w:p>
        </w:tc>
        <w:tc>
          <w:tcPr>
            <w:tcW w:w="1220" w:type="dxa"/>
            <w:tcBorders>
              <w:tl2br w:val="nil"/>
              <w:tr2bl w:val="nil"/>
            </w:tcBorders>
            <w:shd w:val="clear" w:color="auto" w:fill="auto"/>
            <w:vAlign w:val="center"/>
          </w:tcPr>
          <w:p w14:paraId="031F493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218.56 </w:t>
            </w:r>
          </w:p>
        </w:tc>
      </w:tr>
      <w:tr w14:paraId="267CB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38655FBB">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510F1025">
            <w:pPr>
              <w:widowControl/>
              <w:spacing w:line="240" w:lineRule="auto"/>
              <w:ind w:firstLine="0" w:firstLineChars="0"/>
              <w:jc w:val="center"/>
              <w:textAlignment w:val="center"/>
              <w:rPr>
                <w:color w:val="auto"/>
                <w:sz w:val="21"/>
                <w:szCs w:val="21"/>
                <w:lang w:bidi="ar"/>
              </w:rPr>
            </w:pPr>
            <w:r>
              <w:rPr>
                <w:color w:val="auto"/>
                <w:sz w:val="21"/>
                <w:szCs w:val="21"/>
                <w:lang w:bidi="ar"/>
              </w:rPr>
              <w:t>工业用水</w:t>
            </w:r>
          </w:p>
        </w:tc>
        <w:tc>
          <w:tcPr>
            <w:tcW w:w="1183" w:type="dxa"/>
            <w:tcBorders>
              <w:tl2br w:val="nil"/>
              <w:tr2bl w:val="nil"/>
            </w:tcBorders>
            <w:shd w:val="clear" w:color="auto" w:fill="auto"/>
            <w:vAlign w:val="center"/>
          </w:tcPr>
          <w:p w14:paraId="65BA7D2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981.35 </w:t>
            </w:r>
          </w:p>
        </w:tc>
        <w:tc>
          <w:tcPr>
            <w:tcW w:w="1431" w:type="dxa"/>
            <w:tcBorders>
              <w:tl2br w:val="nil"/>
              <w:tr2bl w:val="nil"/>
            </w:tcBorders>
            <w:shd w:val="clear" w:color="auto" w:fill="auto"/>
            <w:vAlign w:val="center"/>
          </w:tcPr>
          <w:p w14:paraId="1C6EEAF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294.41 </w:t>
            </w:r>
          </w:p>
        </w:tc>
        <w:tc>
          <w:tcPr>
            <w:tcW w:w="1220" w:type="dxa"/>
            <w:tcBorders>
              <w:tl2br w:val="nil"/>
              <w:tr2bl w:val="nil"/>
            </w:tcBorders>
            <w:shd w:val="clear" w:color="auto" w:fill="auto"/>
            <w:vAlign w:val="center"/>
          </w:tcPr>
          <w:p w14:paraId="3DF1CDD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686.95 </w:t>
            </w:r>
          </w:p>
        </w:tc>
      </w:tr>
      <w:tr w14:paraId="6AF1A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3353D3B5">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noWrap/>
            <w:vAlign w:val="center"/>
          </w:tcPr>
          <w:p w14:paraId="14B371B0">
            <w:pPr>
              <w:widowControl/>
              <w:spacing w:line="240" w:lineRule="auto"/>
              <w:ind w:firstLine="0" w:firstLineChars="0"/>
              <w:jc w:val="center"/>
              <w:textAlignment w:val="center"/>
              <w:rPr>
                <w:color w:val="auto"/>
                <w:sz w:val="21"/>
                <w:szCs w:val="21"/>
                <w:lang w:bidi="ar"/>
              </w:rPr>
            </w:pPr>
            <w:r>
              <w:rPr>
                <w:color w:val="auto"/>
                <w:sz w:val="21"/>
                <w:szCs w:val="21"/>
                <w:lang w:bidi="ar"/>
              </w:rPr>
              <w:t>洒浇道路和绿地</w:t>
            </w:r>
          </w:p>
        </w:tc>
        <w:tc>
          <w:tcPr>
            <w:tcW w:w="1183" w:type="dxa"/>
            <w:tcBorders>
              <w:tl2br w:val="nil"/>
              <w:tr2bl w:val="nil"/>
            </w:tcBorders>
            <w:shd w:val="clear" w:color="auto" w:fill="auto"/>
            <w:vAlign w:val="center"/>
          </w:tcPr>
          <w:p w14:paraId="28F2CEF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221.75 </w:t>
            </w:r>
          </w:p>
        </w:tc>
        <w:tc>
          <w:tcPr>
            <w:tcW w:w="1431" w:type="dxa"/>
            <w:tcBorders>
              <w:tl2br w:val="nil"/>
              <w:tr2bl w:val="nil"/>
            </w:tcBorders>
            <w:shd w:val="clear" w:color="auto" w:fill="auto"/>
            <w:vAlign w:val="center"/>
          </w:tcPr>
          <w:p w14:paraId="69CEC12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221.75 </w:t>
            </w:r>
          </w:p>
        </w:tc>
        <w:tc>
          <w:tcPr>
            <w:tcW w:w="1220" w:type="dxa"/>
            <w:tcBorders>
              <w:tl2br w:val="nil"/>
              <w:tr2bl w:val="nil"/>
            </w:tcBorders>
            <w:shd w:val="clear" w:color="auto" w:fill="auto"/>
            <w:vAlign w:val="center"/>
          </w:tcPr>
          <w:p w14:paraId="5C1A93D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45C75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168D0CEC">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1F56DF72">
            <w:pPr>
              <w:widowControl/>
              <w:spacing w:line="240" w:lineRule="auto"/>
              <w:ind w:firstLine="0" w:firstLineChars="0"/>
              <w:jc w:val="center"/>
              <w:textAlignment w:val="center"/>
              <w:rPr>
                <w:color w:val="auto"/>
                <w:sz w:val="21"/>
                <w:szCs w:val="21"/>
                <w:lang w:bidi="ar"/>
              </w:rPr>
            </w:pPr>
            <w:r>
              <w:rPr>
                <w:color w:val="auto"/>
                <w:sz w:val="21"/>
                <w:szCs w:val="21"/>
                <w:lang w:bidi="ar"/>
              </w:rPr>
              <w:t>管网渗漏</w:t>
            </w:r>
          </w:p>
        </w:tc>
        <w:tc>
          <w:tcPr>
            <w:tcW w:w="1183" w:type="dxa"/>
            <w:tcBorders>
              <w:tl2br w:val="nil"/>
              <w:tr2bl w:val="nil"/>
            </w:tcBorders>
            <w:shd w:val="clear" w:color="auto" w:fill="auto"/>
            <w:vAlign w:val="center"/>
          </w:tcPr>
          <w:p w14:paraId="162DDE5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132.87 </w:t>
            </w:r>
          </w:p>
        </w:tc>
        <w:tc>
          <w:tcPr>
            <w:tcW w:w="1431" w:type="dxa"/>
            <w:tcBorders>
              <w:tl2br w:val="nil"/>
              <w:tr2bl w:val="nil"/>
            </w:tcBorders>
            <w:shd w:val="clear" w:color="auto" w:fill="auto"/>
            <w:vAlign w:val="center"/>
          </w:tcPr>
          <w:p w14:paraId="1F1192D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132.87 </w:t>
            </w:r>
          </w:p>
        </w:tc>
        <w:tc>
          <w:tcPr>
            <w:tcW w:w="1220" w:type="dxa"/>
            <w:tcBorders>
              <w:tl2br w:val="nil"/>
              <w:tr2bl w:val="nil"/>
            </w:tcBorders>
            <w:shd w:val="clear" w:color="auto" w:fill="auto"/>
            <w:vAlign w:val="center"/>
          </w:tcPr>
          <w:p w14:paraId="4445EFD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7363AF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730660F4">
            <w:pPr>
              <w:widowControl/>
              <w:spacing w:line="240" w:lineRule="auto"/>
              <w:ind w:firstLine="0" w:firstLineChars="0"/>
              <w:jc w:val="center"/>
              <w:textAlignment w:val="center"/>
              <w:rPr>
                <w:color w:val="auto"/>
                <w:sz w:val="21"/>
                <w:szCs w:val="21"/>
                <w:lang w:bidi="ar"/>
              </w:rPr>
            </w:pPr>
          </w:p>
        </w:tc>
        <w:tc>
          <w:tcPr>
            <w:tcW w:w="933" w:type="pct"/>
            <w:vMerge w:val="restart"/>
            <w:tcBorders>
              <w:tl2br w:val="nil"/>
              <w:tr2bl w:val="nil"/>
            </w:tcBorders>
            <w:shd w:val="clear" w:color="auto" w:fill="auto"/>
            <w:vAlign w:val="center"/>
          </w:tcPr>
          <w:p w14:paraId="3A1F6485">
            <w:pPr>
              <w:widowControl/>
              <w:spacing w:line="240" w:lineRule="auto"/>
              <w:ind w:firstLine="0" w:firstLineChars="0"/>
              <w:jc w:val="center"/>
              <w:textAlignment w:val="center"/>
              <w:rPr>
                <w:color w:val="auto"/>
                <w:sz w:val="21"/>
                <w:szCs w:val="21"/>
                <w:lang w:bidi="ar"/>
              </w:rPr>
            </w:pPr>
            <w:r>
              <w:rPr>
                <w:color w:val="auto"/>
                <w:sz w:val="21"/>
                <w:szCs w:val="21"/>
                <w:lang w:bidi="ar"/>
              </w:rPr>
              <w:t>未可预见水</w:t>
            </w:r>
          </w:p>
        </w:tc>
        <w:tc>
          <w:tcPr>
            <w:tcW w:w="1368" w:type="pct"/>
            <w:tcBorders>
              <w:tl2br w:val="nil"/>
              <w:tr2bl w:val="nil"/>
            </w:tcBorders>
            <w:shd w:val="clear" w:color="auto" w:fill="auto"/>
            <w:vAlign w:val="center"/>
          </w:tcPr>
          <w:p w14:paraId="00FC7B25">
            <w:pPr>
              <w:widowControl/>
              <w:spacing w:line="240" w:lineRule="auto"/>
              <w:ind w:firstLine="0" w:firstLineChars="0"/>
              <w:jc w:val="center"/>
              <w:textAlignment w:val="center"/>
              <w:rPr>
                <w:color w:val="auto"/>
                <w:sz w:val="21"/>
                <w:szCs w:val="21"/>
                <w:lang w:bidi="ar"/>
              </w:rPr>
            </w:pPr>
            <w:r>
              <w:rPr>
                <w:color w:val="auto"/>
                <w:sz w:val="21"/>
                <w:szCs w:val="21"/>
                <w:lang w:bidi="ar"/>
              </w:rPr>
              <w:t>生活未可预见水量</w:t>
            </w:r>
          </w:p>
        </w:tc>
        <w:tc>
          <w:tcPr>
            <w:tcW w:w="1183" w:type="dxa"/>
            <w:tcBorders>
              <w:tl2br w:val="nil"/>
              <w:tr2bl w:val="nil"/>
            </w:tcBorders>
            <w:shd w:val="clear" w:color="auto" w:fill="auto"/>
            <w:vAlign w:val="center"/>
          </w:tcPr>
          <w:p w14:paraId="36AFDE3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27.32 </w:t>
            </w:r>
          </w:p>
        </w:tc>
        <w:tc>
          <w:tcPr>
            <w:tcW w:w="1431" w:type="dxa"/>
            <w:tcBorders>
              <w:tl2br w:val="nil"/>
              <w:tr2bl w:val="nil"/>
            </w:tcBorders>
            <w:shd w:val="clear" w:color="auto" w:fill="auto"/>
            <w:vAlign w:val="center"/>
          </w:tcPr>
          <w:p w14:paraId="0E29C23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5.46 </w:t>
            </w:r>
          </w:p>
        </w:tc>
        <w:tc>
          <w:tcPr>
            <w:tcW w:w="1220" w:type="dxa"/>
            <w:tcBorders>
              <w:tl2br w:val="nil"/>
              <w:tr2bl w:val="nil"/>
            </w:tcBorders>
            <w:shd w:val="clear" w:color="auto" w:fill="auto"/>
            <w:vAlign w:val="center"/>
          </w:tcPr>
          <w:p w14:paraId="6C3403E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21.86 </w:t>
            </w:r>
          </w:p>
        </w:tc>
      </w:tr>
      <w:tr w14:paraId="538076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389BDCCE">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37B898E4">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0197F45C">
            <w:pPr>
              <w:widowControl/>
              <w:spacing w:line="240" w:lineRule="auto"/>
              <w:ind w:firstLine="0" w:firstLineChars="0"/>
              <w:jc w:val="center"/>
              <w:textAlignment w:val="center"/>
              <w:rPr>
                <w:color w:val="auto"/>
                <w:sz w:val="21"/>
                <w:szCs w:val="21"/>
                <w:lang w:bidi="ar"/>
              </w:rPr>
            </w:pPr>
            <w:r>
              <w:rPr>
                <w:color w:val="auto"/>
                <w:sz w:val="21"/>
                <w:szCs w:val="21"/>
                <w:lang w:bidi="ar"/>
              </w:rPr>
              <w:t>工业未可预见水量</w:t>
            </w:r>
          </w:p>
        </w:tc>
        <w:tc>
          <w:tcPr>
            <w:tcW w:w="1183" w:type="dxa"/>
            <w:tcBorders>
              <w:tl2br w:val="nil"/>
              <w:tr2bl w:val="nil"/>
            </w:tcBorders>
            <w:shd w:val="clear" w:color="auto" w:fill="auto"/>
            <w:vAlign w:val="center"/>
          </w:tcPr>
          <w:p w14:paraId="1A9EDA4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98.14 </w:t>
            </w:r>
          </w:p>
        </w:tc>
        <w:tc>
          <w:tcPr>
            <w:tcW w:w="1431" w:type="dxa"/>
            <w:tcBorders>
              <w:tl2br w:val="nil"/>
              <w:tr2bl w:val="nil"/>
            </w:tcBorders>
            <w:shd w:val="clear" w:color="auto" w:fill="auto"/>
            <w:vAlign w:val="center"/>
          </w:tcPr>
          <w:p w14:paraId="51E79CB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29.44 </w:t>
            </w:r>
          </w:p>
        </w:tc>
        <w:tc>
          <w:tcPr>
            <w:tcW w:w="1220" w:type="dxa"/>
            <w:tcBorders>
              <w:tl2br w:val="nil"/>
              <w:tr2bl w:val="nil"/>
            </w:tcBorders>
            <w:shd w:val="clear" w:color="auto" w:fill="auto"/>
            <w:vAlign w:val="center"/>
          </w:tcPr>
          <w:p w14:paraId="0DBABB4F">
            <w:pPr>
              <w:widowControl/>
              <w:spacing w:line="240" w:lineRule="auto"/>
              <w:ind w:firstLine="0" w:firstLineChars="0"/>
              <w:jc w:val="center"/>
              <w:textAlignment w:val="center"/>
              <w:rPr>
                <w:color w:val="auto"/>
                <w:sz w:val="21"/>
                <w:szCs w:val="21"/>
                <w:lang w:bidi="ar"/>
              </w:rPr>
            </w:pPr>
            <w:r>
              <w:rPr>
                <w:color w:val="auto"/>
                <w:sz w:val="21"/>
                <w:szCs w:val="21"/>
                <w:lang w:bidi="ar"/>
              </w:rPr>
              <w:t>68.68</w:t>
            </w:r>
          </w:p>
        </w:tc>
      </w:tr>
      <w:tr w14:paraId="108982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772AE22F">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6A9FE00C">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272E8CA6">
            <w:pPr>
              <w:widowControl/>
              <w:spacing w:line="240" w:lineRule="auto"/>
              <w:ind w:firstLine="0" w:firstLineChars="0"/>
              <w:jc w:val="center"/>
              <w:textAlignment w:val="center"/>
              <w:rPr>
                <w:color w:val="auto"/>
                <w:sz w:val="21"/>
                <w:szCs w:val="21"/>
                <w:lang w:bidi="ar"/>
              </w:rPr>
            </w:pPr>
            <w:r>
              <w:rPr>
                <w:color w:val="auto"/>
                <w:sz w:val="21"/>
                <w:szCs w:val="21"/>
                <w:lang w:bidi="ar"/>
              </w:rPr>
              <w:t>洒浇绿地未可预见水量</w:t>
            </w:r>
          </w:p>
        </w:tc>
        <w:tc>
          <w:tcPr>
            <w:tcW w:w="1183" w:type="dxa"/>
            <w:tcBorders>
              <w:tl2br w:val="nil"/>
              <w:tr2bl w:val="nil"/>
            </w:tcBorders>
            <w:shd w:val="clear" w:color="auto" w:fill="auto"/>
            <w:vAlign w:val="center"/>
          </w:tcPr>
          <w:p w14:paraId="4DCA3B6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22.18 </w:t>
            </w:r>
          </w:p>
        </w:tc>
        <w:tc>
          <w:tcPr>
            <w:tcW w:w="1431" w:type="dxa"/>
            <w:tcBorders>
              <w:tl2br w:val="nil"/>
              <w:tr2bl w:val="nil"/>
            </w:tcBorders>
            <w:shd w:val="clear" w:color="auto" w:fill="auto"/>
            <w:vAlign w:val="center"/>
          </w:tcPr>
          <w:p w14:paraId="6E2CEE7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22.18 </w:t>
            </w:r>
          </w:p>
        </w:tc>
        <w:tc>
          <w:tcPr>
            <w:tcW w:w="1220" w:type="dxa"/>
            <w:tcBorders>
              <w:tl2br w:val="nil"/>
              <w:tr2bl w:val="nil"/>
            </w:tcBorders>
            <w:shd w:val="clear" w:color="auto" w:fill="auto"/>
            <w:vAlign w:val="center"/>
          </w:tcPr>
          <w:p w14:paraId="023DD66D">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37A7C1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75152FF1">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1A513714">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429C755C">
            <w:pPr>
              <w:widowControl/>
              <w:spacing w:line="240" w:lineRule="auto"/>
              <w:ind w:firstLine="0" w:firstLineChars="0"/>
              <w:jc w:val="center"/>
              <w:textAlignment w:val="center"/>
              <w:rPr>
                <w:color w:val="auto"/>
                <w:sz w:val="21"/>
                <w:szCs w:val="21"/>
                <w:lang w:bidi="ar"/>
              </w:rPr>
            </w:pPr>
            <w:r>
              <w:rPr>
                <w:color w:val="auto"/>
                <w:sz w:val="21"/>
                <w:szCs w:val="21"/>
                <w:lang w:bidi="ar"/>
              </w:rPr>
              <w:t>渗漏未可预见水量</w:t>
            </w:r>
          </w:p>
        </w:tc>
        <w:tc>
          <w:tcPr>
            <w:tcW w:w="1183" w:type="dxa"/>
            <w:tcBorders>
              <w:tl2br w:val="nil"/>
              <w:tr2bl w:val="nil"/>
            </w:tcBorders>
            <w:shd w:val="clear" w:color="auto" w:fill="auto"/>
            <w:vAlign w:val="center"/>
          </w:tcPr>
          <w:p w14:paraId="516FE7F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13.29 </w:t>
            </w:r>
          </w:p>
        </w:tc>
        <w:tc>
          <w:tcPr>
            <w:tcW w:w="1431" w:type="dxa"/>
            <w:tcBorders>
              <w:tl2br w:val="nil"/>
              <w:tr2bl w:val="nil"/>
            </w:tcBorders>
            <w:shd w:val="clear" w:color="auto" w:fill="auto"/>
            <w:vAlign w:val="center"/>
          </w:tcPr>
          <w:p w14:paraId="36ACB1F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13.29 </w:t>
            </w:r>
          </w:p>
        </w:tc>
        <w:tc>
          <w:tcPr>
            <w:tcW w:w="1220" w:type="dxa"/>
            <w:tcBorders>
              <w:tl2br w:val="nil"/>
              <w:tr2bl w:val="nil"/>
            </w:tcBorders>
            <w:shd w:val="clear" w:color="auto" w:fill="auto"/>
            <w:vAlign w:val="center"/>
          </w:tcPr>
          <w:p w14:paraId="1404212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19776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1C73691D">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67F5111E">
            <w:pPr>
              <w:widowControl/>
              <w:spacing w:line="240" w:lineRule="auto"/>
              <w:ind w:firstLine="0" w:firstLineChars="0"/>
              <w:jc w:val="center"/>
              <w:textAlignment w:val="center"/>
              <w:rPr>
                <w:color w:val="auto"/>
                <w:sz w:val="21"/>
                <w:szCs w:val="21"/>
                <w:lang w:bidi="ar"/>
              </w:rPr>
            </w:pPr>
            <w:r>
              <w:rPr>
                <w:color w:val="auto"/>
                <w:sz w:val="21"/>
                <w:szCs w:val="21"/>
                <w:lang w:bidi="ar"/>
              </w:rPr>
              <w:t>小计</w:t>
            </w:r>
          </w:p>
        </w:tc>
        <w:tc>
          <w:tcPr>
            <w:tcW w:w="1183" w:type="dxa"/>
            <w:tcBorders>
              <w:tl2br w:val="nil"/>
              <w:tr2bl w:val="nil"/>
            </w:tcBorders>
            <w:shd w:val="clear" w:color="auto" w:fill="auto"/>
            <w:vAlign w:val="center"/>
          </w:tcPr>
          <w:p w14:paraId="092482C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1770.09 </w:t>
            </w:r>
          </w:p>
        </w:tc>
        <w:tc>
          <w:tcPr>
            <w:tcW w:w="1431" w:type="dxa"/>
            <w:tcBorders>
              <w:tl2br w:val="nil"/>
              <w:tr2bl w:val="nil"/>
            </w:tcBorders>
            <w:shd w:val="clear" w:color="auto" w:fill="auto"/>
            <w:vAlign w:val="center"/>
          </w:tcPr>
          <w:p w14:paraId="6F93AF1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774.03 </w:t>
            </w:r>
          </w:p>
        </w:tc>
        <w:tc>
          <w:tcPr>
            <w:tcW w:w="1220" w:type="dxa"/>
            <w:tcBorders>
              <w:tl2br w:val="nil"/>
              <w:tr2bl w:val="nil"/>
            </w:tcBorders>
            <w:shd w:val="clear" w:color="auto" w:fill="auto"/>
            <w:vAlign w:val="center"/>
          </w:tcPr>
          <w:p w14:paraId="32686AB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996.05 </w:t>
            </w:r>
          </w:p>
        </w:tc>
      </w:tr>
      <w:tr w14:paraId="0A655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restart"/>
            <w:tcBorders>
              <w:tl2br w:val="nil"/>
              <w:tr2bl w:val="nil"/>
            </w:tcBorders>
            <w:shd w:val="clear" w:color="auto" w:fill="auto"/>
            <w:vAlign w:val="center"/>
          </w:tcPr>
          <w:p w14:paraId="0F11F359">
            <w:pPr>
              <w:widowControl/>
              <w:spacing w:line="240" w:lineRule="auto"/>
              <w:ind w:firstLine="0" w:firstLineChars="0"/>
              <w:jc w:val="center"/>
              <w:textAlignment w:val="center"/>
              <w:rPr>
                <w:color w:val="auto"/>
                <w:sz w:val="21"/>
                <w:szCs w:val="21"/>
                <w:lang w:bidi="ar"/>
              </w:rPr>
            </w:pPr>
            <w:r>
              <w:rPr>
                <w:color w:val="auto"/>
                <w:sz w:val="21"/>
                <w:szCs w:val="21"/>
                <w:lang w:bidi="ar"/>
              </w:rPr>
              <w:t>C区</w:t>
            </w:r>
          </w:p>
        </w:tc>
        <w:tc>
          <w:tcPr>
            <w:tcW w:w="2301" w:type="pct"/>
            <w:gridSpan w:val="2"/>
            <w:tcBorders>
              <w:tl2br w:val="nil"/>
              <w:tr2bl w:val="nil"/>
            </w:tcBorders>
            <w:shd w:val="clear" w:color="auto" w:fill="auto"/>
            <w:vAlign w:val="center"/>
          </w:tcPr>
          <w:p w14:paraId="13D7A20D">
            <w:pPr>
              <w:widowControl/>
              <w:spacing w:line="240" w:lineRule="auto"/>
              <w:ind w:firstLine="0" w:firstLineChars="0"/>
              <w:jc w:val="center"/>
              <w:textAlignment w:val="center"/>
              <w:rPr>
                <w:color w:val="auto"/>
                <w:sz w:val="21"/>
                <w:szCs w:val="21"/>
                <w:lang w:bidi="ar"/>
              </w:rPr>
            </w:pPr>
            <w:r>
              <w:rPr>
                <w:color w:val="auto"/>
                <w:sz w:val="21"/>
                <w:szCs w:val="21"/>
                <w:lang w:bidi="ar"/>
              </w:rPr>
              <w:t>生活用水</w:t>
            </w:r>
          </w:p>
        </w:tc>
        <w:tc>
          <w:tcPr>
            <w:tcW w:w="1183" w:type="dxa"/>
            <w:tcBorders>
              <w:tl2br w:val="nil"/>
              <w:tr2bl w:val="nil"/>
            </w:tcBorders>
            <w:shd w:val="clear" w:color="auto" w:fill="auto"/>
            <w:vAlign w:val="center"/>
          </w:tcPr>
          <w:p w14:paraId="3B028BA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299.58 </w:t>
            </w:r>
          </w:p>
        </w:tc>
        <w:tc>
          <w:tcPr>
            <w:tcW w:w="1431" w:type="dxa"/>
            <w:tcBorders>
              <w:tl2br w:val="nil"/>
              <w:tr2bl w:val="nil"/>
            </w:tcBorders>
            <w:shd w:val="clear" w:color="auto" w:fill="auto"/>
            <w:vAlign w:val="center"/>
          </w:tcPr>
          <w:p w14:paraId="78800ED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59.92 </w:t>
            </w:r>
          </w:p>
        </w:tc>
        <w:tc>
          <w:tcPr>
            <w:tcW w:w="1220" w:type="dxa"/>
            <w:tcBorders>
              <w:tl2br w:val="nil"/>
              <w:tr2bl w:val="nil"/>
            </w:tcBorders>
            <w:shd w:val="clear" w:color="auto" w:fill="auto"/>
            <w:vAlign w:val="center"/>
          </w:tcPr>
          <w:p w14:paraId="5C4DD73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239.66 </w:t>
            </w:r>
          </w:p>
        </w:tc>
      </w:tr>
      <w:tr w14:paraId="08973A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94" w:type="pct"/>
            <w:vMerge w:val="continue"/>
            <w:tcBorders>
              <w:tl2br w:val="nil"/>
              <w:tr2bl w:val="nil"/>
            </w:tcBorders>
            <w:shd w:val="clear" w:color="auto" w:fill="auto"/>
            <w:vAlign w:val="center"/>
          </w:tcPr>
          <w:p w14:paraId="72248B06">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673F3B3A">
            <w:pPr>
              <w:widowControl/>
              <w:spacing w:line="240" w:lineRule="auto"/>
              <w:ind w:firstLine="0" w:firstLineChars="0"/>
              <w:jc w:val="center"/>
              <w:textAlignment w:val="center"/>
              <w:rPr>
                <w:color w:val="auto"/>
                <w:sz w:val="21"/>
                <w:szCs w:val="21"/>
                <w:lang w:bidi="ar"/>
              </w:rPr>
            </w:pPr>
            <w:r>
              <w:rPr>
                <w:color w:val="auto"/>
                <w:sz w:val="21"/>
                <w:szCs w:val="21"/>
                <w:lang w:bidi="ar"/>
              </w:rPr>
              <w:t>工业用水</w:t>
            </w:r>
          </w:p>
        </w:tc>
        <w:tc>
          <w:tcPr>
            <w:tcW w:w="1183" w:type="dxa"/>
            <w:tcBorders>
              <w:tl2br w:val="nil"/>
              <w:tr2bl w:val="nil"/>
            </w:tcBorders>
            <w:shd w:val="clear" w:color="auto" w:fill="auto"/>
            <w:vAlign w:val="center"/>
          </w:tcPr>
          <w:p w14:paraId="36E03F0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674.88 </w:t>
            </w:r>
          </w:p>
        </w:tc>
        <w:tc>
          <w:tcPr>
            <w:tcW w:w="1431" w:type="dxa"/>
            <w:tcBorders>
              <w:tl2br w:val="nil"/>
              <w:tr2bl w:val="nil"/>
            </w:tcBorders>
            <w:shd w:val="clear" w:color="auto" w:fill="auto"/>
            <w:vAlign w:val="center"/>
          </w:tcPr>
          <w:p w14:paraId="383ED06E">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202.46 </w:t>
            </w:r>
          </w:p>
        </w:tc>
        <w:tc>
          <w:tcPr>
            <w:tcW w:w="1220" w:type="dxa"/>
            <w:tcBorders>
              <w:tl2br w:val="nil"/>
              <w:tr2bl w:val="nil"/>
            </w:tcBorders>
            <w:shd w:val="clear" w:color="auto" w:fill="auto"/>
            <w:vAlign w:val="center"/>
          </w:tcPr>
          <w:p w14:paraId="1C9EFAB1">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472.42 </w:t>
            </w:r>
          </w:p>
        </w:tc>
      </w:tr>
      <w:tr w14:paraId="7E040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94" w:type="pct"/>
            <w:vMerge w:val="continue"/>
            <w:tcBorders>
              <w:tl2br w:val="nil"/>
              <w:tr2bl w:val="nil"/>
            </w:tcBorders>
            <w:shd w:val="clear" w:color="auto" w:fill="auto"/>
            <w:vAlign w:val="center"/>
          </w:tcPr>
          <w:p w14:paraId="4ED9F05D">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noWrap/>
            <w:vAlign w:val="center"/>
          </w:tcPr>
          <w:p w14:paraId="6F0BEC75">
            <w:pPr>
              <w:widowControl/>
              <w:spacing w:line="240" w:lineRule="auto"/>
              <w:ind w:firstLine="0" w:firstLineChars="0"/>
              <w:jc w:val="center"/>
              <w:textAlignment w:val="center"/>
              <w:rPr>
                <w:color w:val="auto"/>
                <w:sz w:val="21"/>
                <w:szCs w:val="21"/>
                <w:lang w:bidi="ar"/>
              </w:rPr>
            </w:pPr>
            <w:r>
              <w:rPr>
                <w:color w:val="auto"/>
                <w:sz w:val="21"/>
                <w:szCs w:val="21"/>
                <w:lang w:bidi="ar"/>
              </w:rPr>
              <w:t>洒浇道路和绿地</w:t>
            </w:r>
          </w:p>
        </w:tc>
        <w:tc>
          <w:tcPr>
            <w:tcW w:w="1183" w:type="dxa"/>
            <w:tcBorders>
              <w:tl2br w:val="nil"/>
              <w:tr2bl w:val="nil"/>
            </w:tcBorders>
            <w:shd w:val="clear" w:color="auto" w:fill="auto"/>
            <w:vAlign w:val="center"/>
          </w:tcPr>
          <w:p w14:paraId="6D49243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138.48 </w:t>
            </w:r>
          </w:p>
        </w:tc>
        <w:tc>
          <w:tcPr>
            <w:tcW w:w="1431" w:type="dxa"/>
            <w:tcBorders>
              <w:tl2br w:val="nil"/>
              <w:tr2bl w:val="nil"/>
            </w:tcBorders>
            <w:shd w:val="clear" w:color="auto" w:fill="auto"/>
            <w:vAlign w:val="center"/>
          </w:tcPr>
          <w:p w14:paraId="7D710B1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138.48 </w:t>
            </w:r>
          </w:p>
        </w:tc>
        <w:tc>
          <w:tcPr>
            <w:tcW w:w="1220" w:type="dxa"/>
            <w:tcBorders>
              <w:tl2br w:val="nil"/>
              <w:tr2bl w:val="nil"/>
            </w:tcBorders>
            <w:shd w:val="clear" w:color="auto" w:fill="auto"/>
            <w:vAlign w:val="center"/>
          </w:tcPr>
          <w:p w14:paraId="45BA7A1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0468D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4" w:type="pct"/>
            <w:vMerge w:val="continue"/>
            <w:tcBorders>
              <w:tl2br w:val="nil"/>
              <w:tr2bl w:val="nil"/>
            </w:tcBorders>
            <w:shd w:val="clear" w:color="auto" w:fill="auto"/>
            <w:vAlign w:val="center"/>
          </w:tcPr>
          <w:p w14:paraId="3E5C490B">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2E3D6F8E">
            <w:pPr>
              <w:widowControl/>
              <w:spacing w:line="240" w:lineRule="auto"/>
              <w:ind w:firstLine="0" w:firstLineChars="0"/>
              <w:jc w:val="center"/>
              <w:textAlignment w:val="center"/>
              <w:rPr>
                <w:color w:val="auto"/>
                <w:sz w:val="21"/>
                <w:szCs w:val="21"/>
                <w:lang w:bidi="ar"/>
              </w:rPr>
            </w:pPr>
            <w:r>
              <w:rPr>
                <w:color w:val="auto"/>
                <w:sz w:val="21"/>
                <w:szCs w:val="21"/>
                <w:lang w:bidi="ar"/>
              </w:rPr>
              <w:t>管网渗漏</w:t>
            </w:r>
          </w:p>
        </w:tc>
        <w:tc>
          <w:tcPr>
            <w:tcW w:w="1183" w:type="dxa"/>
            <w:tcBorders>
              <w:tl2br w:val="nil"/>
              <w:tr2bl w:val="nil"/>
            </w:tcBorders>
            <w:shd w:val="clear" w:color="auto" w:fill="auto"/>
            <w:vAlign w:val="center"/>
          </w:tcPr>
          <w:p w14:paraId="24276CF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100.16 </w:t>
            </w:r>
          </w:p>
        </w:tc>
        <w:tc>
          <w:tcPr>
            <w:tcW w:w="1431" w:type="dxa"/>
            <w:tcBorders>
              <w:tl2br w:val="nil"/>
              <w:tr2bl w:val="nil"/>
            </w:tcBorders>
            <w:shd w:val="clear" w:color="auto" w:fill="auto"/>
            <w:vAlign w:val="center"/>
          </w:tcPr>
          <w:p w14:paraId="3903847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100.16 </w:t>
            </w:r>
          </w:p>
        </w:tc>
        <w:tc>
          <w:tcPr>
            <w:tcW w:w="1220" w:type="dxa"/>
            <w:tcBorders>
              <w:tl2br w:val="nil"/>
              <w:tr2bl w:val="nil"/>
            </w:tcBorders>
            <w:shd w:val="clear" w:color="auto" w:fill="auto"/>
            <w:vAlign w:val="center"/>
          </w:tcPr>
          <w:p w14:paraId="0AF6EA6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015C8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4" w:type="pct"/>
            <w:vMerge w:val="continue"/>
            <w:tcBorders>
              <w:tl2br w:val="nil"/>
              <w:tr2bl w:val="nil"/>
            </w:tcBorders>
            <w:shd w:val="clear" w:color="auto" w:fill="auto"/>
            <w:vAlign w:val="center"/>
          </w:tcPr>
          <w:p w14:paraId="70385435">
            <w:pPr>
              <w:widowControl/>
              <w:spacing w:line="240" w:lineRule="auto"/>
              <w:ind w:firstLine="0" w:firstLineChars="0"/>
              <w:jc w:val="center"/>
              <w:textAlignment w:val="center"/>
              <w:rPr>
                <w:color w:val="auto"/>
                <w:sz w:val="21"/>
                <w:szCs w:val="21"/>
                <w:lang w:bidi="ar"/>
              </w:rPr>
            </w:pPr>
          </w:p>
        </w:tc>
        <w:tc>
          <w:tcPr>
            <w:tcW w:w="933" w:type="pct"/>
            <w:vMerge w:val="restart"/>
            <w:tcBorders>
              <w:tl2br w:val="nil"/>
              <w:tr2bl w:val="nil"/>
            </w:tcBorders>
            <w:shd w:val="clear" w:color="auto" w:fill="auto"/>
            <w:vAlign w:val="center"/>
          </w:tcPr>
          <w:p w14:paraId="7290E1D5">
            <w:pPr>
              <w:widowControl/>
              <w:spacing w:line="240" w:lineRule="auto"/>
              <w:ind w:firstLine="0" w:firstLineChars="0"/>
              <w:jc w:val="center"/>
              <w:textAlignment w:val="center"/>
              <w:rPr>
                <w:color w:val="auto"/>
                <w:sz w:val="21"/>
                <w:szCs w:val="21"/>
                <w:lang w:bidi="ar"/>
              </w:rPr>
            </w:pPr>
            <w:r>
              <w:rPr>
                <w:color w:val="auto"/>
                <w:sz w:val="21"/>
                <w:szCs w:val="21"/>
                <w:lang w:bidi="ar"/>
              </w:rPr>
              <w:t>未可预见水</w:t>
            </w:r>
          </w:p>
        </w:tc>
        <w:tc>
          <w:tcPr>
            <w:tcW w:w="1368" w:type="pct"/>
            <w:tcBorders>
              <w:tl2br w:val="nil"/>
              <w:tr2bl w:val="nil"/>
            </w:tcBorders>
            <w:shd w:val="clear" w:color="auto" w:fill="auto"/>
            <w:vAlign w:val="center"/>
          </w:tcPr>
          <w:p w14:paraId="6FBB5F01">
            <w:pPr>
              <w:widowControl/>
              <w:spacing w:line="240" w:lineRule="auto"/>
              <w:ind w:firstLine="0" w:firstLineChars="0"/>
              <w:jc w:val="center"/>
              <w:textAlignment w:val="center"/>
              <w:rPr>
                <w:color w:val="auto"/>
                <w:sz w:val="21"/>
                <w:szCs w:val="21"/>
                <w:lang w:bidi="ar"/>
              </w:rPr>
            </w:pPr>
            <w:r>
              <w:rPr>
                <w:color w:val="auto"/>
                <w:sz w:val="21"/>
                <w:szCs w:val="21"/>
                <w:lang w:bidi="ar"/>
              </w:rPr>
              <w:t>生活未可预见水量</w:t>
            </w:r>
          </w:p>
        </w:tc>
        <w:tc>
          <w:tcPr>
            <w:tcW w:w="1183" w:type="dxa"/>
            <w:tcBorders>
              <w:tl2br w:val="nil"/>
              <w:tr2bl w:val="nil"/>
            </w:tcBorders>
            <w:shd w:val="clear" w:color="auto" w:fill="auto"/>
            <w:vAlign w:val="center"/>
          </w:tcPr>
          <w:p w14:paraId="2B4AE0C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29.96 </w:t>
            </w:r>
          </w:p>
        </w:tc>
        <w:tc>
          <w:tcPr>
            <w:tcW w:w="1431" w:type="dxa"/>
            <w:tcBorders>
              <w:tl2br w:val="nil"/>
              <w:tr2bl w:val="nil"/>
            </w:tcBorders>
            <w:shd w:val="clear" w:color="auto" w:fill="auto"/>
            <w:vAlign w:val="center"/>
          </w:tcPr>
          <w:p w14:paraId="717EF83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5.99 </w:t>
            </w:r>
          </w:p>
        </w:tc>
        <w:tc>
          <w:tcPr>
            <w:tcW w:w="1220" w:type="dxa"/>
            <w:tcBorders>
              <w:tl2br w:val="nil"/>
              <w:tr2bl w:val="nil"/>
            </w:tcBorders>
            <w:shd w:val="clear" w:color="auto" w:fill="auto"/>
            <w:vAlign w:val="center"/>
          </w:tcPr>
          <w:p w14:paraId="086011B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23.97 </w:t>
            </w:r>
          </w:p>
        </w:tc>
      </w:tr>
      <w:tr w14:paraId="03E19F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4" w:type="pct"/>
            <w:vMerge w:val="continue"/>
            <w:tcBorders>
              <w:tl2br w:val="nil"/>
              <w:tr2bl w:val="nil"/>
            </w:tcBorders>
            <w:shd w:val="clear" w:color="auto" w:fill="auto"/>
            <w:vAlign w:val="center"/>
          </w:tcPr>
          <w:p w14:paraId="3465D58B">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28695BDC">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61FEC945">
            <w:pPr>
              <w:widowControl/>
              <w:spacing w:line="240" w:lineRule="auto"/>
              <w:ind w:firstLine="0" w:firstLineChars="0"/>
              <w:jc w:val="center"/>
              <w:textAlignment w:val="center"/>
              <w:rPr>
                <w:color w:val="auto"/>
                <w:sz w:val="21"/>
                <w:szCs w:val="21"/>
                <w:lang w:bidi="ar"/>
              </w:rPr>
            </w:pPr>
            <w:r>
              <w:rPr>
                <w:color w:val="auto"/>
                <w:sz w:val="21"/>
                <w:szCs w:val="21"/>
                <w:lang w:bidi="ar"/>
              </w:rPr>
              <w:t>工业未可预见水量</w:t>
            </w:r>
          </w:p>
        </w:tc>
        <w:tc>
          <w:tcPr>
            <w:tcW w:w="1183" w:type="dxa"/>
            <w:tcBorders>
              <w:tl2br w:val="nil"/>
              <w:tr2bl w:val="nil"/>
            </w:tcBorders>
            <w:shd w:val="clear" w:color="auto" w:fill="auto"/>
            <w:vAlign w:val="center"/>
          </w:tcPr>
          <w:p w14:paraId="0C285DCC">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67.49 </w:t>
            </w:r>
          </w:p>
        </w:tc>
        <w:tc>
          <w:tcPr>
            <w:tcW w:w="1431" w:type="dxa"/>
            <w:tcBorders>
              <w:tl2br w:val="nil"/>
              <w:tr2bl w:val="nil"/>
            </w:tcBorders>
            <w:shd w:val="clear" w:color="auto" w:fill="auto"/>
            <w:vAlign w:val="center"/>
          </w:tcPr>
          <w:p w14:paraId="25D64013">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20.25 </w:t>
            </w:r>
          </w:p>
        </w:tc>
        <w:tc>
          <w:tcPr>
            <w:tcW w:w="1220" w:type="dxa"/>
            <w:tcBorders>
              <w:tl2br w:val="nil"/>
              <w:tr2bl w:val="nil"/>
            </w:tcBorders>
            <w:shd w:val="clear" w:color="auto" w:fill="auto"/>
            <w:vAlign w:val="center"/>
          </w:tcPr>
          <w:p w14:paraId="058899A8">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47.24 </w:t>
            </w:r>
          </w:p>
        </w:tc>
      </w:tr>
      <w:tr w14:paraId="76967F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4" w:type="pct"/>
            <w:vMerge w:val="continue"/>
            <w:tcBorders>
              <w:tl2br w:val="nil"/>
              <w:tr2bl w:val="nil"/>
            </w:tcBorders>
            <w:shd w:val="clear" w:color="auto" w:fill="auto"/>
            <w:vAlign w:val="center"/>
          </w:tcPr>
          <w:p w14:paraId="35B4EBF3">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1DADB677">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75AA1D7C">
            <w:pPr>
              <w:widowControl/>
              <w:spacing w:line="240" w:lineRule="auto"/>
              <w:ind w:firstLine="0" w:firstLineChars="0"/>
              <w:jc w:val="center"/>
              <w:textAlignment w:val="center"/>
              <w:rPr>
                <w:color w:val="auto"/>
                <w:sz w:val="21"/>
                <w:szCs w:val="21"/>
                <w:lang w:bidi="ar"/>
              </w:rPr>
            </w:pPr>
            <w:r>
              <w:rPr>
                <w:color w:val="auto"/>
                <w:sz w:val="21"/>
                <w:szCs w:val="21"/>
                <w:lang w:bidi="ar"/>
              </w:rPr>
              <w:t>洒浇绿地未可预见水量</w:t>
            </w:r>
          </w:p>
        </w:tc>
        <w:tc>
          <w:tcPr>
            <w:tcW w:w="1183" w:type="dxa"/>
            <w:tcBorders>
              <w:tl2br w:val="nil"/>
              <w:tr2bl w:val="nil"/>
            </w:tcBorders>
            <w:shd w:val="clear" w:color="auto" w:fill="auto"/>
            <w:vAlign w:val="center"/>
          </w:tcPr>
          <w:p w14:paraId="5229C27F">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13.85 </w:t>
            </w:r>
          </w:p>
        </w:tc>
        <w:tc>
          <w:tcPr>
            <w:tcW w:w="1431" w:type="dxa"/>
            <w:tcBorders>
              <w:tl2br w:val="nil"/>
              <w:tr2bl w:val="nil"/>
            </w:tcBorders>
            <w:shd w:val="clear" w:color="auto" w:fill="auto"/>
            <w:vAlign w:val="center"/>
          </w:tcPr>
          <w:p w14:paraId="3032B212">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13.85 </w:t>
            </w:r>
          </w:p>
        </w:tc>
        <w:tc>
          <w:tcPr>
            <w:tcW w:w="1220" w:type="dxa"/>
            <w:tcBorders>
              <w:tl2br w:val="nil"/>
              <w:tr2bl w:val="nil"/>
            </w:tcBorders>
            <w:shd w:val="clear" w:color="auto" w:fill="auto"/>
            <w:vAlign w:val="center"/>
          </w:tcPr>
          <w:p w14:paraId="1231A54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428504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74EE86C7">
            <w:pPr>
              <w:widowControl/>
              <w:spacing w:line="240" w:lineRule="auto"/>
              <w:ind w:firstLine="0" w:firstLineChars="0"/>
              <w:jc w:val="center"/>
              <w:textAlignment w:val="center"/>
              <w:rPr>
                <w:color w:val="auto"/>
                <w:sz w:val="21"/>
                <w:szCs w:val="21"/>
                <w:lang w:bidi="ar"/>
              </w:rPr>
            </w:pPr>
          </w:p>
        </w:tc>
        <w:tc>
          <w:tcPr>
            <w:tcW w:w="933" w:type="pct"/>
            <w:vMerge w:val="continue"/>
            <w:tcBorders>
              <w:tl2br w:val="nil"/>
              <w:tr2bl w:val="nil"/>
            </w:tcBorders>
            <w:shd w:val="clear" w:color="auto" w:fill="auto"/>
            <w:vAlign w:val="center"/>
          </w:tcPr>
          <w:p w14:paraId="0B2C1885">
            <w:pPr>
              <w:widowControl/>
              <w:spacing w:line="240" w:lineRule="auto"/>
              <w:ind w:firstLine="0" w:firstLineChars="0"/>
              <w:jc w:val="center"/>
              <w:textAlignment w:val="center"/>
              <w:rPr>
                <w:color w:val="auto"/>
                <w:sz w:val="21"/>
                <w:szCs w:val="21"/>
                <w:lang w:bidi="ar"/>
              </w:rPr>
            </w:pPr>
          </w:p>
        </w:tc>
        <w:tc>
          <w:tcPr>
            <w:tcW w:w="1368" w:type="pct"/>
            <w:tcBorders>
              <w:tl2br w:val="nil"/>
              <w:tr2bl w:val="nil"/>
            </w:tcBorders>
            <w:shd w:val="clear" w:color="auto" w:fill="auto"/>
            <w:vAlign w:val="center"/>
          </w:tcPr>
          <w:p w14:paraId="052C8B17">
            <w:pPr>
              <w:widowControl/>
              <w:spacing w:line="240" w:lineRule="auto"/>
              <w:ind w:firstLine="0" w:firstLineChars="0"/>
              <w:jc w:val="center"/>
              <w:textAlignment w:val="center"/>
              <w:rPr>
                <w:color w:val="auto"/>
                <w:sz w:val="21"/>
                <w:szCs w:val="21"/>
                <w:lang w:bidi="ar"/>
              </w:rPr>
            </w:pPr>
            <w:r>
              <w:rPr>
                <w:color w:val="auto"/>
                <w:sz w:val="21"/>
                <w:szCs w:val="21"/>
                <w:lang w:bidi="ar"/>
              </w:rPr>
              <w:t>渗漏未可预见水量</w:t>
            </w:r>
          </w:p>
        </w:tc>
        <w:tc>
          <w:tcPr>
            <w:tcW w:w="1183" w:type="dxa"/>
            <w:tcBorders>
              <w:tl2br w:val="nil"/>
              <w:tr2bl w:val="nil"/>
            </w:tcBorders>
            <w:shd w:val="clear" w:color="auto" w:fill="auto"/>
            <w:vAlign w:val="center"/>
          </w:tcPr>
          <w:p w14:paraId="34FD8B47">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10.02 </w:t>
            </w:r>
          </w:p>
        </w:tc>
        <w:tc>
          <w:tcPr>
            <w:tcW w:w="1431" w:type="dxa"/>
            <w:tcBorders>
              <w:tl2br w:val="nil"/>
              <w:tr2bl w:val="nil"/>
            </w:tcBorders>
            <w:shd w:val="clear" w:color="auto" w:fill="auto"/>
            <w:vAlign w:val="center"/>
          </w:tcPr>
          <w:p w14:paraId="2851E62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10.02 </w:t>
            </w:r>
          </w:p>
        </w:tc>
        <w:tc>
          <w:tcPr>
            <w:tcW w:w="1220" w:type="dxa"/>
            <w:tcBorders>
              <w:tl2br w:val="nil"/>
              <w:tr2bl w:val="nil"/>
            </w:tcBorders>
            <w:shd w:val="clear" w:color="auto" w:fill="auto"/>
            <w:vAlign w:val="center"/>
          </w:tcPr>
          <w:p w14:paraId="0F04172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0.00 </w:t>
            </w:r>
          </w:p>
        </w:tc>
      </w:tr>
      <w:tr w14:paraId="49672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4" w:type="pct"/>
            <w:vMerge w:val="continue"/>
            <w:tcBorders>
              <w:tl2br w:val="nil"/>
              <w:tr2bl w:val="nil"/>
            </w:tcBorders>
            <w:shd w:val="clear" w:color="auto" w:fill="auto"/>
            <w:vAlign w:val="center"/>
          </w:tcPr>
          <w:p w14:paraId="29D702E6">
            <w:pPr>
              <w:widowControl/>
              <w:spacing w:line="240" w:lineRule="auto"/>
              <w:ind w:firstLine="0" w:firstLineChars="0"/>
              <w:jc w:val="center"/>
              <w:textAlignment w:val="center"/>
              <w:rPr>
                <w:color w:val="auto"/>
                <w:sz w:val="21"/>
                <w:szCs w:val="21"/>
                <w:lang w:bidi="ar"/>
              </w:rPr>
            </w:pPr>
          </w:p>
        </w:tc>
        <w:tc>
          <w:tcPr>
            <w:tcW w:w="2301" w:type="pct"/>
            <w:gridSpan w:val="2"/>
            <w:tcBorders>
              <w:tl2br w:val="nil"/>
              <w:tr2bl w:val="nil"/>
            </w:tcBorders>
            <w:shd w:val="clear" w:color="auto" w:fill="auto"/>
            <w:vAlign w:val="center"/>
          </w:tcPr>
          <w:p w14:paraId="69E4BA1B">
            <w:pPr>
              <w:widowControl/>
              <w:spacing w:line="240" w:lineRule="auto"/>
              <w:ind w:firstLine="0" w:firstLineChars="0"/>
              <w:jc w:val="center"/>
              <w:textAlignment w:val="center"/>
              <w:rPr>
                <w:color w:val="auto"/>
                <w:sz w:val="21"/>
                <w:szCs w:val="21"/>
                <w:lang w:bidi="ar"/>
              </w:rPr>
            </w:pPr>
            <w:r>
              <w:rPr>
                <w:color w:val="auto"/>
                <w:sz w:val="21"/>
                <w:szCs w:val="21"/>
                <w:lang w:bidi="ar"/>
              </w:rPr>
              <w:t>小计</w:t>
            </w:r>
          </w:p>
        </w:tc>
        <w:tc>
          <w:tcPr>
            <w:tcW w:w="1183" w:type="dxa"/>
            <w:tcBorders>
              <w:tl2br w:val="nil"/>
              <w:tr2bl w:val="nil"/>
            </w:tcBorders>
            <w:shd w:val="clear" w:color="auto" w:fill="auto"/>
            <w:vAlign w:val="center"/>
          </w:tcPr>
          <w:p w14:paraId="6179D220">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1334.42 </w:t>
            </w:r>
          </w:p>
        </w:tc>
        <w:tc>
          <w:tcPr>
            <w:tcW w:w="1431" w:type="dxa"/>
            <w:tcBorders>
              <w:tl2br w:val="nil"/>
              <w:tr2bl w:val="nil"/>
            </w:tcBorders>
            <w:shd w:val="clear" w:color="auto" w:fill="auto"/>
            <w:vAlign w:val="center"/>
          </w:tcPr>
          <w:p w14:paraId="384B75DB">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551.13 </w:t>
            </w:r>
          </w:p>
        </w:tc>
        <w:tc>
          <w:tcPr>
            <w:tcW w:w="1220" w:type="dxa"/>
            <w:tcBorders>
              <w:tl2br w:val="nil"/>
              <w:tr2bl w:val="nil"/>
            </w:tcBorders>
            <w:shd w:val="clear" w:color="auto" w:fill="auto"/>
            <w:vAlign w:val="center"/>
          </w:tcPr>
          <w:p w14:paraId="3EDFF789">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783.29 </w:t>
            </w:r>
          </w:p>
        </w:tc>
      </w:tr>
      <w:tr w14:paraId="5724F0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895" w:type="pct"/>
            <w:gridSpan w:val="3"/>
            <w:tcBorders>
              <w:tl2br w:val="nil"/>
              <w:tr2bl w:val="nil"/>
            </w:tcBorders>
            <w:shd w:val="clear" w:color="auto" w:fill="auto"/>
            <w:noWrap/>
            <w:vAlign w:val="center"/>
          </w:tcPr>
          <w:p w14:paraId="0129E49F">
            <w:pPr>
              <w:widowControl/>
              <w:spacing w:line="240" w:lineRule="auto"/>
              <w:ind w:firstLine="0" w:firstLineChars="0"/>
              <w:jc w:val="center"/>
              <w:textAlignment w:val="center"/>
              <w:rPr>
                <w:color w:val="auto"/>
                <w:sz w:val="21"/>
                <w:szCs w:val="21"/>
                <w:lang w:bidi="ar"/>
              </w:rPr>
            </w:pPr>
            <w:r>
              <w:rPr>
                <w:color w:val="auto"/>
                <w:sz w:val="21"/>
                <w:szCs w:val="21"/>
                <w:lang w:bidi="ar"/>
              </w:rPr>
              <w:t>总计</w:t>
            </w:r>
          </w:p>
        </w:tc>
        <w:tc>
          <w:tcPr>
            <w:tcW w:w="1183" w:type="dxa"/>
            <w:tcBorders>
              <w:tl2br w:val="nil"/>
              <w:tr2bl w:val="nil"/>
            </w:tcBorders>
            <w:shd w:val="clear" w:color="auto" w:fill="auto"/>
            <w:vAlign w:val="center"/>
          </w:tcPr>
          <w:p w14:paraId="7C9BCB94">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3685.95 </w:t>
            </w:r>
          </w:p>
        </w:tc>
        <w:tc>
          <w:tcPr>
            <w:tcW w:w="1431" w:type="dxa"/>
            <w:tcBorders>
              <w:tl2br w:val="nil"/>
              <w:tr2bl w:val="nil"/>
            </w:tcBorders>
            <w:shd w:val="clear" w:color="auto" w:fill="auto"/>
            <w:vAlign w:val="center"/>
          </w:tcPr>
          <w:p w14:paraId="148600C5">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1574.55 </w:t>
            </w:r>
          </w:p>
        </w:tc>
        <w:tc>
          <w:tcPr>
            <w:tcW w:w="1220" w:type="dxa"/>
            <w:tcBorders>
              <w:tl2br w:val="nil"/>
              <w:tr2bl w:val="nil"/>
            </w:tcBorders>
            <w:shd w:val="clear" w:color="auto" w:fill="auto"/>
            <w:vAlign w:val="center"/>
          </w:tcPr>
          <w:p w14:paraId="35EABC5A">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2111.40 </w:t>
            </w:r>
          </w:p>
        </w:tc>
      </w:tr>
    </w:tbl>
    <w:p w14:paraId="7C8B17CF">
      <w:pPr>
        <w:ind w:firstLine="480"/>
        <w:rPr>
          <w:color w:val="auto"/>
        </w:rPr>
        <w:sectPr>
          <w:headerReference r:id="rId8" w:type="default"/>
          <w:footerReference r:id="rId9" w:type="default"/>
          <w:pgSz w:w="11905" w:h="16838"/>
          <w:pgMar w:top="1417" w:right="1417" w:bottom="1417" w:left="1587" w:header="850" w:footer="992" w:gutter="0"/>
          <w:cols w:space="0" w:num="1"/>
          <w:docGrid w:type="lines" w:linePitch="333" w:charSpace="0"/>
        </w:sectPr>
      </w:pPr>
    </w:p>
    <w:p w14:paraId="28B296FE">
      <w:pPr>
        <w:pStyle w:val="11"/>
        <w:spacing w:line="240" w:lineRule="auto"/>
        <w:ind w:firstLine="480"/>
        <w:rPr>
          <w:color w:val="auto"/>
        </w:rPr>
      </w:pPr>
      <w:r>
        <w:rPr>
          <w:color w:val="auto"/>
        </w:rPr>
        <w:drawing>
          <wp:inline distT="0" distB="0" distL="114300" distR="114300">
            <wp:extent cx="8888095" cy="3439795"/>
            <wp:effectExtent l="9525" t="9525" r="1778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8888095" cy="3439795"/>
                    </a:xfrm>
                    <a:prstGeom prst="rect">
                      <a:avLst/>
                    </a:prstGeom>
                    <a:noFill/>
                    <a:ln>
                      <a:solidFill>
                        <a:schemeClr val="tx1"/>
                      </a:solidFill>
                    </a:ln>
                  </pic:spPr>
                </pic:pic>
              </a:graphicData>
            </a:graphic>
          </wp:inline>
        </w:drawing>
      </w:r>
    </w:p>
    <w:p w14:paraId="3957A4C5">
      <w:pPr>
        <w:pStyle w:val="11"/>
        <w:spacing w:line="240" w:lineRule="auto"/>
        <w:ind w:firstLine="480"/>
        <w:rPr>
          <w:color w:val="auto"/>
        </w:rPr>
      </w:pPr>
    </w:p>
    <w:p w14:paraId="5546A732">
      <w:pPr>
        <w:spacing w:line="240" w:lineRule="auto"/>
        <w:ind w:firstLine="480"/>
        <w:jc w:val="center"/>
        <w:rPr>
          <w:color w:val="auto"/>
        </w:rPr>
      </w:pPr>
      <w:r>
        <w:rPr>
          <w:rFonts w:hint="eastAsia"/>
          <w:color w:val="auto"/>
        </w:rPr>
        <w:t>图4.3-1  九龙工业园区A区2025年取、供、用、耗、排平衡分析图</w:t>
      </w:r>
      <w:r>
        <w:rPr>
          <w:color w:val="auto"/>
        </w:rPr>
        <w:drawing>
          <wp:inline distT="0" distB="0" distL="114300" distR="114300">
            <wp:extent cx="8884920" cy="3523615"/>
            <wp:effectExtent l="9525" t="9525" r="2095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8884920" cy="3523615"/>
                    </a:xfrm>
                    <a:prstGeom prst="rect">
                      <a:avLst/>
                    </a:prstGeom>
                    <a:noFill/>
                    <a:ln>
                      <a:solidFill>
                        <a:schemeClr val="tx1"/>
                      </a:solidFill>
                    </a:ln>
                  </pic:spPr>
                </pic:pic>
              </a:graphicData>
            </a:graphic>
          </wp:inline>
        </w:drawing>
      </w:r>
    </w:p>
    <w:p w14:paraId="6754F957">
      <w:pPr>
        <w:pStyle w:val="11"/>
        <w:spacing w:line="240" w:lineRule="auto"/>
        <w:ind w:firstLine="0" w:firstLineChars="0"/>
        <w:jc w:val="center"/>
        <w:rPr>
          <w:color w:val="auto"/>
        </w:rPr>
      </w:pPr>
      <w:r>
        <w:rPr>
          <w:rFonts w:hint="eastAsia"/>
          <w:color w:val="auto"/>
        </w:rPr>
        <w:t>图4.3-2  九龙工业园区B区2025年取、供、用、耗、排平衡分析图</w:t>
      </w:r>
      <w:r>
        <w:rPr>
          <w:color w:val="auto"/>
        </w:rPr>
        <w:drawing>
          <wp:inline distT="0" distB="0" distL="114300" distR="114300">
            <wp:extent cx="8890000" cy="3281045"/>
            <wp:effectExtent l="9525" t="9525" r="15875"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8890000" cy="3281045"/>
                    </a:xfrm>
                    <a:prstGeom prst="rect">
                      <a:avLst/>
                    </a:prstGeom>
                    <a:noFill/>
                    <a:ln>
                      <a:solidFill>
                        <a:schemeClr val="tx1"/>
                      </a:solidFill>
                    </a:ln>
                  </pic:spPr>
                </pic:pic>
              </a:graphicData>
            </a:graphic>
          </wp:inline>
        </w:drawing>
      </w:r>
    </w:p>
    <w:p w14:paraId="1E3CE95C">
      <w:pPr>
        <w:pStyle w:val="11"/>
        <w:spacing w:line="240" w:lineRule="auto"/>
        <w:ind w:firstLine="0" w:firstLineChars="0"/>
        <w:jc w:val="center"/>
        <w:rPr>
          <w:color w:val="auto"/>
        </w:rPr>
        <w:sectPr>
          <w:pgSz w:w="16838" w:h="11905" w:orient="landscape"/>
          <w:pgMar w:top="1587" w:right="1417" w:bottom="1417" w:left="1417" w:header="850" w:footer="992" w:gutter="0"/>
          <w:cols w:space="0" w:num="1"/>
          <w:docGrid w:type="lines" w:linePitch="333" w:charSpace="0"/>
        </w:sectPr>
      </w:pPr>
      <w:r>
        <w:rPr>
          <w:rFonts w:hint="eastAsia"/>
          <w:color w:val="auto"/>
        </w:rPr>
        <w:t>图4.3-3  九龙工业园区C区2025年取、供、用、耗、排平衡分析图</w:t>
      </w:r>
    </w:p>
    <w:p w14:paraId="49F9ABA4">
      <w:pPr>
        <w:pStyle w:val="4"/>
        <w:numPr>
          <w:ilvl w:val="1"/>
          <w:numId w:val="0"/>
        </w:numPr>
        <w:spacing w:before="166" w:after="166"/>
        <w:rPr>
          <w:color w:val="auto"/>
        </w:rPr>
      </w:pPr>
      <w:bookmarkStart w:id="46" w:name="_Toc2576"/>
      <w:r>
        <w:rPr>
          <w:color w:val="auto"/>
        </w:rPr>
        <w:t>4.4需水总量合理性分析</w:t>
      </w:r>
      <w:bookmarkEnd w:id="46"/>
    </w:p>
    <w:p w14:paraId="2CB9536D">
      <w:pPr>
        <w:pStyle w:val="5"/>
        <w:numPr>
          <w:ilvl w:val="0"/>
          <w:numId w:val="0"/>
        </w:numPr>
        <w:spacing w:before="166" w:after="166"/>
        <w:rPr>
          <w:color w:val="auto"/>
        </w:rPr>
      </w:pPr>
      <w:r>
        <w:rPr>
          <w:color w:val="auto"/>
        </w:rPr>
        <w:t>4.4.1与控规需水合理性分析</w:t>
      </w:r>
    </w:p>
    <w:p w14:paraId="50FFFD70">
      <w:pPr>
        <w:ind w:firstLine="480"/>
        <w:rPr>
          <w:color w:val="auto"/>
        </w:rPr>
      </w:pPr>
      <w:r>
        <w:rPr>
          <w:color w:val="auto"/>
        </w:rPr>
        <w:t>根据《重庆市九龙园区控制性详细规划</w:t>
      </w:r>
      <w:r>
        <w:rPr>
          <w:rFonts w:hint="eastAsia"/>
          <w:color w:val="auto"/>
        </w:rPr>
        <w:t>（</w:t>
      </w:r>
      <w:r>
        <w:rPr>
          <w:color w:val="auto"/>
        </w:rPr>
        <w:t>调整</w:t>
      </w:r>
      <w:r>
        <w:rPr>
          <w:rFonts w:hint="eastAsia"/>
          <w:color w:val="auto"/>
        </w:rPr>
        <w:t>）</w:t>
      </w:r>
      <w:r>
        <w:rPr>
          <w:color w:val="auto"/>
        </w:rPr>
        <w:t xml:space="preserve"> 说明书》，九龙工业园区A区2020年最高日用水量4.0万m</w:t>
      </w:r>
      <w:r>
        <w:rPr>
          <w:color w:val="auto"/>
          <w:vertAlign w:val="superscript"/>
        </w:rPr>
        <w:t>3</w:t>
      </w:r>
      <w:r>
        <w:rPr>
          <w:color w:val="auto"/>
        </w:rPr>
        <w:t>/d，本次测算的2025年用水量为1.91m</w:t>
      </w:r>
      <w:r>
        <w:rPr>
          <w:color w:val="auto"/>
          <w:vertAlign w:val="superscript"/>
        </w:rPr>
        <w:t>3</w:t>
      </w:r>
      <w:r>
        <w:rPr>
          <w:color w:val="auto"/>
        </w:rPr>
        <w:t>/d，小于控规成果，主要原因A区进行过用地规划调整，工业用地面积与控规中相差约118公顷。同时</w:t>
      </w:r>
    </w:p>
    <w:p w14:paraId="0612DC58">
      <w:pPr>
        <w:ind w:firstLine="0" w:firstLineChars="0"/>
        <w:rPr>
          <w:color w:val="auto"/>
        </w:rPr>
      </w:pPr>
      <w:r>
        <w:rPr>
          <w:color w:val="auto"/>
        </w:rPr>
        <w:t>本次计算是在综合考虑节水的前提下得出的。</w:t>
      </w:r>
    </w:p>
    <w:p w14:paraId="7D37724D">
      <w:pPr>
        <w:ind w:firstLine="480"/>
        <w:rPr>
          <w:color w:val="auto"/>
        </w:rPr>
      </w:pPr>
      <w:r>
        <w:rPr>
          <w:color w:val="auto"/>
          <w:szCs w:val="28"/>
        </w:rPr>
        <w:t>九龙工业园区B区由中梁山组团D标</w:t>
      </w:r>
      <w:r>
        <w:rPr>
          <w:color w:val="auto"/>
        </w:rPr>
        <w:t>准分区10个等控制性详细规划中一部分组成，并且控规总的面积为3061.64公顷，实际上B区的面积为897.92公顷，因此无法核算B区控规中的用水量。</w:t>
      </w:r>
    </w:p>
    <w:p w14:paraId="00494AC3">
      <w:pPr>
        <w:ind w:firstLine="480"/>
        <w:rPr>
          <w:color w:val="auto"/>
          <w:kern w:val="0"/>
        </w:rPr>
      </w:pPr>
      <w:r>
        <w:rPr>
          <w:color w:val="auto"/>
        </w:rPr>
        <w:t>根据《重庆市主城区西彭组团O标准分区</w:t>
      </w:r>
      <w:r>
        <w:rPr>
          <w:rFonts w:hint="eastAsia"/>
          <w:color w:val="auto"/>
        </w:rPr>
        <w:t>（</w:t>
      </w:r>
      <w:r>
        <w:rPr>
          <w:color w:val="auto"/>
        </w:rPr>
        <w:t>部分</w:t>
      </w:r>
      <w:r>
        <w:rPr>
          <w:rFonts w:hint="eastAsia"/>
          <w:color w:val="auto"/>
        </w:rPr>
        <w:t>）</w:t>
      </w:r>
      <w:r>
        <w:rPr>
          <w:color w:val="auto"/>
        </w:rPr>
        <w:t>控制性详细规划》、《重庆市主城区西彭组团L标准分区控制性详细规划》，九龙工业园区C区2020年最高日用水量6.64万m</w:t>
      </w:r>
      <w:r>
        <w:rPr>
          <w:color w:val="auto"/>
          <w:vertAlign w:val="superscript"/>
        </w:rPr>
        <w:t>3</w:t>
      </w:r>
      <w:r>
        <w:rPr>
          <w:color w:val="auto"/>
        </w:rPr>
        <w:t>/d，本次测算的2025年用水量为4.39m</w:t>
      </w:r>
      <w:r>
        <w:rPr>
          <w:color w:val="auto"/>
          <w:vertAlign w:val="superscript"/>
        </w:rPr>
        <w:t>3</w:t>
      </w:r>
      <w:r>
        <w:rPr>
          <w:color w:val="auto"/>
        </w:rPr>
        <w:t>/d，小于控规成果。主要原因本次计算是在综合考虑节水的前提下得出的，控规中生活用水定额取值为250</w:t>
      </w:r>
      <w:r>
        <w:rPr>
          <w:color w:val="auto"/>
          <w:szCs w:val="24"/>
        </w:rPr>
        <w:t>L/人·日，远高于实际的生活用水定额；同时控规总体面积为1091.35公顷，本次评价范围为797.10公顷</w:t>
      </w:r>
      <w:r>
        <w:rPr>
          <w:color w:val="auto"/>
        </w:rPr>
        <w:t>。</w:t>
      </w:r>
    </w:p>
    <w:p w14:paraId="39934E03">
      <w:pPr>
        <w:pStyle w:val="5"/>
        <w:numPr>
          <w:ilvl w:val="0"/>
          <w:numId w:val="0"/>
        </w:numPr>
        <w:spacing w:before="166" w:after="166"/>
        <w:rPr>
          <w:color w:val="auto"/>
        </w:rPr>
      </w:pPr>
      <w:r>
        <w:rPr>
          <w:color w:val="auto"/>
        </w:rPr>
        <w:t>4.4.2需水指标合理性分析</w:t>
      </w:r>
    </w:p>
    <w:p w14:paraId="60588D01">
      <w:pPr>
        <w:ind w:firstLine="480"/>
        <w:rPr>
          <w:color w:val="auto"/>
        </w:rPr>
      </w:pPr>
      <w:r>
        <w:rPr>
          <w:color w:val="auto"/>
        </w:rPr>
        <w:t>（1）用水定额合理性分析</w:t>
      </w:r>
    </w:p>
    <w:p w14:paraId="051EE592">
      <w:pPr>
        <w:ind w:firstLine="480"/>
        <w:rPr>
          <w:color w:val="auto"/>
        </w:rPr>
      </w:pPr>
      <w:r>
        <w:rPr>
          <w:color w:val="auto"/>
        </w:rPr>
        <w:t>现状万元工业增加值用水定额为20m³/万元，规划年随着用水效率进一步提高，万元工业增加值用水定额为19m³/万元，较现状年降低5%，满足节水型社会建设要求。</w:t>
      </w:r>
    </w:p>
    <w:p w14:paraId="70807EE0">
      <w:pPr>
        <w:ind w:firstLine="480"/>
        <w:rPr>
          <w:color w:val="auto"/>
        </w:rPr>
      </w:pPr>
      <w:r>
        <w:rPr>
          <w:color w:val="auto"/>
        </w:rPr>
        <w:t>《室外给水设计规范》GB50213-2018的4.0.6条，规定“浇洒道路用水可按浇洒面积乘以2.0～3.0L/㎡.d计算；浇洒绿地用水可按浇洒面积乘以1.0～3.0L/㎡.d计算。”本规划从节约用水角度考虑道路及绿地浇洒定额限定用下限值2.0L/㎡.d，浇洒绿地用水限定用下限值1.0L/㎡.d，因此生态用水定额是合理的。</w:t>
      </w:r>
    </w:p>
    <w:p w14:paraId="6243BFBC">
      <w:pPr>
        <w:ind w:firstLine="480"/>
        <w:rPr>
          <w:color w:val="auto"/>
        </w:rPr>
      </w:pPr>
      <w:r>
        <w:rPr>
          <w:color w:val="auto"/>
        </w:rPr>
        <w:t>根据《重庆市水利局 重庆市城市管理委员会关于印发重庆市城市生活用水定额</w:t>
      </w:r>
      <w:r>
        <w:rPr>
          <w:rFonts w:hint="eastAsia"/>
          <w:color w:val="auto"/>
        </w:rPr>
        <w:t>（</w:t>
      </w:r>
      <w:r>
        <w:rPr>
          <w:color w:val="auto"/>
        </w:rPr>
        <w:t xml:space="preserve"> 2017年修订版</w:t>
      </w:r>
      <w:r>
        <w:rPr>
          <w:rFonts w:hint="eastAsia"/>
          <w:color w:val="auto"/>
        </w:rPr>
        <w:t>）</w:t>
      </w:r>
      <w:r>
        <w:rPr>
          <w:color w:val="auto"/>
        </w:rPr>
        <w:t>的通知》（渝水[2018]66号），城市居民成套住房用水定额为 150L/</w:t>
      </w:r>
    </w:p>
    <w:p w14:paraId="184791CF">
      <w:pPr>
        <w:ind w:firstLine="0" w:firstLineChars="0"/>
        <w:rPr>
          <w:color w:val="auto"/>
        </w:rPr>
      </w:pPr>
      <w:r>
        <w:rPr>
          <w:color w:val="auto"/>
        </w:rPr>
        <w:t>（人.d</w:t>
      </w:r>
      <w:r>
        <w:rPr>
          <w:rFonts w:hint="eastAsia"/>
          <w:color w:val="auto"/>
        </w:rPr>
        <w:t>）</w:t>
      </w:r>
      <w:r>
        <w:rPr>
          <w:color w:val="auto"/>
        </w:rPr>
        <w:t>，本次居民生活用水定额取值 150L/（人.d</w:t>
      </w:r>
      <w:r>
        <w:rPr>
          <w:rFonts w:hint="eastAsia"/>
          <w:color w:val="auto"/>
        </w:rPr>
        <w:t>）</w:t>
      </w:r>
      <w:r>
        <w:rPr>
          <w:color w:val="auto"/>
        </w:rPr>
        <w:t>，满足用水定额要求。</w:t>
      </w:r>
    </w:p>
    <w:p w14:paraId="2F66384E">
      <w:pPr>
        <w:ind w:firstLine="480"/>
        <w:rPr>
          <w:color w:val="auto"/>
        </w:rPr>
      </w:pPr>
      <w:r>
        <w:rPr>
          <w:color w:val="auto"/>
        </w:rPr>
        <w:t>（2）经济指标合理性分析</w:t>
      </w:r>
    </w:p>
    <w:p w14:paraId="3946D3EE">
      <w:pPr>
        <w:adjustRightInd w:val="0"/>
        <w:ind w:firstLine="480"/>
        <w:rPr>
          <w:color w:val="auto"/>
        </w:rPr>
      </w:pPr>
      <w:r>
        <w:rPr>
          <w:color w:val="auto"/>
        </w:rPr>
        <w:t>现状年园区工业增加值为67.8亿元，其中A、B、C区的区工业增加值分别为3.82亿元、37.91亿元、26.07亿元。预计2025年A、B、C区工业增加值分别为5.21亿元、51.65亿元、35.52亿元。工业增加值增长率为6%，</w:t>
      </w:r>
      <w:r>
        <w:rPr>
          <w:color w:val="auto"/>
          <w:kern w:val="0"/>
        </w:rPr>
        <w:t>经济指标逐年增加，符合区域经济发展趋势。</w:t>
      </w:r>
    </w:p>
    <w:p w14:paraId="726D11E0">
      <w:pPr>
        <w:ind w:firstLine="480"/>
        <w:rPr>
          <w:color w:val="auto"/>
        </w:rPr>
      </w:pPr>
      <w:r>
        <w:rPr>
          <w:color w:val="auto"/>
        </w:rPr>
        <w:t>（3）单位用地综合用水量指标分析</w:t>
      </w:r>
    </w:p>
    <w:p w14:paraId="3DAD318D">
      <w:pPr>
        <w:ind w:firstLine="480"/>
        <w:rPr>
          <w:color w:val="auto"/>
        </w:rPr>
      </w:pPr>
      <w:r>
        <w:rPr>
          <w:color w:val="auto"/>
        </w:rPr>
        <w:t>根据《城市给水工程规划规范》（GB50282-2016），工业用地最高用水量指标为0.30～1.50万m</w:t>
      </w:r>
      <w:r>
        <w:rPr>
          <w:color w:val="auto"/>
          <w:vertAlign w:val="superscript"/>
        </w:rPr>
        <w:t>3</w:t>
      </w:r>
      <w:r>
        <w:rPr>
          <w:color w:val="auto"/>
        </w:rPr>
        <w:t>/ km</w:t>
      </w:r>
      <w:r>
        <w:rPr>
          <w:color w:val="auto"/>
          <w:vertAlign w:val="superscript"/>
        </w:rPr>
        <w:t>2</w:t>
      </w:r>
      <w:r>
        <w:rPr>
          <w:color w:val="auto"/>
        </w:rPr>
        <w:t>.d，日变化系数取 1.2，则工业用地平均日用水量指标为0.25～1.25万m</w:t>
      </w:r>
      <w:r>
        <w:rPr>
          <w:color w:val="auto"/>
          <w:vertAlign w:val="superscript"/>
        </w:rPr>
        <w:t>3</w:t>
      </w:r>
      <w:r>
        <w:rPr>
          <w:color w:val="auto"/>
        </w:rPr>
        <w:t>/ km</w:t>
      </w:r>
      <w:r>
        <w:rPr>
          <w:color w:val="auto"/>
          <w:vertAlign w:val="superscript"/>
        </w:rPr>
        <w:t>2</w:t>
      </w:r>
      <w:r>
        <w:rPr>
          <w:color w:val="auto"/>
        </w:rPr>
        <w:t>.d。本次规划区主要以工业用地为主，用水定额为0.43万m</w:t>
      </w:r>
      <w:r>
        <w:rPr>
          <w:color w:val="auto"/>
          <w:vertAlign w:val="superscript"/>
        </w:rPr>
        <w:t>3</w:t>
      </w:r>
      <w:r>
        <w:rPr>
          <w:color w:val="auto"/>
        </w:rPr>
        <w:t>/ km</w:t>
      </w:r>
      <w:r>
        <w:rPr>
          <w:color w:val="auto"/>
          <w:vertAlign w:val="superscript"/>
        </w:rPr>
        <w:t>2</w:t>
      </w:r>
      <w:r>
        <w:rPr>
          <w:color w:val="auto"/>
        </w:rPr>
        <w:t>.d。</w:t>
      </w:r>
    </w:p>
    <w:p w14:paraId="5CDCA18B">
      <w:pPr>
        <w:ind w:firstLine="480"/>
        <w:rPr>
          <w:color w:val="auto"/>
        </w:rPr>
      </w:pPr>
      <w:r>
        <w:rPr>
          <w:color w:val="auto"/>
        </w:rPr>
        <w:t>考虑国家的宏观节水政策，建设节水型社会等因素，从高效节水考虑，本次综合取值0.43万m</w:t>
      </w:r>
      <w:r>
        <w:rPr>
          <w:color w:val="auto"/>
          <w:vertAlign w:val="superscript"/>
        </w:rPr>
        <w:t>3</w:t>
      </w:r>
      <w:r>
        <w:rPr>
          <w:color w:val="auto"/>
        </w:rPr>
        <w:t>/ km</w:t>
      </w:r>
      <w:r>
        <w:rPr>
          <w:color w:val="auto"/>
          <w:vertAlign w:val="superscript"/>
        </w:rPr>
        <w:t>2</w:t>
      </w:r>
      <w:r>
        <w:rPr>
          <w:color w:val="auto"/>
        </w:rPr>
        <w:t>.d，满足规范要求。</w:t>
      </w:r>
    </w:p>
    <w:p w14:paraId="57F3A548">
      <w:pPr>
        <w:pStyle w:val="4"/>
        <w:numPr>
          <w:ilvl w:val="1"/>
          <w:numId w:val="0"/>
        </w:numPr>
        <w:spacing w:before="166" w:after="166"/>
        <w:rPr>
          <w:color w:val="auto"/>
        </w:rPr>
      </w:pPr>
      <w:bookmarkStart w:id="47" w:name="_Toc18984"/>
      <w:r>
        <w:rPr>
          <w:color w:val="auto"/>
        </w:rPr>
        <w:t>4.5区域用水总量、用水效率控制目标确定</w:t>
      </w:r>
      <w:bookmarkEnd w:id="47"/>
    </w:p>
    <w:p w14:paraId="7E0677F6">
      <w:pPr>
        <w:ind w:firstLine="480"/>
        <w:rPr>
          <w:color w:val="auto"/>
        </w:rPr>
      </w:pPr>
      <w:bookmarkStart w:id="48" w:name="_Toc17681"/>
      <w:bookmarkStart w:id="49" w:name="_Toc14196"/>
      <w:r>
        <w:rPr>
          <w:color w:val="auto"/>
        </w:rPr>
        <w:t>（1）用水总量控制指标</w:t>
      </w:r>
      <w:bookmarkEnd w:id="48"/>
    </w:p>
    <w:p w14:paraId="49CFF3BA">
      <w:pPr>
        <w:ind w:firstLine="480"/>
        <w:rPr>
          <w:color w:val="auto"/>
        </w:rPr>
      </w:pPr>
      <w:r>
        <w:rPr>
          <w:color w:val="auto"/>
        </w:rPr>
        <w:t>根据《重庆市人民政府关于实行最严格水资源管理制度的实施意见》（渝府发〔2012〕63 号）、《重庆市人民政府办公厅关于印发重庆市实行最严格水资源管理制度考核办法的通知》（渝府办发〔2013〕95 号）、《重庆市人民政府办公厅关于印发 2016-2020 年度水资源管理“三条红线”控制指标的通知》（渝府办发〔2016〕152 号），</w:t>
      </w:r>
      <w:r>
        <w:rPr>
          <w:color w:val="auto"/>
          <w:lang w:val="zh-CN"/>
        </w:rPr>
        <w:t>九龙坡区</w:t>
      </w:r>
      <w:r>
        <w:rPr>
          <w:color w:val="auto"/>
        </w:rPr>
        <w:t>2020年用水总量控制指标为24800万m³，2030年用水总量控制指标为30109万m³，内插值得2025年用水总量控制指标为27650万m³。</w:t>
      </w:r>
    </w:p>
    <w:p w14:paraId="68A00A48">
      <w:pPr>
        <w:ind w:firstLine="480"/>
        <w:rPr>
          <w:color w:val="auto"/>
        </w:rPr>
      </w:pPr>
      <w:r>
        <w:rPr>
          <w:color w:val="auto"/>
        </w:rPr>
        <w:t>根据《重庆市九龙坡区“十四五”节约用水规划》，2025年末，九龙坡区用水总量为27586万m</w:t>
      </w:r>
      <w:r>
        <w:rPr>
          <w:color w:val="auto"/>
          <w:vertAlign w:val="superscript"/>
        </w:rPr>
        <w:t>3</w:t>
      </w:r>
      <w:r>
        <w:rPr>
          <w:color w:val="auto"/>
        </w:rPr>
        <w:t>，未超过九龙坡区2025年三条红线用水总量指标27650万m³。</w:t>
      </w:r>
    </w:p>
    <w:p w14:paraId="49CC5CBF">
      <w:pPr>
        <w:ind w:firstLine="480"/>
        <w:rPr>
          <w:color w:val="auto"/>
        </w:rPr>
      </w:pPr>
      <w:r>
        <w:rPr>
          <w:color w:val="auto"/>
        </w:rPr>
        <w:t>九龙工业园区规划年新鲜取水量为3685.95万m</w:t>
      </w:r>
      <w:r>
        <w:rPr>
          <w:color w:val="auto"/>
          <w:vertAlign w:val="superscript"/>
        </w:rPr>
        <w:t>3</w:t>
      </w:r>
      <w:r>
        <w:rPr>
          <w:color w:val="auto"/>
        </w:rPr>
        <w:t>，较2020年增加了1031.04万m</w:t>
      </w:r>
      <w:r>
        <w:rPr>
          <w:color w:val="auto"/>
          <w:vertAlign w:val="superscript"/>
        </w:rPr>
        <w:t>3</w:t>
      </w:r>
      <w:r>
        <w:rPr>
          <w:color w:val="auto"/>
        </w:rPr>
        <w:t>，</w:t>
      </w:r>
      <w:r>
        <w:rPr>
          <w:color w:val="auto"/>
          <w:szCs w:val="24"/>
        </w:rPr>
        <w:t>九龙坡区</w:t>
      </w:r>
      <w:r>
        <w:rPr>
          <w:color w:val="auto"/>
        </w:rPr>
        <w:t>2020年至2025年区间用水总量空间为2850万 m³，满足园区新增用水总量要求。并且园区用水量已纳入九龙坡区总体需水预测中计算，因此项目取水符合三条红线用水总量指标要求。</w:t>
      </w:r>
    </w:p>
    <w:p w14:paraId="20B4A7CE">
      <w:pPr>
        <w:ind w:firstLine="480"/>
        <w:rPr>
          <w:color w:val="auto"/>
        </w:rPr>
      </w:pPr>
      <w:r>
        <w:rPr>
          <w:color w:val="auto"/>
        </w:rPr>
        <w:t>根据《重庆市九龙坡区主要江河流域水量分配方案》，水资源五级分区大溪河流域片区2025年分配水量4028万m</w:t>
      </w:r>
      <w:r>
        <w:rPr>
          <w:color w:val="auto"/>
          <w:vertAlign w:val="superscript"/>
        </w:rPr>
        <w:t>3</w:t>
      </w:r>
      <w:r>
        <w:rPr>
          <w:color w:val="auto"/>
        </w:rPr>
        <w:t>，跳蹬河流域片区2025年分配水量17706万m</w:t>
      </w:r>
      <w:r>
        <w:rPr>
          <w:color w:val="auto"/>
          <w:vertAlign w:val="superscript"/>
        </w:rPr>
        <w:t>3</w:t>
      </w:r>
      <w:r>
        <w:rPr>
          <w:color w:val="auto"/>
        </w:rPr>
        <w:t>。</w:t>
      </w:r>
    </w:p>
    <w:p w14:paraId="450DA7D7">
      <w:pPr>
        <w:ind w:firstLine="480"/>
        <w:rPr>
          <w:color w:val="auto"/>
        </w:rPr>
      </w:pPr>
      <w:r>
        <w:rPr>
          <w:color w:val="auto"/>
        </w:rPr>
        <w:t>根据九龙坡区水资源分区情况表，九龙工业园区C区位于陶家镇，属于大溪河流域片区，又九龙工业园区C区2025年用水量为1334.42万m</w:t>
      </w:r>
      <w:r>
        <w:rPr>
          <w:color w:val="auto"/>
          <w:vertAlign w:val="superscript"/>
        </w:rPr>
        <w:t>3</w:t>
      </w:r>
      <w:r>
        <w:rPr>
          <w:color w:val="auto"/>
        </w:rPr>
        <w:t>，占比33.13%，满足分区水量指标；九龙工业园区A、B区位于九龙街道、华岩镇、中梁山街道，属于跳蹬河流域片区，又九龙工业园区A、B区2025年用水量为2351.54万m</w:t>
      </w:r>
      <w:r>
        <w:rPr>
          <w:color w:val="auto"/>
          <w:vertAlign w:val="superscript"/>
        </w:rPr>
        <w:t>3</w:t>
      </w:r>
      <w:r>
        <w:rPr>
          <w:color w:val="auto"/>
        </w:rPr>
        <w:t>，占比13.28%，满足分区水量指标</w:t>
      </w:r>
      <w:r>
        <w:rPr>
          <w:rFonts w:hint="eastAsia"/>
          <w:color w:val="auto"/>
        </w:rPr>
        <w:t>。</w:t>
      </w:r>
    </w:p>
    <w:p w14:paraId="2598E42D">
      <w:pPr>
        <w:ind w:firstLine="480"/>
        <w:rPr>
          <w:color w:val="auto"/>
        </w:rPr>
      </w:pPr>
      <w:bookmarkStart w:id="50" w:name="_Toc14336"/>
      <w:r>
        <w:rPr>
          <w:color w:val="auto"/>
        </w:rPr>
        <w:t>（2）工业用水效率控制指标</w:t>
      </w:r>
      <w:bookmarkEnd w:id="50"/>
    </w:p>
    <w:p w14:paraId="17D70E51">
      <w:pPr>
        <w:ind w:firstLine="480"/>
        <w:rPr>
          <w:color w:val="auto"/>
        </w:rPr>
      </w:pPr>
      <w:r>
        <w:rPr>
          <w:color w:val="auto"/>
        </w:rPr>
        <w:t>根据《重庆市九龙坡区“十四五”节约用水规划》，九龙坡区万元GDP用水量较2020年下降5%，其中万元工业增加值用水量较2020年下降5%。</w:t>
      </w:r>
    </w:p>
    <w:p w14:paraId="57DB6F20">
      <w:pPr>
        <w:ind w:firstLine="480"/>
        <w:rPr>
          <w:color w:val="auto"/>
        </w:rPr>
      </w:pPr>
      <w:r>
        <w:rPr>
          <w:color w:val="auto"/>
        </w:rPr>
        <w:t>根据前述分析可知，九龙工业园区现状万元工业增加值用水定额为20m³/万元，规划年随着用水效率进一步提高，万元工业增加值用水定额为19m³/万元，较现状年降低5%，与《重庆市九龙坡区“十四五”节约用水规划》一致，满足节水型社会建设要求。</w:t>
      </w:r>
    </w:p>
    <w:p w14:paraId="3DE053FD">
      <w:pPr>
        <w:ind w:firstLine="480"/>
        <w:rPr>
          <w:color w:val="auto"/>
        </w:rPr>
      </w:pPr>
      <w:bookmarkStart w:id="51" w:name="_Toc15898"/>
      <w:r>
        <w:rPr>
          <w:color w:val="auto"/>
        </w:rPr>
        <w:t>（3）其他用水效率</w:t>
      </w:r>
      <w:bookmarkEnd w:id="51"/>
    </w:p>
    <w:p w14:paraId="4B9D36FF">
      <w:pPr>
        <w:ind w:firstLine="480"/>
        <w:rPr>
          <w:color w:val="auto"/>
          <w:szCs w:val="24"/>
        </w:rPr>
      </w:pPr>
      <w:r>
        <w:rPr>
          <w:color w:val="auto"/>
          <w:szCs w:val="24"/>
        </w:rPr>
        <w:t>根据园区用水需求分析并参考</w:t>
      </w:r>
      <w:r>
        <w:rPr>
          <w:color w:val="auto"/>
        </w:rPr>
        <w:t>《重庆市九龙坡区“十四五”节约用水规划》</w:t>
      </w:r>
      <w:r>
        <w:rPr>
          <w:color w:val="auto"/>
          <w:szCs w:val="24"/>
        </w:rPr>
        <w:t>，2025年园区主要用水控制指标有：</w:t>
      </w:r>
    </w:p>
    <w:p w14:paraId="3BFF266F">
      <w:pPr>
        <w:adjustRightInd w:val="0"/>
        <w:snapToGrid w:val="0"/>
        <w:ind w:firstLine="720" w:firstLineChars="300"/>
        <w:rPr>
          <w:color w:val="auto"/>
          <w:szCs w:val="24"/>
        </w:rPr>
      </w:pPr>
      <w:r>
        <w:rPr>
          <w:color w:val="auto"/>
          <w:szCs w:val="24"/>
        </w:rPr>
        <w:t>1）用水总量控制指标为</w:t>
      </w:r>
      <w:bookmarkStart w:id="52" w:name="OLE_LINK3"/>
      <w:r>
        <w:rPr>
          <w:color w:val="auto"/>
          <w:szCs w:val="24"/>
        </w:rPr>
        <w:t>3685.95万m³</w:t>
      </w:r>
      <w:bookmarkEnd w:id="52"/>
      <w:r>
        <w:rPr>
          <w:color w:val="auto"/>
          <w:szCs w:val="24"/>
        </w:rPr>
        <w:t>。</w:t>
      </w:r>
    </w:p>
    <w:p w14:paraId="38EEE275">
      <w:pPr>
        <w:ind w:firstLine="720" w:firstLineChars="300"/>
        <w:rPr>
          <w:color w:val="auto"/>
          <w:szCs w:val="24"/>
        </w:rPr>
      </w:pPr>
      <w:r>
        <w:rPr>
          <w:color w:val="auto"/>
          <w:szCs w:val="24"/>
        </w:rPr>
        <w:t>2）居民人均生活用水量为150L/人·d；</w:t>
      </w:r>
    </w:p>
    <w:p w14:paraId="32A2DFDE">
      <w:pPr>
        <w:ind w:firstLine="720" w:firstLineChars="300"/>
        <w:rPr>
          <w:color w:val="auto"/>
          <w:szCs w:val="24"/>
        </w:rPr>
      </w:pPr>
      <w:r>
        <w:rPr>
          <w:color w:val="auto"/>
          <w:szCs w:val="24"/>
        </w:rPr>
        <w:t>3）万元工业增加值用水定额为19m³/万元；</w:t>
      </w:r>
    </w:p>
    <w:p w14:paraId="716F0A22">
      <w:pPr>
        <w:ind w:firstLine="720" w:firstLineChars="300"/>
        <w:rPr>
          <w:color w:val="auto"/>
          <w:szCs w:val="24"/>
        </w:rPr>
      </w:pPr>
      <w:r>
        <w:rPr>
          <w:color w:val="auto"/>
          <w:szCs w:val="24"/>
        </w:rPr>
        <w:t>4）公共供水管网漏损率为9%；</w:t>
      </w:r>
    </w:p>
    <w:p w14:paraId="35B7059A">
      <w:pPr>
        <w:ind w:firstLine="720" w:firstLineChars="300"/>
        <w:rPr>
          <w:color w:val="auto"/>
        </w:rPr>
      </w:pPr>
      <w:r>
        <w:rPr>
          <w:color w:val="auto"/>
          <w:szCs w:val="24"/>
        </w:rPr>
        <w:t>5）道路、绿地浇洒用水量为2.0L/m</w:t>
      </w:r>
      <w:r>
        <w:rPr>
          <w:color w:val="auto"/>
          <w:szCs w:val="24"/>
          <w:vertAlign w:val="superscript"/>
        </w:rPr>
        <w:t>2</w:t>
      </w:r>
      <w:r>
        <w:rPr>
          <w:color w:val="auto"/>
          <w:szCs w:val="24"/>
        </w:rPr>
        <w:t>.d、1.0L/m</w:t>
      </w:r>
      <w:r>
        <w:rPr>
          <w:color w:val="auto"/>
          <w:szCs w:val="24"/>
          <w:vertAlign w:val="superscript"/>
        </w:rPr>
        <w:t>2</w:t>
      </w:r>
      <w:r>
        <w:rPr>
          <w:color w:val="auto"/>
          <w:szCs w:val="24"/>
        </w:rPr>
        <w:t>.d；</w:t>
      </w:r>
    </w:p>
    <w:p w14:paraId="4B7D6107">
      <w:pPr>
        <w:ind w:firstLine="480"/>
        <w:rPr>
          <w:color w:val="auto"/>
        </w:rPr>
      </w:pPr>
      <w:r>
        <w:rPr>
          <w:color w:val="auto"/>
        </w:rPr>
        <w:br w:type="page"/>
      </w:r>
    </w:p>
    <w:p w14:paraId="787B866C">
      <w:pPr>
        <w:pStyle w:val="3"/>
        <w:numPr>
          <w:ilvl w:val="0"/>
          <w:numId w:val="0"/>
        </w:numPr>
        <w:spacing w:before="333" w:after="333"/>
        <w:rPr>
          <w:color w:val="auto"/>
        </w:rPr>
      </w:pPr>
      <w:bookmarkStart w:id="53" w:name="_Toc2142"/>
      <w:bookmarkStart w:id="54" w:name="_Toc25065"/>
      <w:r>
        <w:rPr>
          <w:color w:val="auto"/>
        </w:rPr>
        <w:t>5区域节水评价</w:t>
      </w:r>
      <w:bookmarkEnd w:id="53"/>
      <w:bookmarkEnd w:id="54"/>
    </w:p>
    <w:p w14:paraId="739DDE93">
      <w:pPr>
        <w:pStyle w:val="4"/>
        <w:numPr>
          <w:ilvl w:val="1"/>
          <w:numId w:val="0"/>
        </w:numPr>
        <w:spacing w:before="166" w:after="166"/>
        <w:rPr>
          <w:color w:val="auto"/>
        </w:rPr>
      </w:pPr>
      <w:bookmarkStart w:id="55" w:name="_Toc4924"/>
      <w:r>
        <w:rPr>
          <w:color w:val="auto"/>
        </w:rPr>
        <w:t>5.1现状节水水平评价与节水潜力分析</w:t>
      </w:r>
      <w:bookmarkEnd w:id="55"/>
    </w:p>
    <w:p w14:paraId="4F8BF61A">
      <w:pPr>
        <w:pStyle w:val="5"/>
        <w:numPr>
          <w:ilvl w:val="0"/>
          <w:numId w:val="0"/>
        </w:numPr>
        <w:spacing w:before="166" w:after="166"/>
        <w:rPr>
          <w:color w:val="auto"/>
        </w:rPr>
      </w:pPr>
      <w:r>
        <w:rPr>
          <w:color w:val="auto"/>
        </w:rPr>
        <w:t>5.1.1节水评价范围</w:t>
      </w:r>
    </w:p>
    <w:p w14:paraId="3D128FF6">
      <w:pPr>
        <w:ind w:firstLine="480"/>
        <w:rPr>
          <w:color w:val="auto"/>
        </w:rPr>
      </w:pPr>
      <w:r>
        <w:rPr>
          <w:color w:val="auto"/>
        </w:rPr>
        <w:t>本次主要评价《中国开发区审核公告目录》中核准的，且根据重庆九龙工业园区规划发展状况及重庆高新区调整后的园区区域，评价区域面积2116.08hm²，其中A区面积</w:t>
      </w:r>
      <w:r>
        <w:rPr>
          <w:color w:val="auto"/>
          <w:szCs w:val="28"/>
        </w:rPr>
        <w:t>421.06</w:t>
      </w:r>
      <w:r>
        <w:rPr>
          <w:color w:val="auto"/>
        </w:rPr>
        <w:t>hm²，B区面积897.92hm²，C区面积797.10hm²。</w:t>
      </w:r>
    </w:p>
    <w:p w14:paraId="218BC4EF">
      <w:pPr>
        <w:pStyle w:val="5"/>
        <w:numPr>
          <w:ilvl w:val="0"/>
          <w:numId w:val="0"/>
        </w:numPr>
        <w:spacing w:before="166" w:after="166"/>
        <w:rPr>
          <w:color w:val="auto"/>
        </w:rPr>
      </w:pPr>
      <w:r>
        <w:rPr>
          <w:color w:val="auto"/>
        </w:rPr>
        <w:t>5.1.2现状节水水平评价</w:t>
      </w:r>
    </w:p>
    <w:p w14:paraId="2E82D3AB">
      <w:pPr>
        <w:ind w:firstLine="480"/>
        <w:rPr>
          <w:color w:val="auto"/>
          <w:szCs w:val="24"/>
        </w:rPr>
      </w:pPr>
      <w:r>
        <w:rPr>
          <w:color w:val="auto"/>
          <w:szCs w:val="24"/>
        </w:rPr>
        <w:t>根据九龙工业园区2020年实际用水量，结合人口、工业产值等基础指标，推算得到现状年用水指标，2020年九龙工业园区A区、B区、C区</w:t>
      </w:r>
      <w:r>
        <w:rPr>
          <w:color w:val="auto"/>
        </w:rPr>
        <w:t>城镇居民生活人均日用水量</w:t>
      </w:r>
      <w:r>
        <w:rPr>
          <w:color w:val="auto"/>
          <w:szCs w:val="24"/>
        </w:rPr>
        <w:t>分别为208L、185L、161L，万元工业增加值用水量均为20m³。</w:t>
      </w:r>
    </w:p>
    <w:p w14:paraId="784D3AF3">
      <w:pPr>
        <w:ind w:firstLine="480"/>
        <w:rPr>
          <w:color w:val="auto"/>
          <w:szCs w:val="24"/>
        </w:rPr>
      </w:pPr>
      <w:r>
        <w:rPr>
          <w:color w:val="auto"/>
        </w:rPr>
        <w:t>结合</w:t>
      </w:r>
      <w:r>
        <w:rPr>
          <w:color w:val="auto"/>
          <w:szCs w:val="24"/>
        </w:rPr>
        <w:t>《2019年中国水资源公报》可知，</w:t>
      </w:r>
      <w:r>
        <w:rPr>
          <w:color w:val="auto"/>
        </w:rPr>
        <w:t>九龙工业园区</w:t>
      </w:r>
      <w:r>
        <w:rPr>
          <w:color w:val="auto"/>
          <w:szCs w:val="24"/>
        </w:rPr>
        <w:t>万元工业增加值用水量</w:t>
      </w:r>
      <w:r>
        <w:rPr>
          <w:color w:val="auto"/>
        </w:rPr>
        <w:t>20</w:t>
      </w:r>
      <w:r>
        <w:rPr>
          <w:color w:val="auto"/>
          <w:szCs w:val="24"/>
        </w:rPr>
        <w:t>m³，远小于重庆市的42.3m³、长江区的61.7m³和全国的38.4m³，但远大于全国省级最高水平（7.8m³）；</w:t>
      </w:r>
      <w:r>
        <w:rPr>
          <w:color w:val="auto"/>
        </w:rPr>
        <w:t>城镇居民生活人均日用水量208</w:t>
      </w:r>
      <w:r>
        <w:rPr>
          <w:color w:val="auto"/>
          <w:szCs w:val="24"/>
        </w:rPr>
        <w:t>L，远大于重庆市的</w:t>
      </w:r>
      <w:r>
        <w:rPr>
          <w:color w:val="auto"/>
        </w:rPr>
        <w:t>166</w:t>
      </w:r>
      <w:r>
        <w:rPr>
          <w:color w:val="auto"/>
          <w:szCs w:val="24"/>
        </w:rPr>
        <w:t>L、长江区的</w:t>
      </w:r>
      <w:r>
        <w:rPr>
          <w:color w:val="auto"/>
        </w:rPr>
        <w:t>155</w:t>
      </w:r>
      <w:r>
        <w:rPr>
          <w:color w:val="auto"/>
          <w:szCs w:val="24"/>
        </w:rPr>
        <w:t>L和全国的</w:t>
      </w:r>
      <w:r>
        <w:rPr>
          <w:color w:val="auto"/>
        </w:rPr>
        <w:t>139</w:t>
      </w:r>
      <w:r>
        <w:rPr>
          <w:color w:val="auto"/>
          <w:szCs w:val="24"/>
        </w:rPr>
        <w:t>L持平，远远大于全国省级最高水平（</w:t>
      </w:r>
      <w:r>
        <w:rPr>
          <w:color w:val="auto"/>
        </w:rPr>
        <w:t>80</w:t>
      </w:r>
      <w:r>
        <w:rPr>
          <w:color w:val="auto"/>
          <w:szCs w:val="24"/>
        </w:rPr>
        <w:t>L）。</w:t>
      </w:r>
    </w:p>
    <w:p w14:paraId="44AE4514">
      <w:pPr>
        <w:ind w:firstLine="480"/>
        <w:rPr>
          <w:color w:val="auto"/>
        </w:rPr>
      </w:pPr>
      <w:r>
        <w:rPr>
          <w:color w:val="auto"/>
        </w:rPr>
        <w:t>由上可知，不同地区用水水平受当地自然气候条件、经济发展水平、生活习惯等多方面因素影响，</w:t>
      </w:r>
      <w:r>
        <w:rPr>
          <w:color w:val="auto"/>
          <w:szCs w:val="24"/>
        </w:rPr>
        <w:t>评价区</w:t>
      </w:r>
      <w:r>
        <w:rPr>
          <w:color w:val="auto"/>
        </w:rPr>
        <w:t>工业用水水平总体较高，城镇居民生活用水水平总体较低；与用水水平先进地区相比，仍有较大差距，需进一步采取节水措施。</w:t>
      </w:r>
    </w:p>
    <w:p w14:paraId="26664718">
      <w:pPr>
        <w:ind w:firstLine="480"/>
        <w:rPr>
          <w:color w:val="auto"/>
        </w:rPr>
      </w:pPr>
      <w:r>
        <w:rPr>
          <w:color w:val="auto"/>
        </w:rPr>
        <w:t>评价区用水水平对比分析成果见表5.1-1。</w:t>
      </w:r>
    </w:p>
    <w:p w14:paraId="4A576F52">
      <w:pPr>
        <w:pStyle w:val="43"/>
        <w:rPr>
          <w:color w:val="auto"/>
        </w:rPr>
      </w:pPr>
      <w:r>
        <w:rPr>
          <w:color w:val="auto"/>
        </w:rPr>
        <w:t>表5.1-1                   评价区用水水平对比分析表</w:t>
      </w:r>
    </w:p>
    <w:tbl>
      <w:tblPr>
        <w:tblStyle w:val="21"/>
        <w:tblW w:w="89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233"/>
        <w:gridCol w:w="1138"/>
        <w:gridCol w:w="1138"/>
        <w:gridCol w:w="1138"/>
        <w:gridCol w:w="1138"/>
        <w:gridCol w:w="1142"/>
      </w:tblGrid>
      <w:tr w14:paraId="427C5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233" w:type="dxa"/>
            <w:tcBorders>
              <w:tl2br w:val="nil"/>
              <w:tr2bl w:val="nil"/>
            </w:tcBorders>
            <w:tcMar>
              <w:top w:w="15" w:type="dxa"/>
              <w:left w:w="15" w:type="dxa"/>
              <w:right w:w="15" w:type="dxa"/>
            </w:tcMar>
            <w:vAlign w:val="center"/>
          </w:tcPr>
          <w:p w14:paraId="3FB93999">
            <w:pPr>
              <w:pStyle w:val="44"/>
              <w:rPr>
                <w:color w:val="auto"/>
              </w:rPr>
            </w:pPr>
            <w:r>
              <w:rPr>
                <w:color w:val="auto"/>
              </w:rPr>
              <w:t>用水指标</w:t>
            </w:r>
          </w:p>
        </w:tc>
        <w:tc>
          <w:tcPr>
            <w:tcW w:w="1138" w:type="dxa"/>
            <w:tcBorders>
              <w:tl2br w:val="nil"/>
              <w:tr2bl w:val="nil"/>
            </w:tcBorders>
            <w:tcMar>
              <w:top w:w="15" w:type="dxa"/>
              <w:left w:w="15" w:type="dxa"/>
              <w:right w:w="15" w:type="dxa"/>
            </w:tcMar>
            <w:vAlign w:val="center"/>
          </w:tcPr>
          <w:p w14:paraId="77D0F2C0">
            <w:pPr>
              <w:pStyle w:val="44"/>
              <w:rPr>
                <w:color w:val="auto"/>
              </w:rPr>
            </w:pPr>
            <w:r>
              <w:rPr>
                <w:color w:val="auto"/>
              </w:rPr>
              <w:t>九龙工业</w:t>
            </w:r>
          </w:p>
          <w:p w14:paraId="066A67E3">
            <w:pPr>
              <w:pStyle w:val="44"/>
              <w:rPr>
                <w:color w:val="auto"/>
              </w:rPr>
            </w:pPr>
            <w:r>
              <w:rPr>
                <w:color w:val="auto"/>
              </w:rPr>
              <w:t>园区</w:t>
            </w:r>
          </w:p>
        </w:tc>
        <w:tc>
          <w:tcPr>
            <w:tcW w:w="1138" w:type="dxa"/>
            <w:tcBorders>
              <w:tl2br w:val="nil"/>
              <w:tr2bl w:val="nil"/>
            </w:tcBorders>
            <w:tcMar>
              <w:top w:w="15" w:type="dxa"/>
              <w:left w:w="15" w:type="dxa"/>
              <w:right w:w="15" w:type="dxa"/>
            </w:tcMar>
            <w:vAlign w:val="center"/>
          </w:tcPr>
          <w:p w14:paraId="320AE338">
            <w:pPr>
              <w:pStyle w:val="44"/>
              <w:rPr>
                <w:color w:val="auto"/>
              </w:rPr>
            </w:pPr>
            <w:r>
              <w:rPr>
                <w:color w:val="auto"/>
              </w:rPr>
              <w:t>重庆市</w:t>
            </w:r>
          </w:p>
        </w:tc>
        <w:tc>
          <w:tcPr>
            <w:tcW w:w="1138" w:type="dxa"/>
            <w:tcBorders>
              <w:tl2br w:val="nil"/>
              <w:tr2bl w:val="nil"/>
            </w:tcBorders>
            <w:tcMar>
              <w:top w:w="15" w:type="dxa"/>
              <w:left w:w="15" w:type="dxa"/>
              <w:right w:w="15" w:type="dxa"/>
            </w:tcMar>
            <w:vAlign w:val="center"/>
          </w:tcPr>
          <w:p w14:paraId="3AA9CB3E">
            <w:pPr>
              <w:pStyle w:val="44"/>
              <w:rPr>
                <w:color w:val="auto"/>
              </w:rPr>
            </w:pPr>
            <w:r>
              <w:rPr>
                <w:color w:val="auto"/>
              </w:rPr>
              <w:t>长江区</w:t>
            </w:r>
          </w:p>
        </w:tc>
        <w:tc>
          <w:tcPr>
            <w:tcW w:w="1138" w:type="dxa"/>
            <w:tcBorders>
              <w:tl2br w:val="nil"/>
              <w:tr2bl w:val="nil"/>
            </w:tcBorders>
            <w:tcMar>
              <w:top w:w="15" w:type="dxa"/>
              <w:left w:w="15" w:type="dxa"/>
              <w:right w:w="15" w:type="dxa"/>
            </w:tcMar>
            <w:vAlign w:val="center"/>
          </w:tcPr>
          <w:p w14:paraId="287B7F26">
            <w:pPr>
              <w:pStyle w:val="44"/>
              <w:rPr>
                <w:color w:val="auto"/>
              </w:rPr>
            </w:pPr>
            <w:r>
              <w:rPr>
                <w:color w:val="auto"/>
              </w:rPr>
              <w:t>全国</w:t>
            </w:r>
          </w:p>
        </w:tc>
        <w:tc>
          <w:tcPr>
            <w:tcW w:w="1142" w:type="dxa"/>
            <w:tcBorders>
              <w:tl2br w:val="nil"/>
              <w:tr2bl w:val="nil"/>
            </w:tcBorders>
            <w:tcMar>
              <w:top w:w="15" w:type="dxa"/>
              <w:left w:w="15" w:type="dxa"/>
              <w:right w:w="15" w:type="dxa"/>
            </w:tcMar>
            <w:vAlign w:val="center"/>
          </w:tcPr>
          <w:p w14:paraId="33A5B41B">
            <w:pPr>
              <w:pStyle w:val="44"/>
              <w:rPr>
                <w:color w:val="auto"/>
              </w:rPr>
            </w:pPr>
            <w:r>
              <w:rPr>
                <w:color w:val="auto"/>
              </w:rPr>
              <w:t>全国省级最高水平</w:t>
            </w:r>
          </w:p>
        </w:tc>
      </w:tr>
      <w:tr w14:paraId="2FB8C5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233" w:type="dxa"/>
            <w:tcBorders>
              <w:tl2br w:val="nil"/>
              <w:tr2bl w:val="nil"/>
            </w:tcBorders>
            <w:tcMar>
              <w:top w:w="15" w:type="dxa"/>
              <w:left w:w="15" w:type="dxa"/>
              <w:right w:w="15" w:type="dxa"/>
            </w:tcMar>
            <w:vAlign w:val="center"/>
          </w:tcPr>
          <w:p w14:paraId="33C98A7D">
            <w:pPr>
              <w:pStyle w:val="44"/>
              <w:rPr>
                <w:color w:val="auto"/>
              </w:rPr>
            </w:pPr>
            <w:r>
              <w:rPr>
                <w:color w:val="auto"/>
              </w:rPr>
              <w:t>万元工业增加值用水量（m³）</w:t>
            </w:r>
          </w:p>
        </w:tc>
        <w:tc>
          <w:tcPr>
            <w:tcW w:w="1138" w:type="dxa"/>
            <w:tcBorders>
              <w:tl2br w:val="nil"/>
              <w:tr2bl w:val="nil"/>
            </w:tcBorders>
            <w:tcMar>
              <w:top w:w="15" w:type="dxa"/>
              <w:left w:w="15" w:type="dxa"/>
              <w:right w:w="15" w:type="dxa"/>
            </w:tcMar>
            <w:vAlign w:val="center"/>
          </w:tcPr>
          <w:p w14:paraId="3F50F3B3">
            <w:pPr>
              <w:pStyle w:val="44"/>
              <w:rPr>
                <w:color w:val="auto"/>
              </w:rPr>
            </w:pPr>
            <w:r>
              <w:rPr>
                <w:color w:val="auto"/>
              </w:rPr>
              <w:t>20.0</w:t>
            </w:r>
          </w:p>
        </w:tc>
        <w:tc>
          <w:tcPr>
            <w:tcW w:w="1138" w:type="dxa"/>
            <w:tcBorders>
              <w:tl2br w:val="nil"/>
              <w:tr2bl w:val="nil"/>
            </w:tcBorders>
            <w:tcMar>
              <w:top w:w="15" w:type="dxa"/>
              <w:left w:w="15" w:type="dxa"/>
              <w:right w:w="15" w:type="dxa"/>
            </w:tcMar>
            <w:vAlign w:val="center"/>
          </w:tcPr>
          <w:p w14:paraId="0C8BA234">
            <w:pPr>
              <w:pStyle w:val="44"/>
              <w:rPr>
                <w:color w:val="auto"/>
              </w:rPr>
            </w:pPr>
            <w:r>
              <w:rPr>
                <w:color w:val="auto"/>
              </w:rPr>
              <w:t>42.3</w:t>
            </w:r>
          </w:p>
        </w:tc>
        <w:tc>
          <w:tcPr>
            <w:tcW w:w="1138" w:type="dxa"/>
            <w:tcBorders>
              <w:tl2br w:val="nil"/>
              <w:tr2bl w:val="nil"/>
            </w:tcBorders>
            <w:tcMar>
              <w:top w:w="15" w:type="dxa"/>
              <w:left w:w="15" w:type="dxa"/>
              <w:right w:w="15" w:type="dxa"/>
            </w:tcMar>
            <w:vAlign w:val="center"/>
          </w:tcPr>
          <w:p w14:paraId="681B4A08">
            <w:pPr>
              <w:pStyle w:val="44"/>
              <w:rPr>
                <w:color w:val="auto"/>
              </w:rPr>
            </w:pPr>
            <w:r>
              <w:rPr>
                <w:color w:val="auto"/>
              </w:rPr>
              <w:t>61.7</w:t>
            </w:r>
          </w:p>
        </w:tc>
        <w:tc>
          <w:tcPr>
            <w:tcW w:w="1138" w:type="dxa"/>
            <w:tcBorders>
              <w:tl2br w:val="nil"/>
              <w:tr2bl w:val="nil"/>
            </w:tcBorders>
            <w:tcMar>
              <w:top w:w="15" w:type="dxa"/>
              <w:left w:w="15" w:type="dxa"/>
              <w:right w:w="15" w:type="dxa"/>
            </w:tcMar>
            <w:vAlign w:val="center"/>
          </w:tcPr>
          <w:p w14:paraId="2C46F0C9">
            <w:pPr>
              <w:pStyle w:val="44"/>
              <w:rPr>
                <w:color w:val="auto"/>
              </w:rPr>
            </w:pPr>
            <w:r>
              <w:rPr>
                <w:color w:val="auto"/>
              </w:rPr>
              <w:t>38.4</w:t>
            </w:r>
          </w:p>
        </w:tc>
        <w:tc>
          <w:tcPr>
            <w:tcW w:w="1142" w:type="dxa"/>
            <w:tcBorders>
              <w:tl2br w:val="nil"/>
              <w:tr2bl w:val="nil"/>
            </w:tcBorders>
            <w:tcMar>
              <w:top w:w="15" w:type="dxa"/>
              <w:left w:w="15" w:type="dxa"/>
              <w:right w:w="15" w:type="dxa"/>
            </w:tcMar>
            <w:vAlign w:val="center"/>
          </w:tcPr>
          <w:p w14:paraId="4300B7B1">
            <w:pPr>
              <w:pStyle w:val="44"/>
              <w:rPr>
                <w:color w:val="auto"/>
              </w:rPr>
            </w:pPr>
            <w:r>
              <w:rPr>
                <w:color w:val="auto"/>
              </w:rPr>
              <w:t>7.8</w:t>
            </w:r>
          </w:p>
        </w:tc>
      </w:tr>
      <w:tr w14:paraId="6C6AE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233" w:type="dxa"/>
            <w:tcBorders>
              <w:tl2br w:val="nil"/>
              <w:tr2bl w:val="nil"/>
            </w:tcBorders>
            <w:tcMar>
              <w:top w:w="15" w:type="dxa"/>
              <w:left w:w="15" w:type="dxa"/>
              <w:right w:w="15" w:type="dxa"/>
            </w:tcMar>
            <w:vAlign w:val="center"/>
          </w:tcPr>
          <w:p w14:paraId="696B6254">
            <w:pPr>
              <w:pStyle w:val="44"/>
              <w:rPr>
                <w:color w:val="auto"/>
              </w:rPr>
            </w:pPr>
            <w:r>
              <w:rPr>
                <w:color w:val="auto"/>
              </w:rPr>
              <w:t>城镇居民生活人均日用水量（L）</w:t>
            </w:r>
          </w:p>
        </w:tc>
        <w:tc>
          <w:tcPr>
            <w:tcW w:w="1138" w:type="dxa"/>
            <w:tcBorders>
              <w:tl2br w:val="nil"/>
              <w:tr2bl w:val="nil"/>
            </w:tcBorders>
            <w:tcMar>
              <w:top w:w="15" w:type="dxa"/>
              <w:left w:w="15" w:type="dxa"/>
              <w:right w:w="15" w:type="dxa"/>
            </w:tcMar>
            <w:vAlign w:val="center"/>
          </w:tcPr>
          <w:p w14:paraId="5C142B92">
            <w:pPr>
              <w:pStyle w:val="44"/>
              <w:rPr>
                <w:color w:val="auto"/>
              </w:rPr>
            </w:pPr>
            <w:r>
              <w:rPr>
                <w:color w:val="auto"/>
              </w:rPr>
              <w:t>208</w:t>
            </w:r>
          </w:p>
        </w:tc>
        <w:tc>
          <w:tcPr>
            <w:tcW w:w="1138" w:type="dxa"/>
            <w:tcBorders>
              <w:tl2br w:val="nil"/>
              <w:tr2bl w:val="nil"/>
            </w:tcBorders>
            <w:tcMar>
              <w:top w:w="15" w:type="dxa"/>
              <w:left w:w="15" w:type="dxa"/>
              <w:right w:w="15" w:type="dxa"/>
            </w:tcMar>
            <w:vAlign w:val="center"/>
          </w:tcPr>
          <w:p w14:paraId="63D4F7EB">
            <w:pPr>
              <w:pStyle w:val="44"/>
              <w:rPr>
                <w:color w:val="auto"/>
              </w:rPr>
            </w:pPr>
            <w:r>
              <w:rPr>
                <w:color w:val="auto"/>
              </w:rPr>
              <w:t>166</w:t>
            </w:r>
          </w:p>
        </w:tc>
        <w:tc>
          <w:tcPr>
            <w:tcW w:w="1138" w:type="dxa"/>
            <w:tcBorders>
              <w:tl2br w:val="nil"/>
              <w:tr2bl w:val="nil"/>
            </w:tcBorders>
            <w:tcMar>
              <w:top w:w="15" w:type="dxa"/>
              <w:left w:w="15" w:type="dxa"/>
              <w:right w:w="15" w:type="dxa"/>
            </w:tcMar>
            <w:vAlign w:val="center"/>
          </w:tcPr>
          <w:p w14:paraId="5B3FF84F">
            <w:pPr>
              <w:pStyle w:val="44"/>
              <w:rPr>
                <w:color w:val="auto"/>
              </w:rPr>
            </w:pPr>
            <w:r>
              <w:rPr>
                <w:color w:val="auto"/>
              </w:rPr>
              <w:t>155</w:t>
            </w:r>
          </w:p>
        </w:tc>
        <w:tc>
          <w:tcPr>
            <w:tcW w:w="1138" w:type="dxa"/>
            <w:tcBorders>
              <w:tl2br w:val="nil"/>
              <w:tr2bl w:val="nil"/>
            </w:tcBorders>
            <w:tcMar>
              <w:top w:w="15" w:type="dxa"/>
              <w:left w:w="15" w:type="dxa"/>
              <w:right w:w="15" w:type="dxa"/>
            </w:tcMar>
            <w:vAlign w:val="center"/>
          </w:tcPr>
          <w:p w14:paraId="7F06C6F5">
            <w:pPr>
              <w:pStyle w:val="44"/>
              <w:rPr>
                <w:color w:val="auto"/>
              </w:rPr>
            </w:pPr>
            <w:r>
              <w:rPr>
                <w:color w:val="auto"/>
              </w:rPr>
              <w:t>139</w:t>
            </w:r>
          </w:p>
        </w:tc>
        <w:tc>
          <w:tcPr>
            <w:tcW w:w="1142" w:type="dxa"/>
            <w:tcBorders>
              <w:tl2br w:val="nil"/>
              <w:tr2bl w:val="nil"/>
            </w:tcBorders>
            <w:tcMar>
              <w:top w:w="15" w:type="dxa"/>
              <w:left w:w="15" w:type="dxa"/>
              <w:right w:w="15" w:type="dxa"/>
            </w:tcMar>
            <w:vAlign w:val="center"/>
          </w:tcPr>
          <w:p w14:paraId="0F19FAAF">
            <w:pPr>
              <w:pStyle w:val="44"/>
              <w:rPr>
                <w:color w:val="auto"/>
              </w:rPr>
            </w:pPr>
            <w:r>
              <w:rPr>
                <w:color w:val="auto"/>
              </w:rPr>
              <w:t>80</w:t>
            </w:r>
          </w:p>
        </w:tc>
      </w:tr>
    </w:tbl>
    <w:p w14:paraId="466AA216">
      <w:pPr>
        <w:pStyle w:val="5"/>
        <w:numPr>
          <w:ilvl w:val="0"/>
          <w:numId w:val="0"/>
        </w:numPr>
        <w:spacing w:before="166" w:after="166"/>
        <w:rPr>
          <w:color w:val="auto"/>
        </w:rPr>
      </w:pPr>
      <w:r>
        <w:rPr>
          <w:color w:val="auto"/>
        </w:rPr>
        <w:t>5.1.3现状节水潜力分析</w:t>
      </w:r>
    </w:p>
    <w:p w14:paraId="3163E8CD">
      <w:pPr>
        <w:ind w:firstLine="482"/>
        <w:rPr>
          <w:b/>
          <w:bCs/>
          <w:color w:val="auto"/>
        </w:rPr>
      </w:pPr>
      <w:r>
        <w:rPr>
          <w:b/>
          <w:bCs/>
          <w:color w:val="auto"/>
        </w:rPr>
        <w:t>（1）工业节水潜力</w:t>
      </w:r>
    </w:p>
    <w:p w14:paraId="365DF96F">
      <w:pPr>
        <w:tabs>
          <w:tab w:val="left" w:pos="7820"/>
        </w:tabs>
        <w:ind w:firstLine="480"/>
        <w:rPr>
          <w:color w:val="auto"/>
        </w:rPr>
      </w:pPr>
      <w:r>
        <w:rPr>
          <w:color w:val="auto"/>
        </w:rPr>
        <w:t>通过调整产业结构、工艺设备改造更新可以有效的提高工业用水重复利用率、减少单位工业增加值用水量和管网漏损率，具有很大的节水潜力。</w:t>
      </w:r>
    </w:p>
    <w:p w14:paraId="60F7E400">
      <w:pPr>
        <w:tabs>
          <w:tab w:val="left" w:pos="7820"/>
        </w:tabs>
        <w:ind w:firstLine="480"/>
        <w:rPr>
          <w:color w:val="auto"/>
        </w:rPr>
      </w:pPr>
      <w:r>
        <w:rPr>
          <w:color w:val="auto"/>
        </w:rPr>
        <w:t>根据《节水型社会建设规划编制导则》，工业节水潜力采用下式计算：</w:t>
      </w:r>
    </w:p>
    <w:p w14:paraId="4EC160DD">
      <w:pPr>
        <w:ind w:firstLine="0" w:firstLineChars="0"/>
        <w:jc w:val="center"/>
        <w:rPr>
          <w:color w:val="auto"/>
          <w:szCs w:val="24"/>
        </w:rPr>
      </w:pPr>
      <w:r>
        <w:rPr>
          <w:color w:val="auto"/>
          <w:szCs w:val="24"/>
        </w:rPr>
        <w:t>dW</w:t>
      </w:r>
      <w:r>
        <w:rPr>
          <w:color w:val="auto"/>
          <w:szCs w:val="24"/>
          <w:vertAlign w:val="subscript"/>
        </w:rPr>
        <w:t>g</w:t>
      </w:r>
      <w:r>
        <w:rPr>
          <w:color w:val="auto"/>
          <w:szCs w:val="24"/>
        </w:rPr>
        <w:t>=Z</w:t>
      </w:r>
      <w:r>
        <w:rPr>
          <w:color w:val="auto"/>
          <w:szCs w:val="24"/>
          <w:vertAlign w:val="subscript"/>
        </w:rPr>
        <w:t>0</w:t>
      </w:r>
      <w:r>
        <w:rPr>
          <w:color w:val="auto"/>
          <w:szCs w:val="24"/>
        </w:rPr>
        <w:t>（W</w:t>
      </w:r>
      <w:r>
        <w:rPr>
          <w:color w:val="auto"/>
          <w:szCs w:val="24"/>
          <w:vertAlign w:val="subscript"/>
        </w:rPr>
        <w:t>z0</w:t>
      </w:r>
      <w:r>
        <w:rPr>
          <w:color w:val="auto"/>
          <w:szCs w:val="24"/>
        </w:rPr>
        <w:t>－Q</w:t>
      </w:r>
      <w:r>
        <w:rPr>
          <w:color w:val="auto"/>
          <w:szCs w:val="24"/>
          <w:vertAlign w:val="subscript"/>
        </w:rPr>
        <w:t>zt</w:t>
      </w:r>
      <w:r>
        <w:rPr>
          <w:color w:val="auto"/>
          <w:szCs w:val="24"/>
        </w:rPr>
        <w:t>）</w:t>
      </w:r>
    </w:p>
    <w:p w14:paraId="1840BFCB">
      <w:pPr>
        <w:ind w:firstLine="480"/>
        <w:rPr>
          <w:color w:val="auto"/>
          <w:szCs w:val="24"/>
        </w:rPr>
      </w:pPr>
      <w:r>
        <w:rPr>
          <w:color w:val="auto"/>
          <w:szCs w:val="24"/>
        </w:rPr>
        <w:t>式中：dW</w:t>
      </w:r>
      <w:r>
        <w:rPr>
          <w:color w:val="auto"/>
          <w:szCs w:val="24"/>
          <w:vertAlign w:val="subscript"/>
        </w:rPr>
        <w:t>g</w:t>
      </w:r>
      <w:r>
        <w:rPr>
          <w:color w:val="auto"/>
          <w:szCs w:val="24"/>
        </w:rPr>
        <w:t>——工业节水潜力（万m³）；</w:t>
      </w:r>
    </w:p>
    <w:p w14:paraId="5EE1884C">
      <w:pPr>
        <w:ind w:firstLine="1200" w:firstLineChars="500"/>
        <w:rPr>
          <w:color w:val="auto"/>
          <w:szCs w:val="24"/>
        </w:rPr>
      </w:pPr>
      <w:r>
        <w:rPr>
          <w:color w:val="auto"/>
          <w:szCs w:val="24"/>
        </w:rPr>
        <w:t>Z</w:t>
      </w:r>
      <w:r>
        <w:rPr>
          <w:color w:val="auto"/>
          <w:szCs w:val="24"/>
          <w:vertAlign w:val="subscript"/>
        </w:rPr>
        <w:t>0</w:t>
      </w:r>
      <w:r>
        <w:rPr>
          <w:color w:val="auto"/>
          <w:szCs w:val="24"/>
        </w:rPr>
        <w:t>——现状年工业增加值（亿元）；</w:t>
      </w:r>
    </w:p>
    <w:p w14:paraId="53C28084">
      <w:pPr>
        <w:ind w:firstLine="1200" w:firstLineChars="500"/>
        <w:rPr>
          <w:color w:val="auto"/>
          <w:szCs w:val="24"/>
        </w:rPr>
      </w:pPr>
      <w:r>
        <w:rPr>
          <w:color w:val="auto"/>
          <w:szCs w:val="24"/>
        </w:rPr>
        <w:t>Q</w:t>
      </w:r>
      <w:r>
        <w:rPr>
          <w:color w:val="auto"/>
          <w:szCs w:val="24"/>
          <w:vertAlign w:val="subscript"/>
        </w:rPr>
        <w:t>z0</w:t>
      </w:r>
      <w:r>
        <w:rPr>
          <w:color w:val="auto"/>
          <w:szCs w:val="24"/>
        </w:rPr>
        <w:t>——现状年万元工业增加值用水量（m³）；</w:t>
      </w:r>
    </w:p>
    <w:p w14:paraId="58660E27">
      <w:pPr>
        <w:ind w:firstLine="1200" w:firstLineChars="500"/>
        <w:rPr>
          <w:color w:val="auto"/>
          <w:szCs w:val="24"/>
        </w:rPr>
      </w:pPr>
      <w:r>
        <w:rPr>
          <w:color w:val="auto"/>
          <w:szCs w:val="24"/>
        </w:rPr>
        <w:t>Q</w:t>
      </w:r>
      <w:r>
        <w:rPr>
          <w:color w:val="auto"/>
          <w:szCs w:val="24"/>
          <w:vertAlign w:val="subscript"/>
        </w:rPr>
        <w:t>zt</w:t>
      </w:r>
      <w:r>
        <w:rPr>
          <w:color w:val="auto"/>
          <w:szCs w:val="24"/>
        </w:rPr>
        <w:t>——规划年万元工业增加值用水量（m³）。</w:t>
      </w:r>
    </w:p>
    <w:p w14:paraId="6B9D5751">
      <w:pPr>
        <w:ind w:firstLine="480"/>
        <w:rPr>
          <w:color w:val="auto"/>
        </w:rPr>
      </w:pPr>
      <w:r>
        <w:rPr>
          <w:color w:val="auto"/>
        </w:rPr>
        <w:t>根据九龙工业园区统计数据，评价区现状年工业增加值为67.80亿元，万元工业增加值用水量为20m³。根据《重庆市九龙坡区“十四五”节约用水规划》，随着用水效率进一步提高，2025年万元工业增加值用水量较2020年降低5%，因此本次规划年万元工业增加值用水量为19m³。由此计算得工业年节水量为67.80万m³。</w:t>
      </w:r>
    </w:p>
    <w:p w14:paraId="3B7B3D87">
      <w:pPr>
        <w:tabs>
          <w:tab w:val="left" w:pos="7820"/>
        </w:tabs>
        <w:ind w:firstLine="480"/>
        <w:rPr>
          <w:color w:val="auto"/>
        </w:rPr>
      </w:pPr>
      <w:r>
        <w:rPr>
          <w:color w:val="auto"/>
        </w:rPr>
        <w:t>评价区农业节水潜力计算成果见表5.1-2。</w:t>
      </w:r>
    </w:p>
    <w:p w14:paraId="76ADE2F8">
      <w:pPr>
        <w:pStyle w:val="43"/>
        <w:rPr>
          <w:color w:val="auto"/>
        </w:rPr>
      </w:pPr>
      <w:r>
        <w:rPr>
          <w:color w:val="auto"/>
        </w:rPr>
        <w:t>表5.1-2                 评价区农业节水潜力计算成果表</w:t>
      </w:r>
    </w:p>
    <w:tbl>
      <w:tblPr>
        <w:tblStyle w:val="21"/>
        <w:tblW w:w="89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59"/>
        <w:gridCol w:w="2287"/>
        <w:gridCol w:w="3391"/>
        <w:gridCol w:w="1990"/>
      </w:tblGrid>
      <w:tr w14:paraId="0A23F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59" w:type="dxa"/>
            <w:tcBorders>
              <w:tl2br w:val="nil"/>
              <w:tr2bl w:val="nil"/>
            </w:tcBorders>
            <w:tcMar>
              <w:top w:w="15" w:type="dxa"/>
              <w:left w:w="15" w:type="dxa"/>
              <w:right w:w="15" w:type="dxa"/>
            </w:tcMar>
            <w:vAlign w:val="center"/>
          </w:tcPr>
          <w:p w14:paraId="4585BE9A">
            <w:pPr>
              <w:pStyle w:val="44"/>
              <w:rPr>
                <w:color w:val="auto"/>
              </w:rPr>
            </w:pPr>
            <w:r>
              <w:rPr>
                <w:color w:val="auto"/>
              </w:rPr>
              <w:t>水平年</w:t>
            </w:r>
          </w:p>
        </w:tc>
        <w:tc>
          <w:tcPr>
            <w:tcW w:w="2287" w:type="dxa"/>
            <w:tcBorders>
              <w:tl2br w:val="nil"/>
              <w:tr2bl w:val="nil"/>
            </w:tcBorders>
            <w:tcMar>
              <w:top w:w="15" w:type="dxa"/>
              <w:left w:w="15" w:type="dxa"/>
              <w:right w:w="15" w:type="dxa"/>
            </w:tcMar>
            <w:vAlign w:val="center"/>
          </w:tcPr>
          <w:p w14:paraId="7B44852D">
            <w:pPr>
              <w:pStyle w:val="44"/>
              <w:rPr>
                <w:color w:val="auto"/>
              </w:rPr>
            </w:pPr>
            <w:r>
              <w:rPr>
                <w:color w:val="auto"/>
              </w:rPr>
              <w:t>工业增加值（</w:t>
            </w:r>
            <w:r>
              <w:rPr>
                <w:color w:val="auto"/>
                <w:sz w:val="24"/>
                <w:szCs w:val="24"/>
              </w:rPr>
              <w:t>亿元</w:t>
            </w:r>
            <w:r>
              <w:rPr>
                <w:color w:val="auto"/>
              </w:rPr>
              <w:t>）</w:t>
            </w:r>
          </w:p>
        </w:tc>
        <w:tc>
          <w:tcPr>
            <w:tcW w:w="3391" w:type="dxa"/>
            <w:tcBorders>
              <w:tl2br w:val="nil"/>
              <w:tr2bl w:val="nil"/>
            </w:tcBorders>
            <w:tcMar>
              <w:top w:w="15" w:type="dxa"/>
              <w:left w:w="15" w:type="dxa"/>
              <w:right w:w="15" w:type="dxa"/>
            </w:tcMar>
            <w:vAlign w:val="center"/>
          </w:tcPr>
          <w:p w14:paraId="0E2D9616">
            <w:pPr>
              <w:pStyle w:val="44"/>
              <w:rPr>
                <w:color w:val="auto"/>
              </w:rPr>
            </w:pPr>
            <w:r>
              <w:rPr>
                <w:color w:val="auto"/>
                <w:sz w:val="24"/>
                <w:szCs w:val="24"/>
              </w:rPr>
              <w:t>万元工业增加值用水量</w:t>
            </w:r>
            <w:r>
              <w:rPr>
                <w:color w:val="auto"/>
              </w:rPr>
              <w:t>（m³）</w:t>
            </w:r>
          </w:p>
        </w:tc>
        <w:tc>
          <w:tcPr>
            <w:tcW w:w="1990" w:type="dxa"/>
            <w:tcBorders>
              <w:tl2br w:val="nil"/>
              <w:tr2bl w:val="nil"/>
            </w:tcBorders>
            <w:tcMar>
              <w:top w:w="15" w:type="dxa"/>
              <w:left w:w="15" w:type="dxa"/>
              <w:right w:w="15" w:type="dxa"/>
            </w:tcMar>
            <w:vAlign w:val="center"/>
          </w:tcPr>
          <w:p w14:paraId="13F67861">
            <w:pPr>
              <w:pStyle w:val="44"/>
              <w:rPr>
                <w:color w:val="auto"/>
              </w:rPr>
            </w:pPr>
            <w:r>
              <w:rPr>
                <w:color w:val="auto"/>
              </w:rPr>
              <w:t>年节水量（万m³）</w:t>
            </w:r>
          </w:p>
        </w:tc>
      </w:tr>
      <w:tr w14:paraId="7E1F3A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59" w:type="dxa"/>
            <w:tcBorders>
              <w:tl2br w:val="nil"/>
              <w:tr2bl w:val="nil"/>
            </w:tcBorders>
            <w:tcMar>
              <w:top w:w="15" w:type="dxa"/>
              <w:left w:w="15" w:type="dxa"/>
              <w:right w:w="15" w:type="dxa"/>
            </w:tcMar>
            <w:vAlign w:val="center"/>
          </w:tcPr>
          <w:p w14:paraId="066743DB">
            <w:pPr>
              <w:pStyle w:val="44"/>
              <w:rPr>
                <w:color w:val="auto"/>
              </w:rPr>
            </w:pPr>
            <w:r>
              <w:rPr>
                <w:color w:val="auto"/>
              </w:rPr>
              <w:t>现状年</w:t>
            </w:r>
          </w:p>
        </w:tc>
        <w:tc>
          <w:tcPr>
            <w:tcW w:w="2287" w:type="dxa"/>
            <w:vMerge w:val="restart"/>
            <w:tcBorders>
              <w:tl2br w:val="nil"/>
              <w:tr2bl w:val="nil"/>
            </w:tcBorders>
            <w:tcMar>
              <w:top w:w="15" w:type="dxa"/>
              <w:left w:w="15" w:type="dxa"/>
              <w:right w:w="15" w:type="dxa"/>
            </w:tcMar>
            <w:vAlign w:val="center"/>
          </w:tcPr>
          <w:p w14:paraId="1131381E">
            <w:pPr>
              <w:pStyle w:val="44"/>
              <w:rPr>
                <w:color w:val="auto"/>
              </w:rPr>
            </w:pPr>
            <w:r>
              <w:rPr>
                <w:color w:val="auto"/>
              </w:rPr>
              <w:t>67.80</w:t>
            </w:r>
          </w:p>
        </w:tc>
        <w:tc>
          <w:tcPr>
            <w:tcW w:w="3391" w:type="dxa"/>
            <w:tcBorders>
              <w:tl2br w:val="nil"/>
              <w:tr2bl w:val="nil"/>
            </w:tcBorders>
            <w:tcMar>
              <w:top w:w="15" w:type="dxa"/>
              <w:left w:w="15" w:type="dxa"/>
              <w:right w:w="15" w:type="dxa"/>
            </w:tcMar>
            <w:vAlign w:val="center"/>
          </w:tcPr>
          <w:p w14:paraId="22DC6AF5">
            <w:pPr>
              <w:pStyle w:val="44"/>
              <w:rPr>
                <w:color w:val="auto"/>
              </w:rPr>
            </w:pPr>
            <w:r>
              <w:rPr>
                <w:color w:val="auto"/>
              </w:rPr>
              <w:t>20</w:t>
            </w:r>
          </w:p>
        </w:tc>
        <w:tc>
          <w:tcPr>
            <w:tcW w:w="1990" w:type="dxa"/>
            <w:vMerge w:val="restart"/>
            <w:tcBorders>
              <w:tl2br w:val="nil"/>
              <w:tr2bl w:val="nil"/>
            </w:tcBorders>
            <w:tcMar>
              <w:top w:w="15" w:type="dxa"/>
              <w:left w:w="15" w:type="dxa"/>
              <w:right w:w="15" w:type="dxa"/>
            </w:tcMar>
            <w:vAlign w:val="center"/>
          </w:tcPr>
          <w:p w14:paraId="6634E0AE">
            <w:pPr>
              <w:pStyle w:val="44"/>
              <w:rPr>
                <w:color w:val="auto"/>
              </w:rPr>
            </w:pPr>
            <w:r>
              <w:rPr>
                <w:color w:val="auto"/>
              </w:rPr>
              <w:t>67.80</w:t>
            </w:r>
          </w:p>
        </w:tc>
      </w:tr>
      <w:tr w14:paraId="3B016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59" w:type="dxa"/>
            <w:tcBorders>
              <w:tl2br w:val="nil"/>
              <w:tr2bl w:val="nil"/>
            </w:tcBorders>
            <w:tcMar>
              <w:top w:w="15" w:type="dxa"/>
              <w:left w:w="15" w:type="dxa"/>
              <w:right w:w="15" w:type="dxa"/>
            </w:tcMar>
            <w:vAlign w:val="center"/>
          </w:tcPr>
          <w:p w14:paraId="6460C811">
            <w:pPr>
              <w:pStyle w:val="44"/>
              <w:rPr>
                <w:color w:val="auto"/>
              </w:rPr>
            </w:pPr>
            <w:r>
              <w:rPr>
                <w:color w:val="auto"/>
              </w:rPr>
              <w:t>规划年</w:t>
            </w:r>
          </w:p>
        </w:tc>
        <w:tc>
          <w:tcPr>
            <w:tcW w:w="2287" w:type="dxa"/>
            <w:vMerge w:val="continue"/>
            <w:tcBorders>
              <w:tl2br w:val="nil"/>
              <w:tr2bl w:val="nil"/>
            </w:tcBorders>
            <w:tcMar>
              <w:top w:w="15" w:type="dxa"/>
              <w:left w:w="15" w:type="dxa"/>
              <w:right w:w="15" w:type="dxa"/>
            </w:tcMar>
            <w:vAlign w:val="center"/>
          </w:tcPr>
          <w:p w14:paraId="19B10E98">
            <w:pPr>
              <w:pStyle w:val="44"/>
              <w:rPr>
                <w:color w:val="auto"/>
              </w:rPr>
            </w:pPr>
          </w:p>
        </w:tc>
        <w:tc>
          <w:tcPr>
            <w:tcW w:w="3391" w:type="dxa"/>
            <w:tcBorders>
              <w:tl2br w:val="nil"/>
              <w:tr2bl w:val="nil"/>
            </w:tcBorders>
            <w:tcMar>
              <w:top w:w="15" w:type="dxa"/>
              <w:left w:w="15" w:type="dxa"/>
              <w:right w:w="15" w:type="dxa"/>
            </w:tcMar>
            <w:vAlign w:val="center"/>
          </w:tcPr>
          <w:p w14:paraId="77F56F5C">
            <w:pPr>
              <w:pStyle w:val="44"/>
              <w:rPr>
                <w:color w:val="auto"/>
              </w:rPr>
            </w:pPr>
            <w:r>
              <w:rPr>
                <w:color w:val="auto"/>
              </w:rPr>
              <w:t>19</w:t>
            </w:r>
          </w:p>
        </w:tc>
        <w:tc>
          <w:tcPr>
            <w:tcW w:w="1990" w:type="dxa"/>
            <w:vMerge w:val="continue"/>
            <w:tcBorders>
              <w:tl2br w:val="nil"/>
              <w:tr2bl w:val="nil"/>
            </w:tcBorders>
            <w:tcMar>
              <w:top w:w="15" w:type="dxa"/>
              <w:left w:w="15" w:type="dxa"/>
              <w:right w:w="15" w:type="dxa"/>
            </w:tcMar>
            <w:vAlign w:val="center"/>
          </w:tcPr>
          <w:p w14:paraId="088F9A7B">
            <w:pPr>
              <w:pStyle w:val="44"/>
              <w:rPr>
                <w:color w:val="auto"/>
              </w:rPr>
            </w:pPr>
          </w:p>
        </w:tc>
      </w:tr>
    </w:tbl>
    <w:p w14:paraId="5C82D726">
      <w:pPr>
        <w:ind w:firstLine="482"/>
        <w:rPr>
          <w:b/>
          <w:bCs/>
          <w:color w:val="auto"/>
        </w:rPr>
      </w:pPr>
      <w:r>
        <w:rPr>
          <w:b/>
          <w:bCs/>
          <w:color w:val="auto"/>
        </w:rPr>
        <w:t>（2）生活节水潜力</w:t>
      </w:r>
    </w:p>
    <w:p w14:paraId="554F6C24">
      <w:pPr>
        <w:tabs>
          <w:tab w:val="left" w:pos="7820"/>
        </w:tabs>
        <w:ind w:firstLine="480"/>
        <w:rPr>
          <w:color w:val="auto"/>
        </w:rPr>
      </w:pPr>
      <w:r>
        <w:rPr>
          <w:color w:val="auto"/>
        </w:rPr>
        <w:t>随着生活水平提高，生活综合用水（包括城乡生活、建筑业和服务业）定额普遍呈现增加趋势。生活用水定额的变化是生活用水正常需求增加与采取节水措施减少共同作用的结果，因此，单从生活用水定额的变化不能全面反映节水的作用。通过节水工程措施如新建、改造供水管网等能够有效降低管网漏损率，从而降低生活用水量，本次主要根据管网漏损率的变化来分析生活用水的节水潜力。</w:t>
      </w:r>
    </w:p>
    <w:p w14:paraId="765EFDD3">
      <w:pPr>
        <w:tabs>
          <w:tab w:val="left" w:pos="7820"/>
        </w:tabs>
        <w:ind w:firstLine="480"/>
        <w:rPr>
          <w:b/>
          <w:color w:val="auto"/>
        </w:rPr>
      </w:pPr>
      <w:r>
        <w:rPr>
          <w:color w:val="auto"/>
        </w:rPr>
        <w:t>根据《节水型社会建设规划编制导则》，生活节水潜力采用下式计算：</w:t>
      </w:r>
    </w:p>
    <w:p w14:paraId="096BB5F7">
      <w:pPr>
        <w:tabs>
          <w:tab w:val="left" w:pos="7820"/>
        </w:tabs>
        <w:ind w:firstLine="0" w:firstLineChars="0"/>
        <w:jc w:val="center"/>
        <w:rPr>
          <w:color w:val="auto"/>
        </w:rPr>
      </w:pPr>
      <w:r>
        <w:rPr>
          <w:color w:val="auto"/>
        </w:rPr>
        <w:t>dW</w:t>
      </w:r>
      <w:r>
        <w:rPr>
          <w:color w:val="auto"/>
          <w:vertAlign w:val="subscript"/>
        </w:rPr>
        <w:t>gw</w:t>
      </w:r>
      <w:r>
        <w:rPr>
          <w:color w:val="auto"/>
        </w:rPr>
        <w:t>=W</w:t>
      </w:r>
      <w:r>
        <w:rPr>
          <w:color w:val="auto"/>
          <w:vertAlign w:val="subscript"/>
        </w:rPr>
        <w:t>gw0</w:t>
      </w:r>
      <w:r>
        <w:rPr>
          <w:color w:val="auto"/>
        </w:rPr>
        <w:t>-W</w:t>
      </w:r>
      <w:r>
        <w:rPr>
          <w:color w:val="auto"/>
          <w:vertAlign w:val="subscript"/>
        </w:rPr>
        <w:t>gw0</w:t>
      </w:r>
      <w:r>
        <w:rPr>
          <w:color w:val="auto"/>
        </w:rPr>
        <w:t>×（1－η</w:t>
      </w:r>
      <w:r>
        <w:rPr>
          <w:color w:val="auto"/>
          <w:vertAlign w:val="subscript"/>
        </w:rPr>
        <w:t>0</w:t>
      </w:r>
      <w:r>
        <w:rPr>
          <w:color w:val="auto"/>
        </w:rPr>
        <w:t>）/（1－η</w:t>
      </w:r>
      <w:r>
        <w:rPr>
          <w:color w:val="auto"/>
          <w:vertAlign w:val="subscript"/>
        </w:rPr>
        <w:t>t</w:t>
      </w:r>
      <w:r>
        <w:rPr>
          <w:color w:val="auto"/>
        </w:rPr>
        <w:t>）</w:t>
      </w:r>
    </w:p>
    <w:p w14:paraId="76D90A76">
      <w:pPr>
        <w:ind w:firstLine="480"/>
        <w:rPr>
          <w:color w:val="auto"/>
          <w:szCs w:val="24"/>
        </w:rPr>
      </w:pPr>
      <w:r>
        <w:rPr>
          <w:color w:val="auto"/>
          <w:szCs w:val="24"/>
        </w:rPr>
        <w:t>式中：</w:t>
      </w:r>
      <w:r>
        <w:rPr>
          <w:color w:val="auto"/>
        </w:rPr>
        <w:t>dW</w:t>
      </w:r>
      <w:r>
        <w:rPr>
          <w:color w:val="auto"/>
          <w:vertAlign w:val="subscript"/>
        </w:rPr>
        <w:t>gw</w:t>
      </w:r>
      <w:r>
        <w:rPr>
          <w:color w:val="auto"/>
          <w:szCs w:val="24"/>
        </w:rPr>
        <w:t>——生活节水潜力（万m³）；</w:t>
      </w:r>
    </w:p>
    <w:p w14:paraId="271A441D">
      <w:pPr>
        <w:ind w:firstLine="1200" w:firstLineChars="500"/>
        <w:rPr>
          <w:color w:val="auto"/>
          <w:szCs w:val="24"/>
        </w:rPr>
      </w:pPr>
      <w:r>
        <w:rPr>
          <w:color w:val="auto"/>
        </w:rPr>
        <w:t>W</w:t>
      </w:r>
      <w:r>
        <w:rPr>
          <w:color w:val="auto"/>
          <w:vertAlign w:val="subscript"/>
        </w:rPr>
        <w:t>gw0</w:t>
      </w:r>
      <w:r>
        <w:rPr>
          <w:color w:val="auto"/>
          <w:szCs w:val="24"/>
        </w:rPr>
        <w:t>——</w:t>
      </w:r>
      <w:r>
        <w:rPr>
          <w:color w:val="auto"/>
        </w:rPr>
        <w:t>自来水厂供出的生活用水量</w:t>
      </w:r>
      <w:r>
        <w:rPr>
          <w:color w:val="auto"/>
          <w:szCs w:val="24"/>
        </w:rPr>
        <w:t>（万m³）；</w:t>
      </w:r>
    </w:p>
    <w:p w14:paraId="05BD61CC">
      <w:pPr>
        <w:ind w:firstLine="1200" w:firstLineChars="500"/>
        <w:rPr>
          <w:color w:val="auto"/>
          <w:szCs w:val="24"/>
        </w:rPr>
      </w:pPr>
      <w:r>
        <w:rPr>
          <w:color w:val="auto"/>
        </w:rPr>
        <w:t>η</w:t>
      </w:r>
      <w:r>
        <w:rPr>
          <w:color w:val="auto"/>
          <w:vertAlign w:val="subscript"/>
        </w:rPr>
        <w:t>0</w:t>
      </w:r>
      <w:r>
        <w:rPr>
          <w:color w:val="auto"/>
          <w:szCs w:val="24"/>
        </w:rPr>
        <w:t>——现状年</w:t>
      </w:r>
      <w:r>
        <w:rPr>
          <w:color w:val="auto"/>
        </w:rPr>
        <w:t>供水管网漏失率</w:t>
      </w:r>
      <w:r>
        <w:rPr>
          <w:color w:val="auto"/>
          <w:szCs w:val="24"/>
        </w:rPr>
        <w:t>；</w:t>
      </w:r>
    </w:p>
    <w:p w14:paraId="49CF12AF">
      <w:pPr>
        <w:ind w:firstLine="1200" w:firstLineChars="500"/>
        <w:rPr>
          <w:color w:val="auto"/>
          <w:szCs w:val="24"/>
        </w:rPr>
      </w:pPr>
      <w:r>
        <w:rPr>
          <w:color w:val="auto"/>
        </w:rPr>
        <w:t>η</w:t>
      </w:r>
      <w:r>
        <w:rPr>
          <w:color w:val="auto"/>
          <w:vertAlign w:val="subscript"/>
        </w:rPr>
        <w:t>t</w:t>
      </w:r>
      <w:r>
        <w:rPr>
          <w:color w:val="auto"/>
          <w:szCs w:val="24"/>
        </w:rPr>
        <w:t>——规划年</w:t>
      </w:r>
      <w:r>
        <w:rPr>
          <w:color w:val="auto"/>
        </w:rPr>
        <w:t>供水管网漏失率</w:t>
      </w:r>
      <w:r>
        <w:rPr>
          <w:color w:val="auto"/>
          <w:szCs w:val="24"/>
        </w:rPr>
        <w:t>。</w:t>
      </w:r>
    </w:p>
    <w:p w14:paraId="4CCAD017">
      <w:pPr>
        <w:tabs>
          <w:tab w:val="left" w:pos="7820"/>
        </w:tabs>
        <w:ind w:firstLine="480"/>
        <w:rPr>
          <w:color w:val="auto"/>
        </w:rPr>
      </w:pPr>
      <w:r>
        <w:rPr>
          <w:color w:val="auto"/>
        </w:rPr>
        <w:t>根据九龙工业园区统计数据，评价区现状生活用水量为2654.01</w:t>
      </w:r>
      <w:r>
        <w:rPr>
          <w:color w:val="auto"/>
          <w:szCs w:val="24"/>
        </w:rPr>
        <w:t>万m³</w:t>
      </w:r>
      <w:r>
        <w:rPr>
          <w:color w:val="auto"/>
        </w:rPr>
        <w:t>，供水管网漏失率为9.95%。根据《重庆市九龙坡区“十四五”节约用水规划》，2025年末城镇公共供水管网漏损率控制在9%以内。由此计算得生活年节水量为25.21万m³。</w:t>
      </w:r>
    </w:p>
    <w:p w14:paraId="69109EB4">
      <w:pPr>
        <w:tabs>
          <w:tab w:val="left" w:pos="7820"/>
        </w:tabs>
        <w:ind w:firstLine="480"/>
        <w:rPr>
          <w:color w:val="auto"/>
        </w:rPr>
      </w:pPr>
      <w:r>
        <w:rPr>
          <w:color w:val="auto"/>
        </w:rPr>
        <w:t>评价区工业节水潜力计算成果见表5.1-3。</w:t>
      </w:r>
    </w:p>
    <w:p w14:paraId="50A1898D">
      <w:pPr>
        <w:pStyle w:val="43"/>
        <w:rPr>
          <w:color w:val="auto"/>
        </w:rPr>
      </w:pPr>
      <w:r>
        <w:rPr>
          <w:color w:val="auto"/>
        </w:rPr>
        <w:t>表5.1-3                 评价区生活节水潜力计算成果表</w:t>
      </w:r>
    </w:p>
    <w:tbl>
      <w:tblPr>
        <w:tblStyle w:val="21"/>
        <w:tblW w:w="89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61"/>
        <w:gridCol w:w="3560"/>
        <w:gridCol w:w="2115"/>
        <w:gridCol w:w="1991"/>
      </w:tblGrid>
      <w:tr w14:paraId="60D5F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1" w:type="dxa"/>
            <w:tcBorders>
              <w:tl2br w:val="nil"/>
              <w:tr2bl w:val="nil"/>
            </w:tcBorders>
            <w:tcMar>
              <w:top w:w="15" w:type="dxa"/>
              <w:left w:w="15" w:type="dxa"/>
              <w:right w:w="15" w:type="dxa"/>
            </w:tcMar>
            <w:vAlign w:val="center"/>
          </w:tcPr>
          <w:p w14:paraId="73BF493F">
            <w:pPr>
              <w:pStyle w:val="44"/>
              <w:rPr>
                <w:color w:val="auto"/>
              </w:rPr>
            </w:pPr>
            <w:r>
              <w:rPr>
                <w:color w:val="auto"/>
              </w:rPr>
              <w:t>水平年</w:t>
            </w:r>
          </w:p>
        </w:tc>
        <w:tc>
          <w:tcPr>
            <w:tcW w:w="3560" w:type="dxa"/>
            <w:tcBorders>
              <w:tl2br w:val="nil"/>
              <w:tr2bl w:val="nil"/>
            </w:tcBorders>
            <w:tcMar>
              <w:top w:w="15" w:type="dxa"/>
              <w:left w:w="15" w:type="dxa"/>
              <w:right w:w="15" w:type="dxa"/>
            </w:tcMar>
            <w:vAlign w:val="center"/>
          </w:tcPr>
          <w:p w14:paraId="260F40D4">
            <w:pPr>
              <w:pStyle w:val="44"/>
              <w:rPr>
                <w:color w:val="auto"/>
              </w:rPr>
            </w:pPr>
            <w:r>
              <w:rPr>
                <w:color w:val="auto"/>
              </w:rPr>
              <w:t>自来水厂供出的生活用水量（</w:t>
            </w:r>
            <w:r>
              <w:rPr>
                <w:color w:val="auto"/>
                <w:sz w:val="24"/>
                <w:szCs w:val="24"/>
              </w:rPr>
              <w:t>万m³</w:t>
            </w:r>
            <w:r>
              <w:rPr>
                <w:color w:val="auto"/>
              </w:rPr>
              <w:t>）</w:t>
            </w:r>
          </w:p>
        </w:tc>
        <w:tc>
          <w:tcPr>
            <w:tcW w:w="2115" w:type="dxa"/>
            <w:tcBorders>
              <w:tl2br w:val="nil"/>
              <w:tr2bl w:val="nil"/>
            </w:tcBorders>
            <w:tcMar>
              <w:top w:w="15" w:type="dxa"/>
              <w:left w:w="15" w:type="dxa"/>
              <w:right w:w="15" w:type="dxa"/>
            </w:tcMar>
            <w:vAlign w:val="center"/>
          </w:tcPr>
          <w:p w14:paraId="06CE2F37">
            <w:pPr>
              <w:pStyle w:val="44"/>
              <w:rPr>
                <w:color w:val="auto"/>
              </w:rPr>
            </w:pPr>
            <w:r>
              <w:rPr>
                <w:color w:val="auto"/>
              </w:rPr>
              <w:t>供水管网漏失率（%）</w:t>
            </w:r>
          </w:p>
        </w:tc>
        <w:tc>
          <w:tcPr>
            <w:tcW w:w="1991" w:type="dxa"/>
            <w:tcBorders>
              <w:tl2br w:val="nil"/>
              <w:tr2bl w:val="nil"/>
            </w:tcBorders>
            <w:tcMar>
              <w:top w:w="15" w:type="dxa"/>
              <w:left w:w="15" w:type="dxa"/>
              <w:right w:w="15" w:type="dxa"/>
            </w:tcMar>
            <w:vAlign w:val="center"/>
          </w:tcPr>
          <w:p w14:paraId="2A7C7134">
            <w:pPr>
              <w:pStyle w:val="44"/>
              <w:rPr>
                <w:color w:val="auto"/>
              </w:rPr>
            </w:pPr>
            <w:r>
              <w:rPr>
                <w:color w:val="auto"/>
              </w:rPr>
              <w:t>年节水量（万m³）</w:t>
            </w:r>
          </w:p>
        </w:tc>
      </w:tr>
      <w:tr w14:paraId="2284BD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61" w:type="dxa"/>
            <w:tcBorders>
              <w:tl2br w:val="nil"/>
              <w:tr2bl w:val="nil"/>
            </w:tcBorders>
            <w:tcMar>
              <w:top w:w="15" w:type="dxa"/>
              <w:left w:w="15" w:type="dxa"/>
              <w:right w:w="15" w:type="dxa"/>
            </w:tcMar>
            <w:vAlign w:val="center"/>
          </w:tcPr>
          <w:p w14:paraId="5F5FC707">
            <w:pPr>
              <w:pStyle w:val="44"/>
              <w:rPr>
                <w:color w:val="auto"/>
              </w:rPr>
            </w:pPr>
            <w:r>
              <w:rPr>
                <w:color w:val="auto"/>
              </w:rPr>
              <w:t>现状年</w:t>
            </w:r>
          </w:p>
        </w:tc>
        <w:tc>
          <w:tcPr>
            <w:tcW w:w="3560" w:type="dxa"/>
            <w:vMerge w:val="restart"/>
            <w:tcBorders>
              <w:tl2br w:val="nil"/>
              <w:tr2bl w:val="nil"/>
            </w:tcBorders>
            <w:tcMar>
              <w:top w:w="15" w:type="dxa"/>
              <w:left w:w="15" w:type="dxa"/>
              <w:right w:w="15" w:type="dxa"/>
            </w:tcMar>
            <w:vAlign w:val="center"/>
          </w:tcPr>
          <w:p w14:paraId="4E75A425">
            <w:pPr>
              <w:pStyle w:val="44"/>
              <w:rPr>
                <w:color w:val="auto"/>
              </w:rPr>
            </w:pPr>
            <w:r>
              <w:rPr>
                <w:color w:val="auto"/>
              </w:rPr>
              <w:t>2654.01</w:t>
            </w:r>
          </w:p>
        </w:tc>
        <w:tc>
          <w:tcPr>
            <w:tcW w:w="2115" w:type="dxa"/>
            <w:tcBorders>
              <w:tl2br w:val="nil"/>
              <w:tr2bl w:val="nil"/>
            </w:tcBorders>
            <w:tcMar>
              <w:top w:w="15" w:type="dxa"/>
              <w:left w:w="15" w:type="dxa"/>
              <w:right w:w="15" w:type="dxa"/>
            </w:tcMar>
            <w:vAlign w:val="center"/>
          </w:tcPr>
          <w:p w14:paraId="42C0132D">
            <w:pPr>
              <w:pStyle w:val="44"/>
              <w:rPr>
                <w:color w:val="auto"/>
              </w:rPr>
            </w:pPr>
            <w:r>
              <w:rPr>
                <w:color w:val="auto"/>
              </w:rPr>
              <w:t>9.95</w:t>
            </w:r>
          </w:p>
        </w:tc>
        <w:tc>
          <w:tcPr>
            <w:tcW w:w="1991" w:type="dxa"/>
            <w:vMerge w:val="restart"/>
            <w:tcBorders>
              <w:tl2br w:val="nil"/>
              <w:tr2bl w:val="nil"/>
            </w:tcBorders>
            <w:tcMar>
              <w:top w:w="15" w:type="dxa"/>
              <w:left w:w="15" w:type="dxa"/>
              <w:right w:w="15" w:type="dxa"/>
            </w:tcMar>
            <w:vAlign w:val="center"/>
          </w:tcPr>
          <w:p w14:paraId="6070594E">
            <w:pPr>
              <w:pStyle w:val="44"/>
              <w:rPr>
                <w:color w:val="auto"/>
              </w:rPr>
            </w:pPr>
            <w:r>
              <w:rPr>
                <w:color w:val="auto"/>
              </w:rPr>
              <w:t>25.21</w:t>
            </w:r>
          </w:p>
        </w:tc>
      </w:tr>
      <w:tr w14:paraId="14C7E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61" w:type="dxa"/>
            <w:tcBorders>
              <w:tl2br w:val="nil"/>
              <w:tr2bl w:val="nil"/>
            </w:tcBorders>
            <w:tcMar>
              <w:top w:w="15" w:type="dxa"/>
              <w:left w:w="15" w:type="dxa"/>
              <w:right w:w="15" w:type="dxa"/>
            </w:tcMar>
            <w:vAlign w:val="center"/>
          </w:tcPr>
          <w:p w14:paraId="4B82AF01">
            <w:pPr>
              <w:pStyle w:val="44"/>
              <w:rPr>
                <w:color w:val="auto"/>
              </w:rPr>
            </w:pPr>
            <w:r>
              <w:rPr>
                <w:color w:val="auto"/>
              </w:rPr>
              <w:t>规划年</w:t>
            </w:r>
          </w:p>
        </w:tc>
        <w:tc>
          <w:tcPr>
            <w:tcW w:w="3560" w:type="dxa"/>
            <w:vMerge w:val="continue"/>
            <w:tcBorders>
              <w:tl2br w:val="nil"/>
              <w:tr2bl w:val="nil"/>
            </w:tcBorders>
            <w:tcMar>
              <w:top w:w="15" w:type="dxa"/>
              <w:left w:w="15" w:type="dxa"/>
              <w:right w:w="15" w:type="dxa"/>
            </w:tcMar>
            <w:vAlign w:val="center"/>
          </w:tcPr>
          <w:p w14:paraId="7C43A2CF">
            <w:pPr>
              <w:pStyle w:val="44"/>
              <w:rPr>
                <w:color w:val="auto"/>
              </w:rPr>
            </w:pPr>
          </w:p>
        </w:tc>
        <w:tc>
          <w:tcPr>
            <w:tcW w:w="2115" w:type="dxa"/>
            <w:tcBorders>
              <w:tl2br w:val="nil"/>
              <w:tr2bl w:val="nil"/>
            </w:tcBorders>
            <w:tcMar>
              <w:top w:w="15" w:type="dxa"/>
              <w:left w:w="15" w:type="dxa"/>
              <w:right w:w="15" w:type="dxa"/>
            </w:tcMar>
            <w:vAlign w:val="center"/>
          </w:tcPr>
          <w:p w14:paraId="0B0B4F3A">
            <w:pPr>
              <w:pStyle w:val="44"/>
              <w:rPr>
                <w:color w:val="auto"/>
              </w:rPr>
            </w:pPr>
            <w:r>
              <w:rPr>
                <w:color w:val="auto"/>
              </w:rPr>
              <w:t>9.00</w:t>
            </w:r>
          </w:p>
        </w:tc>
        <w:tc>
          <w:tcPr>
            <w:tcW w:w="1991" w:type="dxa"/>
            <w:vMerge w:val="continue"/>
            <w:tcBorders>
              <w:tl2br w:val="nil"/>
              <w:tr2bl w:val="nil"/>
            </w:tcBorders>
            <w:tcMar>
              <w:top w:w="15" w:type="dxa"/>
              <w:left w:w="15" w:type="dxa"/>
              <w:right w:w="15" w:type="dxa"/>
            </w:tcMar>
            <w:vAlign w:val="center"/>
          </w:tcPr>
          <w:p w14:paraId="27330B11">
            <w:pPr>
              <w:pStyle w:val="44"/>
              <w:rPr>
                <w:color w:val="auto"/>
              </w:rPr>
            </w:pPr>
          </w:p>
        </w:tc>
      </w:tr>
    </w:tbl>
    <w:p w14:paraId="55BF6D1F">
      <w:pPr>
        <w:ind w:firstLine="482"/>
        <w:rPr>
          <w:b/>
          <w:bCs/>
          <w:color w:val="auto"/>
        </w:rPr>
      </w:pPr>
      <w:r>
        <w:rPr>
          <w:b/>
          <w:bCs/>
          <w:color w:val="auto"/>
        </w:rPr>
        <w:t>（3）总节水潜力</w:t>
      </w:r>
    </w:p>
    <w:p w14:paraId="63BEF14F">
      <w:pPr>
        <w:ind w:firstLine="480"/>
        <w:rPr>
          <w:color w:val="auto"/>
        </w:rPr>
      </w:pPr>
      <w:r>
        <w:rPr>
          <w:color w:val="auto"/>
        </w:rPr>
        <w:t>评价区总节水潜力由工业节水潜力和生活节水潜力两部分组成。预计在规划年节水水平情况下，总节水潜力为93.01万m³，其中工业节水潜力为67.80万m³，生活节水潜力为25.21万m³，分别占总节水潜力的72.90%和27.10%。</w:t>
      </w:r>
    </w:p>
    <w:p w14:paraId="53CA6862">
      <w:pPr>
        <w:pStyle w:val="43"/>
        <w:rPr>
          <w:color w:val="auto"/>
        </w:rPr>
      </w:pPr>
      <w:r>
        <w:rPr>
          <w:color w:val="auto"/>
        </w:rPr>
        <w:t>表5.1-4                  评价区总节水潜力计算成果表</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572"/>
        <w:gridCol w:w="2116"/>
        <w:gridCol w:w="2116"/>
        <w:gridCol w:w="2123"/>
      </w:tblGrid>
      <w:tr w14:paraId="0DED5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0" w:type="pct"/>
            <w:tcBorders>
              <w:tl2br w:val="nil"/>
              <w:tr2bl w:val="nil"/>
            </w:tcBorders>
            <w:tcMar>
              <w:top w:w="15" w:type="dxa"/>
              <w:left w:w="15" w:type="dxa"/>
              <w:right w:w="15" w:type="dxa"/>
            </w:tcMar>
            <w:vAlign w:val="center"/>
          </w:tcPr>
          <w:p w14:paraId="3F7D432D">
            <w:pPr>
              <w:pStyle w:val="44"/>
              <w:rPr>
                <w:color w:val="auto"/>
              </w:rPr>
            </w:pPr>
            <w:r>
              <w:rPr>
                <w:color w:val="auto"/>
              </w:rPr>
              <w:t>行业类别</w:t>
            </w:r>
          </w:p>
        </w:tc>
        <w:tc>
          <w:tcPr>
            <w:tcW w:w="1185" w:type="pct"/>
            <w:tcBorders>
              <w:tl2br w:val="nil"/>
              <w:tr2bl w:val="nil"/>
            </w:tcBorders>
            <w:tcMar>
              <w:top w:w="15" w:type="dxa"/>
              <w:left w:w="15" w:type="dxa"/>
              <w:right w:w="15" w:type="dxa"/>
            </w:tcMar>
            <w:vAlign w:val="center"/>
          </w:tcPr>
          <w:p w14:paraId="2C831FBC">
            <w:pPr>
              <w:pStyle w:val="44"/>
              <w:rPr>
                <w:color w:val="auto"/>
              </w:rPr>
            </w:pPr>
            <w:r>
              <w:rPr>
                <w:color w:val="auto"/>
              </w:rPr>
              <w:t>工业</w:t>
            </w:r>
          </w:p>
        </w:tc>
        <w:tc>
          <w:tcPr>
            <w:tcW w:w="1185" w:type="pct"/>
            <w:tcBorders>
              <w:tl2br w:val="nil"/>
              <w:tr2bl w:val="nil"/>
            </w:tcBorders>
            <w:tcMar>
              <w:top w:w="15" w:type="dxa"/>
              <w:left w:w="15" w:type="dxa"/>
              <w:right w:w="15" w:type="dxa"/>
            </w:tcMar>
            <w:vAlign w:val="center"/>
          </w:tcPr>
          <w:p w14:paraId="6F4FD91A">
            <w:pPr>
              <w:pStyle w:val="44"/>
              <w:rPr>
                <w:color w:val="auto"/>
              </w:rPr>
            </w:pPr>
            <w:r>
              <w:rPr>
                <w:color w:val="auto"/>
              </w:rPr>
              <w:t>生活</w:t>
            </w:r>
          </w:p>
        </w:tc>
        <w:tc>
          <w:tcPr>
            <w:tcW w:w="1189" w:type="pct"/>
            <w:tcBorders>
              <w:tl2br w:val="nil"/>
              <w:tr2bl w:val="nil"/>
            </w:tcBorders>
            <w:tcMar>
              <w:top w:w="15" w:type="dxa"/>
              <w:left w:w="15" w:type="dxa"/>
              <w:right w:w="15" w:type="dxa"/>
            </w:tcMar>
            <w:vAlign w:val="center"/>
          </w:tcPr>
          <w:p w14:paraId="3F1D4B23">
            <w:pPr>
              <w:pStyle w:val="44"/>
              <w:rPr>
                <w:color w:val="auto"/>
              </w:rPr>
            </w:pPr>
            <w:r>
              <w:rPr>
                <w:color w:val="auto"/>
              </w:rPr>
              <w:t>合计</w:t>
            </w:r>
          </w:p>
        </w:tc>
      </w:tr>
      <w:tr w14:paraId="05FD38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40" w:type="pct"/>
            <w:tcBorders>
              <w:tl2br w:val="nil"/>
              <w:tr2bl w:val="nil"/>
            </w:tcBorders>
            <w:tcMar>
              <w:top w:w="15" w:type="dxa"/>
              <w:left w:w="15" w:type="dxa"/>
              <w:right w:w="15" w:type="dxa"/>
            </w:tcMar>
            <w:vAlign w:val="center"/>
          </w:tcPr>
          <w:p w14:paraId="5D60DD36">
            <w:pPr>
              <w:pStyle w:val="44"/>
              <w:rPr>
                <w:color w:val="auto"/>
              </w:rPr>
            </w:pPr>
            <w:r>
              <w:rPr>
                <w:color w:val="auto"/>
              </w:rPr>
              <w:t>年节水量（万m³）</w:t>
            </w:r>
          </w:p>
        </w:tc>
        <w:tc>
          <w:tcPr>
            <w:tcW w:w="1185" w:type="pct"/>
            <w:tcBorders>
              <w:tl2br w:val="nil"/>
              <w:tr2bl w:val="nil"/>
            </w:tcBorders>
            <w:tcMar>
              <w:top w:w="15" w:type="dxa"/>
              <w:left w:w="15" w:type="dxa"/>
              <w:right w:w="15" w:type="dxa"/>
            </w:tcMar>
            <w:vAlign w:val="center"/>
          </w:tcPr>
          <w:p w14:paraId="17FEB836">
            <w:pPr>
              <w:pStyle w:val="44"/>
              <w:rPr>
                <w:color w:val="auto"/>
              </w:rPr>
            </w:pPr>
            <w:r>
              <w:rPr>
                <w:color w:val="auto"/>
              </w:rPr>
              <w:t>67.80</w:t>
            </w:r>
          </w:p>
        </w:tc>
        <w:tc>
          <w:tcPr>
            <w:tcW w:w="1185" w:type="pct"/>
            <w:tcBorders>
              <w:tl2br w:val="nil"/>
              <w:tr2bl w:val="nil"/>
            </w:tcBorders>
            <w:tcMar>
              <w:top w:w="15" w:type="dxa"/>
              <w:left w:w="15" w:type="dxa"/>
              <w:right w:w="15" w:type="dxa"/>
            </w:tcMar>
            <w:vAlign w:val="center"/>
          </w:tcPr>
          <w:p w14:paraId="4D61848B">
            <w:pPr>
              <w:pStyle w:val="44"/>
              <w:rPr>
                <w:color w:val="auto"/>
              </w:rPr>
            </w:pPr>
            <w:r>
              <w:rPr>
                <w:color w:val="auto"/>
              </w:rPr>
              <w:t>25.21</w:t>
            </w:r>
          </w:p>
        </w:tc>
        <w:tc>
          <w:tcPr>
            <w:tcW w:w="1189" w:type="pct"/>
            <w:tcBorders>
              <w:tl2br w:val="nil"/>
              <w:tr2bl w:val="nil"/>
            </w:tcBorders>
            <w:tcMar>
              <w:top w:w="15" w:type="dxa"/>
              <w:left w:w="15" w:type="dxa"/>
              <w:right w:w="15" w:type="dxa"/>
            </w:tcMar>
            <w:vAlign w:val="center"/>
          </w:tcPr>
          <w:p w14:paraId="0F19FD0B">
            <w:pPr>
              <w:pStyle w:val="44"/>
              <w:rPr>
                <w:color w:val="auto"/>
              </w:rPr>
            </w:pPr>
            <w:r>
              <w:rPr>
                <w:color w:val="auto"/>
              </w:rPr>
              <w:t>93.0</w:t>
            </w:r>
          </w:p>
        </w:tc>
      </w:tr>
      <w:tr w14:paraId="4BB64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40" w:type="pct"/>
            <w:tcBorders>
              <w:tl2br w:val="nil"/>
              <w:tr2bl w:val="nil"/>
            </w:tcBorders>
            <w:tcMar>
              <w:top w:w="15" w:type="dxa"/>
              <w:left w:w="15" w:type="dxa"/>
              <w:right w:w="15" w:type="dxa"/>
            </w:tcMar>
            <w:vAlign w:val="center"/>
          </w:tcPr>
          <w:p w14:paraId="4B05B434">
            <w:pPr>
              <w:pStyle w:val="44"/>
              <w:rPr>
                <w:color w:val="auto"/>
              </w:rPr>
            </w:pPr>
            <w:r>
              <w:rPr>
                <w:color w:val="auto"/>
              </w:rPr>
              <w:t>所占比例（%）</w:t>
            </w:r>
          </w:p>
        </w:tc>
        <w:tc>
          <w:tcPr>
            <w:tcW w:w="1185" w:type="pct"/>
            <w:tcBorders>
              <w:tl2br w:val="nil"/>
              <w:tr2bl w:val="nil"/>
            </w:tcBorders>
            <w:tcMar>
              <w:top w:w="15" w:type="dxa"/>
              <w:left w:w="15" w:type="dxa"/>
              <w:right w:w="15" w:type="dxa"/>
            </w:tcMar>
            <w:vAlign w:val="center"/>
          </w:tcPr>
          <w:p w14:paraId="21453B83">
            <w:pPr>
              <w:pStyle w:val="44"/>
              <w:rPr>
                <w:color w:val="auto"/>
              </w:rPr>
            </w:pPr>
            <w:r>
              <w:rPr>
                <w:color w:val="auto"/>
              </w:rPr>
              <w:t>72.90</w:t>
            </w:r>
          </w:p>
        </w:tc>
        <w:tc>
          <w:tcPr>
            <w:tcW w:w="1185" w:type="pct"/>
            <w:tcBorders>
              <w:tl2br w:val="nil"/>
              <w:tr2bl w:val="nil"/>
            </w:tcBorders>
            <w:tcMar>
              <w:top w:w="15" w:type="dxa"/>
              <w:left w:w="15" w:type="dxa"/>
              <w:right w:w="15" w:type="dxa"/>
            </w:tcMar>
            <w:vAlign w:val="center"/>
          </w:tcPr>
          <w:p w14:paraId="35514323">
            <w:pPr>
              <w:pStyle w:val="44"/>
              <w:rPr>
                <w:color w:val="auto"/>
              </w:rPr>
            </w:pPr>
            <w:r>
              <w:rPr>
                <w:color w:val="auto"/>
              </w:rPr>
              <w:t>27.10</w:t>
            </w:r>
          </w:p>
        </w:tc>
        <w:tc>
          <w:tcPr>
            <w:tcW w:w="1189" w:type="pct"/>
            <w:tcBorders>
              <w:tl2br w:val="nil"/>
              <w:tr2bl w:val="nil"/>
            </w:tcBorders>
            <w:tcMar>
              <w:top w:w="15" w:type="dxa"/>
              <w:left w:w="15" w:type="dxa"/>
              <w:right w:w="15" w:type="dxa"/>
            </w:tcMar>
            <w:vAlign w:val="center"/>
          </w:tcPr>
          <w:p w14:paraId="39CD6C8C">
            <w:pPr>
              <w:pStyle w:val="44"/>
              <w:rPr>
                <w:color w:val="auto"/>
              </w:rPr>
            </w:pPr>
            <w:r>
              <w:rPr>
                <w:color w:val="auto"/>
              </w:rPr>
              <w:t>100</w:t>
            </w:r>
          </w:p>
        </w:tc>
      </w:tr>
    </w:tbl>
    <w:p w14:paraId="3D6D016E">
      <w:pPr>
        <w:ind w:firstLine="480"/>
        <w:rPr>
          <w:color w:val="auto"/>
        </w:rPr>
      </w:pPr>
      <w:r>
        <w:rPr>
          <w:color w:val="auto"/>
        </w:rPr>
        <w:t>综上，与国内外先进地区相比，评价区现状总体用水水平不高，用水效率仍然较低，节水潜力较大。非常规水源利用总量较小，且结构单一，主要为中水回用，用途主要用于城市园林绿化浇灌、市街冲洗用水，其他非常规水源利用不足。</w:t>
      </w:r>
    </w:p>
    <w:p w14:paraId="4C131E88">
      <w:pPr>
        <w:pStyle w:val="5"/>
        <w:numPr>
          <w:ilvl w:val="0"/>
          <w:numId w:val="0"/>
        </w:numPr>
        <w:spacing w:before="166" w:after="166"/>
        <w:rPr>
          <w:color w:val="auto"/>
        </w:rPr>
      </w:pPr>
      <w:r>
        <w:rPr>
          <w:color w:val="auto"/>
        </w:rPr>
        <w:t>5.1.4现状节水存在的主要问题</w:t>
      </w:r>
    </w:p>
    <w:p w14:paraId="49F2BE9A">
      <w:pPr>
        <w:ind w:firstLine="482"/>
        <w:rPr>
          <w:b/>
          <w:bCs/>
          <w:color w:val="auto"/>
          <w:szCs w:val="24"/>
        </w:rPr>
      </w:pPr>
      <w:r>
        <w:rPr>
          <w:b/>
          <w:bCs/>
          <w:color w:val="auto"/>
          <w:szCs w:val="24"/>
        </w:rPr>
        <w:t>（1）节水设施与节水技术推广力度不足</w:t>
      </w:r>
    </w:p>
    <w:p w14:paraId="54337F50">
      <w:pPr>
        <w:ind w:firstLine="480"/>
        <w:rPr>
          <w:color w:val="auto"/>
          <w:szCs w:val="24"/>
        </w:rPr>
      </w:pPr>
      <w:r>
        <w:rPr>
          <w:color w:val="auto"/>
          <w:szCs w:val="24"/>
        </w:rPr>
        <w:t>节水设施、节水器具的推广范围较窄，主要集中在生活节水，但节水推广的强度不够，目前仅仅是点上改造，面上推广开展力度尚不够；节水技术的研发相对滞后，众多节水环节的瓶颈尚未得到很好地解决，限制了节水设施的进一步推广。</w:t>
      </w:r>
    </w:p>
    <w:p w14:paraId="0DB10A42">
      <w:pPr>
        <w:ind w:firstLine="482"/>
        <w:rPr>
          <w:b/>
          <w:bCs/>
          <w:color w:val="auto"/>
          <w:szCs w:val="24"/>
        </w:rPr>
      </w:pPr>
      <w:r>
        <w:rPr>
          <w:b/>
          <w:bCs/>
          <w:color w:val="auto"/>
          <w:szCs w:val="24"/>
        </w:rPr>
        <w:t>（2）非常规水资源利用率较低</w:t>
      </w:r>
    </w:p>
    <w:p w14:paraId="70F01F5D">
      <w:pPr>
        <w:ind w:firstLine="480"/>
        <w:rPr>
          <w:color w:val="auto"/>
          <w:szCs w:val="24"/>
        </w:rPr>
      </w:pPr>
      <w:r>
        <w:rPr>
          <w:color w:val="auto"/>
          <w:szCs w:val="24"/>
        </w:rPr>
        <w:t>评价区当地地表水资源相对较少，过境水丰富，长久以来形成了以地表水资源为主的水资源开发利用方式，用户对于发展再生水和雨水等非常规水资源利用的意愿不强，且再生水需配套建设独立管网，雨水利用需分散建设收集调蓄设施，一次性投资及后续维护成本较高，造成非常规水资源利用受阻。</w:t>
      </w:r>
    </w:p>
    <w:p w14:paraId="1CFF4977">
      <w:pPr>
        <w:ind w:firstLine="482"/>
        <w:rPr>
          <w:b/>
          <w:bCs/>
          <w:color w:val="auto"/>
          <w:szCs w:val="24"/>
        </w:rPr>
      </w:pPr>
      <w:r>
        <w:rPr>
          <w:b/>
          <w:bCs/>
          <w:color w:val="auto"/>
          <w:szCs w:val="24"/>
        </w:rPr>
        <w:t>（3）节水监管能力还需加强</w:t>
      </w:r>
    </w:p>
    <w:p w14:paraId="30FC4644">
      <w:pPr>
        <w:ind w:firstLine="480"/>
        <w:rPr>
          <w:color w:val="auto"/>
          <w:szCs w:val="24"/>
        </w:rPr>
      </w:pPr>
      <w:r>
        <w:rPr>
          <w:color w:val="auto"/>
          <w:szCs w:val="24"/>
        </w:rPr>
        <w:t>评价区取用水计量与监控能力不足，节水产品和设施质量良莠不齐，市场监管薄弱。目前仍存在“多龙管水”的局面，难以形成水资源统一高效管理的格局。节水监督机制未建立，缺乏有效约束力，节水社会服务体系尚未形成。</w:t>
      </w:r>
    </w:p>
    <w:p w14:paraId="7BE87B33">
      <w:pPr>
        <w:ind w:firstLine="482"/>
        <w:rPr>
          <w:b/>
          <w:bCs/>
          <w:color w:val="auto"/>
          <w:szCs w:val="24"/>
        </w:rPr>
      </w:pPr>
      <w:r>
        <w:rPr>
          <w:b/>
          <w:bCs/>
          <w:color w:val="auto"/>
          <w:szCs w:val="24"/>
        </w:rPr>
        <w:t>（4）节水理念意识还不强</w:t>
      </w:r>
    </w:p>
    <w:p w14:paraId="10EB72E4">
      <w:pPr>
        <w:ind w:firstLine="480"/>
        <w:rPr>
          <w:color w:val="auto"/>
          <w:szCs w:val="24"/>
        </w:rPr>
      </w:pPr>
      <w:r>
        <w:rPr>
          <w:color w:val="auto"/>
          <w:szCs w:val="24"/>
        </w:rPr>
        <w:t>工业企业、社会公众对本地区水情认识仍存在不足，重开源轻节约的惯性做法尚未根本转变，尚未充分理解节水减排的意义，主动节水意识差，节水器具推广普及有阻力，用水效率仍然低下，节水宣传仍需进一步加强。</w:t>
      </w:r>
    </w:p>
    <w:p w14:paraId="6BC1E769">
      <w:pPr>
        <w:pStyle w:val="4"/>
        <w:numPr>
          <w:ilvl w:val="1"/>
          <w:numId w:val="0"/>
        </w:numPr>
        <w:spacing w:before="166" w:after="166"/>
        <w:rPr>
          <w:color w:val="auto"/>
        </w:rPr>
      </w:pPr>
      <w:bookmarkStart w:id="56" w:name="_Toc21360"/>
      <w:r>
        <w:rPr>
          <w:color w:val="auto"/>
        </w:rPr>
        <w:t>5.2节水目标与指标评价</w:t>
      </w:r>
      <w:bookmarkEnd w:id="56"/>
    </w:p>
    <w:p w14:paraId="611CEE31">
      <w:pPr>
        <w:pStyle w:val="5"/>
        <w:numPr>
          <w:ilvl w:val="0"/>
          <w:numId w:val="0"/>
        </w:numPr>
        <w:spacing w:before="166" w:after="166"/>
        <w:rPr>
          <w:color w:val="auto"/>
        </w:rPr>
      </w:pPr>
      <w:r>
        <w:rPr>
          <w:color w:val="auto"/>
        </w:rPr>
        <w:t>5.2.1节水目标评价</w:t>
      </w:r>
    </w:p>
    <w:p w14:paraId="16039DE4">
      <w:pPr>
        <w:ind w:firstLine="480"/>
        <w:rPr>
          <w:color w:val="auto"/>
        </w:rPr>
      </w:pPr>
      <w:r>
        <w:rPr>
          <w:color w:val="auto"/>
        </w:rPr>
        <w:t>坚持以水定城、以水定地、以水定人、以水定产、以水定需、因水制宜、量水而行的原则，把水资源作为经济社会发展的最大刚性约束，严格实行总量、强度双控，强化节水约束性指标管理，加强重点领域节水，推进工业节水减排，加强城镇节水降损，开展水效领跑者引领行动、合同节水管理、创建节水型示范单位等，全面提升全民节水意识。到2025年，节水型生产和生活方式基本建立，非常规水利用规模有所增大，用水效率和效益显著提高，全社会节水意识明显增强。</w:t>
      </w:r>
    </w:p>
    <w:p w14:paraId="35D29F56">
      <w:pPr>
        <w:pStyle w:val="5"/>
        <w:numPr>
          <w:ilvl w:val="0"/>
          <w:numId w:val="0"/>
        </w:numPr>
        <w:spacing w:before="166" w:after="166"/>
        <w:rPr>
          <w:color w:val="auto"/>
        </w:rPr>
      </w:pPr>
      <w:r>
        <w:rPr>
          <w:color w:val="auto"/>
        </w:rPr>
        <w:t>5.2.2节水指标评价</w:t>
      </w:r>
    </w:p>
    <w:p w14:paraId="0CFC06C5">
      <w:pPr>
        <w:ind w:firstLine="480"/>
        <w:rPr>
          <w:color w:val="auto"/>
        </w:rPr>
      </w:pPr>
      <w:r>
        <w:rPr>
          <w:color w:val="auto"/>
        </w:rPr>
        <w:t>本次根据《重庆市九龙坡区“十四五”节约用水规划》，结合九龙工业园区现状及发展规划，提出总体节水指标、工业节水指标和生活节水指标。</w:t>
      </w:r>
    </w:p>
    <w:p w14:paraId="72805717">
      <w:pPr>
        <w:ind w:firstLine="482"/>
        <w:rPr>
          <w:b/>
          <w:bCs/>
          <w:color w:val="auto"/>
        </w:rPr>
      </w:pPr>
      <w:r>
        <w:rPr>
          <w:b/>
          <w:bCs/>
          <w:color w:val="auto"/>
        </w:rPr>
        <w:t>（1）总体节水指标</w:t>
      </w:r>
    </w:p>
    <w:p w14:paraId="03FF5251">
      <w:pPr>
        <w:ind w:firstLine="480"/>
        <w:rPr>
          <w:color w:val="auto"/>
        </w:rPr>
      </w:pPr>
      <w:r>
        <w:rPr>
          <w:color w:val="auto"/>
        </w:rPr>
        <w:t>2025年末，九龙工业园区用水总量控制在3685.95万m³以内，万元GDP用水量较2020年下降</w:t>
      </w:r>
      <w:r>
        <w:rPr>
          <w:rFonts w:hint="eastAsia"/>
          <w:color w:val="auto"/>
        </w:rPr>
        <w:t>1</w:t>
      </w:r>
      <w:r>
        <w:rPr>
          <w:color w:val="auto"/>
        </w:rPr>
        <w:t>%，其中万元工业增加值用水量较2020年下降5%，</w:t>
      </w:r>
      <w:r>
        <w:rPr>
          <w:color w:val="auto"/>
          <w:szCs w:val="24"/>
        </w:rPr>
        <w:t>工业企业、社会公众节水意识明显提升，</w:t>
      </w:r>
      <w:r>
        <w:rPr>
          <w:color w:val="auto"/>
        </w:rPr>
        <w:t>节水型社会建设取得显著成效。</w:t>
      </w:r>
    </w:p>
    <w:p w14:paraId="5C673A3D">
      <w:pPr>
        <w:ind w:firstLine="482"/>
        <w:rPr>
          <w:b/>
          <w:bCs/>
          <w:color w:val="auto"/>
        </w:rPr>
      </w:pPr>
      <w:r>
        <w:rPr>
          <w:b/>
          <w:bCs/>
          <w:color w:val="auto"/>
        </w:rPr>
        <w:t>（2）工业节水指标</w:t>
      </w:r>
    </w:p>
    <w:p w14:paraId="19533A61">
      <w:pPr>
        <w:ind w:firstLine="480"/>
        <w:rPr>
          <w:color w:val="auto"/>
        </w:rPr>
      </w:pPr>
      <w:r>
        <w:rPr>
          <w:color w:val="auto"/>
        </w:rPr>
        <w:t>工业节水以提高水的利用效率与效益为核心，以降低耗水定额和提高水重复利用率为关键，以高耗水行业为重点，以建立节水型工业为目标，以企业为主体，加大以节水为重点的产业结构调整和技术改造力度，强化工业节水管理。拟定到2025年末，规模以上工业水循环利用率稳定在90%以上，工业用水计量率达到100%，重点行业年用水量10万吨以上企业节水型企业建成率保持100%。</w:t>
      </w:r>
    </w:p>
    <w:p w14:paraId="3A7789CF">
      <w:pPr>
        <w:ind w:firstLine="482"/>
        <w:rPr>
          <w:b/>
          <w:bCs/>
          <w:color w:val="auto"/>
        </w:rPr>
      </w:pPr>
      <w:r>
        <w:rPr>
          <w:b/>
          <w:bCs/>
          <w:color w:val="auto"/>
        </w:rPr>
        <w:t>（3）生活节水指标</w:t>
      </w:r>
    </w:p>
    <w:p w14:paraId="629AA0C6">
      <w:pPr>
        <w:ind w:firstLine="480"/>
        <w:rPr>
          <w:color w:val="auto"/>
        </w:rPr>
      </w:pPr>
      <w:r>
        <w:rPr>
          <w:color w:val="auto"/>
        </w:rPr>
        <w:t>生活节水以降低城镇公共供水管网漏损率、提高节水器具普及率为关键，强化城镇用水管理，以用水计量和定额供水为重点，初步建立起城镇生活节水体系框架，建立合理的水价形成机制，控制人均综合生活用水量过快增长。拟定到2025年末，城镇公共供水管网漏损率控制在9%以内，新建小区节水器具普及率100%。</w:t>
      </w:r>
    </w:p>
    <w:p w14:paraId="55D5610D">
      <w:pPr>
        <w:ind w:firstLine="480"/>
        <w:rPr>
          <w:color w:val="auto"/>
        </w:rPr>
      </w:pPr>
      <w:r>
        <w:rPr>
          <w:color w:val="auto"/>
        </w:rPr>
        <w:t>九龙坡区直管区域节水主要指标见表5.2-1。</w:t>
      </w:r>
    </w:p>
    <w:p w14:paraId="0049E2D5">
      <w:pPr>
        <w:pStyle w:val="43"/>
        <w:rPr>
          <w:color w:val="auto"/>
        </w:rPr>
      </w:pPr>
      <w:r>
        <w:rPr>
          <w:color w:val="auto"/>
        </w:rPr>
        <w:t>表5.2-1                九龙坡区直管区域节水主要指标表</w:t>
      </w:r>
    </w:p>
    <w:tbl>
      <w:tblPr>
        <w:tblStyle w:val="21"/>
        <w:tblW w:w="89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19"/>
        <w:gridCol w:w="679"/>
        <w:gridCol w:w="855"/>
        <w:gridCol w:w="3169"/>
        <w:gridCol w:w="884"/>
        <w:gridCol w:w="884"/>
        <w:gridCol w:w="884"/>
        <w:gridCol w:w="884"/>
      </w:tblGrid>
      <w:tr w14:paraId="1E059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98" w:type="dxa"/>
            <w:gridSpan w:val="2"/>
            <w:tcBorders>
              <w:tl2br w:val="nil"/>
              <w:tr2bl w:val="nil"/>
            </w:tcBorders>
            <w:vAlign w:val="center"/>
          </w:tcPr>
          <w:p w14:paraId="17635450">
            <w:pPr>
              <w:pStyle w:val="44"/>
              <w:rPr>
                <w:color w:val="auto"/>
              </w:rPr>
            </w:pPr>
            <w:r>
              <w:rPr>
                <w:color w:val="auto"/>
              </w:rPr>
              <w:t>目标类型</w:t>
            </w:r>
          </w:p>
        </w:tc>
        <w:tc>
          <w:tcPr>
            <w:tcW w:w="855" w:type="dxa"/>
            <w:tcBorders>
              <w:tl2br w:val="nil"/>
              <w:tr2bl w:val="nil"/>
            </w:tcBorders>
            <w:vAlign w:val="center"/>
          </w:tcPr>
          <w:p w14:paraId="7CF06771">
            <w:pPr>
              <w:pStyle w:val="44"/>
              <w:rPr>
                <w:color w:val="auto"/>
              </w:rPr>
            </w:pPr>
            <w:r>
              <w:rPr>
                <w:color w:val="auto"/>
              </w:rPr>
              <w:t>序号</w:t>
            </w:r>
          </w:p>
        </w:tc>
        <w:tc>
          <w:tcPr>
            <w:tcW w:w="3169" w:type="dxa"/>
            <w:tcBorders>
              <w:tl2br w:val="nil"/>
              <w:tr2bl w:val="nil"/>
            </w:tcBorders>
            <w:vAlign w:val="center"/>
          </w:tcPr>
          <w:p w14:paraId="670FCF8D">
            <w:pPr>
              <w:pStyle w:val="44"/>
              <w:rPr>
                <w:color w:val="auto"/>
              </w:rPr>
            </w:pPr>
            <w:r>
              <w:rPr>
                <w:color w:val="auto"/>
              </w:rPr>
              <w:t>指标名称</w:t>
            </w:r>
          </w:p>
        </w:tc>
        <w:tc>
          <w:tcPr>
            <w:tcW w:w="884" w:type="dxa"/>
            <w:tcBorders>
              <w:tl2br w:val="nil"/>
              <w:tr2bl w:val="nil"/>
            </w:tcBorders>
            <w:vAlign w:val="center"/>
          </w:tcPr>
          <w:p w14:paraId="6EE20C74">
            <w:pPr>
              <w:pStyle w:val="44"/>
              <w:rPr>
                <w:color w:val="auto"/>
              </w:rPr>
            </w:pPr>
            <w:r>
              <w:rPr>
                <w:color w:val="auto"/>
              </w:rPr>
              <w:t>单位</w:t>
            </w:r>
          </w:p>
        </w:tc>
        <w:tc>
          <w:tcPr>
            <w:tcW w:w="884" w:type="dxa"/>
            <w:tcBorders>
              <w:tl2br w:val="nil"/>
              <w:tr2bl w:val="nil"/>
            </w:tcBorders>
            <w:vAlign w:val="center"/>
          </w:tcPr>
          <w:p w14:paraId="40BEFC84">
            <w:pPr>
              <w:pStyle w:val="44"/>
              <w:rPr>
                <w:color w:val="auto"/>
              </w:rPr>
            </w:pPr>
            <w:r>
              <w:rPr>
                <w:color w:val="auto"/>
              </w:rPr>
              <w:t>现状年</w:t>
            </w:r>
          </w:p>
        </w:tc>
        <w:tc>
          <w:tcPr>
            <w:tcW w:w="884" w:type="dxa"/>
            <w:tcBorders>
              <w:tl2br w:val="nil"/>
              <w:tr2bl w:val="nil"/>
            </w:tcBorders>
            <w:vAlign w:val="center"/>
          </w:tcPr>
          <w:p w14:paraId="64515993">
            <w:pPr>
              <w:pStyle w:val="44"/>
              <w:rPr>
                <w:color w:val="auto"/>
              </w:rPr>
            </w:pPr>
            <w:r>
              <w:rPr>
                <w:color w:val="auto"/>
              </w:rPr>
              <w:t>规划年</w:t>
            </w:r>
          </w:p>
        </w:tc>
        <w:tc>
          <w:tcPr>
            <w:tcW w:w="884" w:type="dxa"/>
            <w:tcBorders>
              <w:tl2br w:val="nil"/>
              <w:tr2bl w:val="nil"/>
            </w:tcBorders>
            <w:vAlign w:val="center"/>
          </w:tcPr>
          <w:p w14:paraId="419CB78B">
            <w:pPr>
              <w:pStyle w:val="44"/>
              <w:rPr>
                <w:color w:val="auto"/>
              </w:rPr>
            </w:pPr>
            <w:r>
              <w:rPr>
                <w:color w:val="auto"/>
              </w:rPr>
              <w:t>指标</w:t>
            </w:r>
          </w:p>
          <w:p w14:paraId="791B72C4">
            <w:pPr>
              <w:pStyle w:val="44"/>
              <w:rPr>
                <w:color w:val="auto"/>
              </w:rPr>
            </w:pPr>
            <w:r>
              <w:rPr>
                <w:color w:val="auto"/>
              </w:rPr>
              <w:t>属性</w:t>
            </w:r>
          </w:p>
        </w:tc>
      </w:tr>
      <w:tr w14:paraId="01620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8" w:type="dxa"/>
            <w:gridSpan w:val="2"/>
            <w:vMerge w:val="restart"/>
            <w:tcBorders>
              <w:tl2br w:val="nil"/>
              <w:tr2bl w:val="nil"/>
            </w:tcBorders>
            <w:vAlign w:val="center"/>
          </w:tcPr>
          <w:p w14:paraId="25E6F0D2">
            <w:pPr>
              <w:pStyle w:val="44"/>
              <w:rPr>
                <w:color w:val="auto"/>
              </w:rPr>
            </w:pPr>
            <w:r>
              <w:rPr>
                <w:color w:val="auto"/>
              </w:rPr>
              <w:t>总体目标</w:t>
            </w:r>
          </w:p>
        </w:tc>
        <w:tc>
          <w:tcPr>
            <w:tcW w:w="855" w:type="dxa"/>
            <w:tcBorders>
              <w:tl2br w:val="nil"/>
              <w:tr2bl w:val="nil"/>
            </w:tcBorders>
            <w:vAlign w:val="center"/>
          </w:tcPr>
          <w:p w14:paraId="4C98D3C8">
            <w:pPr>
              <w:pStyle w:val="44"/>
              <w:rPr>
                <w:color w:val="auto"/>
              </w:rPr>
            </w:pPr>
            <w:r>
              <w:rPr>
                <w:color w:val="auto"/>
              </w:rPr>
              <w:t>1</w:t>
            </w:r>
          </w:p>
        </w:tc>
        <w:tc>
          <w:tcPr>
            <w:tcW w:w="3169" w:type="dxa"/>
            <w:tcBorders>
              <w:tl2br w:val="nil"/>
              <w:tr2bl w:val="nil"/>
            </w:tcBorders>
            <w:vAlign w:val="center"/>
          </w:tcPr>
          <w:p w14:paraId="279C4D3C">
            <w:pPr>
              <w:pStyle w:val="44"/>
              <w:rPr>
                <w:color w:val="auto"/>
              </w:rPr>
            </w:pPr>
            <w:r>
              <w:rPr>
                <w:color w:val="auto"/>
              </w:rPr>
              <w:t>用水总量</w:t>
            </w:r>
          </w:p>
        </w:tc>
        <w:tc>
          <w:tcPr>
            <w:tcW w:w="884" w:type="dxa"/>
            <w:tcBorders>
              <w:tl2br w:val="nil"/>
              <w:tr2bl w:val="nil"/>
            </w:tcBorders>
            <w:vAlign w:val="center"/>
          </w:tcPr>
          <w:p w14:paraId="580D1659">
            <w:pPr>
              <w:pStyle w:val="44"/>
              <w:rPr>
                <w:color w:val="auto"/>
              </w:rPr>
            </w:pPr>
            <w:r>
              <w:rPr>
                <w:color w:val="auto"/>
              </w:rPr>
              <w:t>万m³</w:t>
            </w:r>
          </w:p>
        </w:tc>
        <w:tc>
          <w:tcPr>
            <w:tcW w:w="884" w:type="dxa"/>
            <w:tcBorders>
              <w:tl2br w:val="nil"/>
              <w:tr2bl w:val="nil"/>
            </w:tcBorders>
            <w:vAlign w:val="center"/>
          </w:tcPr>
          <w:p w14:paraId="1E9A55C5">
            <w:pPr>
              <w:pStyle w:val="44"/>
              <w:rPr>
                <w:color w:val="auto"/>
              </w:rPr>
            </w:pPr>
            <w:r>
              <w:rPr>
                <w:color w:val="auto"/>
              </w:rPr>
              <w:t>2654.01</w:t>
            </w:r>
          </w:p>
        </w:tc>
        <w:tc>
          <w:tcPr>
            <w:tcW w:w="884" w:type="dxa"/>
            <w:tcBorders>
              <w:tl2br w:val="nil"/>
              <w:tr2bl w:val="nil"/>
            </w:tcBorders>
            <w:vAlign w:val="center"/>
          </w:tcPr>
          <w:p w14:paraId="2FEC0BB2">
            <w:pPr>
              <w:pStyle w:val="44"/>
              <w:rPr>
                <w:color w:val="auto"/>
              </w:rPr>
            </w:pPr>
            <w:r>
              <w:rPr>
                <w:color w:val="auto"/>
              </w:rPr>
              <w:t>3685.95</w:t>
            </w:r>
          </w:p>
        </w:tc>
        <w:tc>
          <w:tcPr>
            <w:tcW w:w="884" w:type="dxa"/>
            <w:tcBorders>
              <w:tl2br w:val="nil"/>
              <w:tr2bl w:val="nil"/>
            </w:tcBorders>
            <w:vAlign w:val="center"/>
          </w:tcPr>
          <w:p w14:paraId="2B78F327">
            <w:pPr>
              <w:pStyle w:val="44"/>
              <w:rPr>
                <w:color w:val="auto"/>
              </w:rPr>
            </w:pPr>
            <w:r>
              <w:rPr>
                <w:color w:val="auto"/>
              </w:rPr>
              <w:t>约束性</w:t>
            </w:r>
          </w:p>
        </w:tc>
      </w:tr>
      <w:tr w14:paraId="4CA81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8" w:type="dxa"/>
            <w:gridSpan w:val="2"/>
            <w:vMerge w:val="continue"/>
            <w:tcBorders>
              <w:tl2br w:val="nil"/>
              <w:tr2bl w:val="nil"/>
            </w:tcBorders>
            <w:vAlign w:val="center"/>
          </w:tcPr>
          <w:p w14:paraId="291785F1">
            <w:pPr>
              <w:pStyle w:val="44"/>
              <w:rPr>
                <w:color w:val="auto"/>
              </w:rPr>
            </w:pPr>
          </w:p>
        </w:tc>
        <w:tc>
          <w:tcPr>
            <w:tcW w:w="855" w:type="dxa"/>
            <w:tcBorders>
              <w:tl2br w:val="nil"/>
              <w:tr2bl w:val="nil"/>
            </w:tcBorders>
            <w:vAlign w:val="center"/>
          </w:tcPr>
          <w:p w14:paraId="7C41FE97">
            <w:pPr>
              <w:pStyle w:val="44"/>
              <w:rPr>
                <w:color w:val="auto"/>
              </w:rPr>
            </w:pPr>
            <w:r>
              <w:rPr>
                <w:color w:val="auto"/>
              </w:rPr>
              <w:t>2</w:t>
            </w:r>
          </w:p>
        </w:tc>
        <w:tc>
          <w:tcPr>
            <w:tcW w:w="3169" w:type="dxa"/>
            <w:tcBorders>
              <w:tl2br w:val="nil"/>
              <w:tr2bl w:val="nil"/>
            </w:tcBorders>
            <w:vAlign w:val="center"/>
          </w:tcPr>
          <w:p w14:paraId="6D29A20F">
            <w:pPr>
              <w:pStyle w:val="44"/>
              <w:rPr>
                <w:color w:val="auto"/>
              </w:rPr>
            </w:pPr>
            <w:r>
              <w:rPr>
                <w:color w:val="auto"/>
              </w:rPr>
              <w:t>万元GDP用水量较2020年下降</w:t>
            </w:r>
          </w:p>
        </w:tc>
        <w:tc>
          <w:tcPr>
            <w:tcW w:w="884" w:type="dxa"/>
            <w:tcBorders>
              <w:tl2br w:val="nil"/>
              <w:tr2bl w:val="nil"/>
            </w:tcBorders>
            <w:vAlign w:val="center"/>
          </w:tcPr>
          <w:p w14:paraId="11E322E5">
            <w:pPr>
              <w:pStyle w:val="44"/>
              <w:rPr>
                <w:color w:val="auto"/>
              </w:rPr>
            </w:pPr>
            <w:r>
              <w:rPr>
                <w:color w:val="auto"/>
              </w:rPr>
              <w:t>%</w:t>
            </w:r>
          </w:p>
        </w:tc>
        <w:tc>
          <w:tcPr>
            <w:tcW w:w="884" w:type="dxa"/>
            <w:tcBorders>
              <w:tl2br w:val="nil"/>
              <w:tr2bl w:val="nil"/>
            </w:tcBorders>
            <w:vAlign w:val="center"/>
          </w:tcPr>
          <w:p w14:paraId="33E51F52">
            <w:pPr>
              <w:pStyle w:val="44"/>
              <w:rPr>
                <w:color w:val="auto"/>
              </w:rPr>
            </w:pPr>
            <w:r>
              <w:rPr>
                <w:color w:val="auto"/>
              </w:rPr>
              <w:t>-</w:t>
            </w:r>
          </w:p>
        </w:tc>
        <w:tc>
          <w:tcPr>
            <w:tcW w:w="884" w:type="dxa"/>
            <w:tcBorders>
              <w:tl2br w:val="nil"/>
              <w:tr2bl w:val="nil"/>
            </w:tcBorders>
            <w:vAlign w:val="center"/>
          </w:tcPr>
          <w:p w14:paraId="002E15C4">
            <w:pPr>
              <w:pStyle w:val="44"/>
              <w:rPr>
                <w:color w:val="auto"/>
              </w:rPr>
            </w:pPr>
            <w:r>
              <w:rPr>
                <w:rFonts w:hint="eastAsia"/>
                <w:color w:val="auto"/>
              </w:rPr>
              <w:t>1</w:t>
            </w:r>
          </w:p>
        </w:tc>
        <w:tc>
          <w:tcPr>
            <w:tcW w:w="884" w:type="dxa"/>
            <w:tcBorders>
              <w:tl2br w:val="nil"/>
              <w:tr2bl w:val="nil"/>
            </w:tcBorders>
            <w:vAlign w:val="center"/>
          </w:tcPr>
          <w:p w14:paraId="15D2BA94">
            <w:pPr>
              <w:pStyle w:val="44"/>
              <w:rPr>
                <w:color w:val="auto"/>
              </w:rPr>
            </w:pPr>
            <w:r>
              <w:rPr>
                <w:color w:val="auto"/>
              </w:rPr>
              <w:t>约束性</w:t>
            </w:r>
          </w:p>
        </w:tc>
      </w:tr>
      <w:tr w14:paraId="44B55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8" w:type="dxa"/>
            <w:gridSpan w:val="2"/>
            <w:vMerge w:val="continue"/>
            <w:tcBorders>
              <w:tl2br w:val="nil"/>
              <w:tr2bl w:val="nil"/>
            </w:tcBorders>
            <w:vAlign w:val="center"/>
          </w:tcPr>
          <w:p w14:paraId="24B2E29A">
            <w:pPr>
              <w:pStyle w:val="44"/>
              <w:rPr>
                <w:color w:val="auto"/>
              </w:rPr>
            </w:pPr>
          </w:p>
        </w:tc>
        <w:tc>
          <w:tcPr>
            <w:tcW w:w="855" w:type="dxa"/>
            <w:tcBorders>
              <w:tl2br w:val="nil"/>
              <w:tr2bl w:val="nil"/>
            </w:tcBorders>
            <w:vAlign w:val="center"/>
          </w:tcPr>
          <w:p w14:paraId="314E5F32">
            <w:pPr>
              <w:pStyle w:val="44"/>
              <w:rPr>
                <w:color w:val="auto"/>
              </w:rPr>
            </w:pPr>
            <w:r>
              <w:rPr>
                <w:color w:val="auto"/>
              </w:rPr>
              <w:t>3</w:t>
            </w:r>
          </w:p>
        </w:tc>
        <w:tc>
          <w:tcPr>
            <w:tcW w:w="3169" w:type="dxa"/>
            <w:tcBorders>
              <w:tl2br w:val="nil"/>
              <w:tr2bl w:val="nil"/>
            </w:tcBorders>
            <w:vAlign w:val="center"/>
          </w:tcPr>
          <w:p w14:paraId="788DFAB6">
            <w:pPr>
              <w:pStyle w:val="44"/>
              <w:rPr>
                <w:color w:val="auto"/>
              </w:rPr>
            </w:pPr>
            <w:r>
              <w:rPr>
                <w:color w:val="auto"/>
              </w:rPr>
              <w:t>万元工业增加值用水量较2020年下降</w:t>
            </w:r>
          </w:p>
        </w:tc>
        <w:tc>
          <w:tcPr>
            <w:tcW w:w="884" w:type="dxa"/>
            <w:tcBorders>
              <w:tl2br w:val="nil"/>
              <w:tr2bl w:val="nil"/>
            </w:tcBorders>
            <w:vAlign w:val="center"/>
          </w:tcPr>
          <w:p w14:paraId="394D3460">
            <w:pPr>
              <w:pStyle w:val="44"/>
              <w:rPr>
                <w:color w:val="auto"/>
              </w:rPr>
            </w:pPr>
            <w:r>
              <w:rPr>
                <w:color w:val="auto"/>
              </w:rPr>
              <w:t>%</w:t>
            </w:r>
          </w:p>
        </w:tc>
        <w:tc>
          <w:tcPr>
            <w:tcW w:w="884" w:type="dxa"/>
            <w:tcBorders>
              <w:tl2br w:val="nil"/>
              <w:tr2bl w:val="nil"/>
            </w:tcBorders>
            <w:vAlign w:val="center"/>
          </w:tcPr>
          <w:p w14:paraId="1C8C0D9C">
            <w:pPr>
              <w:pStyle w:val="44"/>
              <w:rPr>
                <w:color w:val="auto"/>
              </w:rPr>
            </w:pPr>
            <w:r>
              <w:rPr>
                <w:color w:val="auto"/>
              </w:rPr>
              <w:t>-</w:t>
            </w:r>
          </w:p>
        </w:tc>
        <w:tc>
          <w:tcPr>
            <w:tcW w:w="884" w:type="dxa"/>
            <w:tcBorders>
              <w:tl2br w:val="nil"/>
              <w:tr2bl w:val="nil"/>
            </w:tcBorders>
            <w:vAlign w:val="center"/>
          </w:tcPr>
          <w:p w14:paraId="03B433D0">
            <w:pPr>
              <w:pStyle w:val="44"/>
              <w:rPr>
                <w:color w:val="auto"/>
              </w:rPr>
            </w:pPr>
            <w:r>
              <w:rPr>
                <w:color w:val="auto"/>
              </w:rPr>
              <w:t>5</w:t>
            </w:r>
          </w:p>
        </w:tc>
        <w:tc>
          <w:tcPr>
            <w:tcW w:w="884" w:type="dxa"/>
            <w:tcBorders>
              <w:tl2br w:val="nil"/>
              <w:tr2bl w:val="nil"/>
            </w:tcBorders>
            <w:vAlign w:val="center"/>
          </w:tcPr>
          <w:p w14:paraId="076D8E40">
            <w:pPr>
              <w:pStyle w:val="44"/>
              <w:rPr>
                <w:color w:val="auto"/>
              </w:rPr>
            </w:pPr>
            <w:r>
              <w:rPr>
                <w:color w:val="auto"/>
              </w:rPr>
              <w:t>约束性</w:t>
            </w:r>
          </w:p>
        </w:tc>
      </w:tr>
      <w:tr w14:paraId="1306F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9" w:type="dxa"/>
            <w:vMerge w:val="restart"/>
            <w:tcBorders>
              <w:tl2br w:val="nil"/>
              <w:tr2bl w:val="nil"/>
            </w:tcBorders>
            <w:vAlign w:val="center"/>
          </w:tcPr>
          <w:p w14:paraId="6ADEEAA8">
            <w:pPr>
              <w:pStyle w:val="44"/>
              <w:rPr>
                <w:color w:val="auto"/>
              </w:rPr>
            </w:pPr>
            <w:r>
              <w:rPr>
                <w:color w:val="auto"/>
              </w:rPr>
              <w:t>分领域目标</w:t>
            </w:r>
          </w:p>
        </w:tc>
        <w:tc>
          <w:tcPr>
            <w:tcW w:w="679" w:type="dxa"/>
            <w:vMerge w:val="restart"/>
            <w:tcBorders>
              <w:tl2br w:val="nil"/>
              <w:tr2bl w:val="nil"/>
            </w:tcBorders>
            <w:vAlign w:val="center"/>
          </w:tcPr>
          <w:p w14:paraId="08AA5D86">
            <w:pPr>
              <w:pStyle w:val="44"/>
              <w:rPr>
                <w:color w:val="auto"/>
              </w:rPr>
            </w:pPr>
            <w:r>
              <w:rPr>
                <w:color w:val="auto"/>
              </w:rPr>
              <w:t>工业</w:t>
            </w:r>
          </w:p>
        </w:tc>
        <w:tc>
          <w:tcPr>
            <w:tcW w:w="855" w:type="dxa"/>
            <w:tcBorders>
              <w:tl2br w:val="nil"/>
              <w:tr2bl w:val="nil"/>
            </w:tcBorders>
            <w:vAlign w:val="center"/>
          </w:tcPr>
          <w:p w14:paraId="2559430A">
            <w:pPr>
              <w:pStyle w:val="44"/>
              <w:rPr>
                <w:color w:val="auto"/>
                <w:spacing w:val="-6"/>
              </w:rPr>
            </w:pPr>
            <w:r>
              <w:rPr>
                <w:color w:val="auto"/>
              </w:rPr>
              <w:t>4</w:t>
            </w:r>
          </w:p>
        </w:tc>
        <w:tc>
          <w:tcPr>
            <w:tcW w:w="3169" w:type="dxa"/>
            <w:tcBorders>
              <w:tl2br w:val="nil"/>
              <w:tr2bl w:val="nil"/>
            </w:tcBorders>
            <w:vAlign w:val="center"/>
          </w:tcPr>
          <w:p w14:paraId="517D50C8">
            <w:pPr>
              <w:pStyle w:val="44"/>
              <w:rPr>
                <w:color w:val="auto"/>
                <w:spacing w:val="-6"/>
              </w:rPr>
            </w:pPr>
            <w:r>
              <w:rPr>
                <w:color w:val="auto"/>
              </w:rPr>
              <w:t>规模以上工业水循环利用率</w:t>
            </w:r>
          </w:p>
        </w:tc>
        <w:tc>
          <w:tcPr>
            <w:tcW w:w="884" w:type="dxa"/>
            <w:tcBorders>
              <w:tl2br w:val="nil"/>
              <w:tr2bl w:val="nil"/>
            </w:tcBorders>
            <w:vAlign w:val="center"/>
          </w:tcPr>
          <w:p w14:paraId="480B6953">
            <w:pPr>
              <w:pStyle w:val="44"/>
              <w:rPr>
                <w:color w:val="auto"/>
                <w:spacing w:val="-6"/>
              </w:rPr>
            </w:pPr>
            <w:r>
              <w:rPr>
                <w:color w:val="auto"/>
              </w:rPr>
              <w:t>%</w:t>
            </w:r>
          </w:p>
        </w:tc>
        <w:tc>
          <w:tcPr>
            <w:tcW w:w="884" w:type="dxa"/>
            <w:tcBorders>
              <w:tl2br w:val="nil"/>
              <w:tr2bl w:val="nil"/>
            </w:tcBorders>
            <w:vAlign w:val="center"/>
          </w:tcPr>
          <w:p w14:paraId="73829F90">
            <w:pPr>
              <w:pStyle w:val="44"/>
              <w:rPr>
                <w:color w:val="auto"/>
                <w:spacing w:val="-6"/>
              </w:rPr>
            </w:pPr>
            <w:r>
              <w:rPr>
                <w:color w:val="auto"/>
              </w:rPr>
              <w:t>90.51</w:t>
            </w:r>
          </w:p>
        </w:tc>
        <w:tc>
          <w:tcPr>
            <w:tcW w:w="884" w:type="dxa"/>
            <w:tcBorders>
              <w:tl2br w:val="nil"/>
              <w:tr2bl w:val="nil"/>
            </w:tcBorders>
            <w:vAlign w:val="center"/>
          </w:tcPr>
          <w:p w14:paraId="7869E75E">
            <w:pPr>
              <w:pStyle w:val="44"/>
              <w:rPr>
                <w:color w:val="auto"/>
                <w:spacing w:val="-6"/>
              </w:rPr>
            </w:pPr>
            <w:r>
              <w:rPr>
                <w:color w:val="auto"/>
              </w:rPr>
              <w:t>≥90</w:t>
            </w:r>
          </w:p>
        </w:tc>
        <w:tc>
          <w:tcPr>
            <w:tcW w:w="884" w:type="dxa"/>
            <w:tcBorders>
              <w:tl2br w:val="nil"/>
              <w:tr2bl w:val="nil"/>
            </w:tcBorders>
            <w:vAlign w:val="center"/>
          </w:tcPr>
          <w:p w14:paraId="4FA10611">
            <w:pPr>
              <w:pStyle w:val="44"/>
              <w:rPr>
                <w:color w:val="auto"/>
                <w:spacing w:val="-6"/>
              </w:rPr>
            </w:pPr>
            <w:r>
              <w:rPr>
                <w:color w:val="auto"/>
              </w:rPr>
              <w:t>预期性</w:t>
            </w:r>
          </w:p>
        </w:tc>
      </w:tr>
      <w:tr w14:paraId="0BC3A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9" w:type="dxa"/>
            <w:vMerge w:val="continue"/>
            <w:tcBorders>
              <w:tl2br w:val="nil"/>
              <w:tr2bl w:val="nil"/>
            </w:tcBorders>
            <w:vAlign w:val="center"/>
          </w:tcPr>
          <w:p w14:paraId="1D120769">
            <w:pPr>
              <w:pStyle w:val="44"/>
              <w:rPr>
                <w:color w:val="auto"/>
              </w:rPr>
            </w:pPr>
          </w:p>
        </w:tc>
        <w:tc>
          <w:tcPr>
            <w:tcW w:w="679" w:type="dxa"/>
            <w:vMerge w:val="continue"/>
            <w:tcBorders>
              <w:tl2br w:val="nil"/>
              <w:tr2bl w:val="nil"/>
            </w:tcBorders>
            <w:vAlign w:val="center"/>
          </w:tcPr>
          <w:p w14:paraId="09A200EF">
            <w:pPr>
              <w:pStyle w:val="44"/>
              <w:rPr>
                <w:color w:val="auto"/>
              </w:rPr>
            </w:pPr>
          </w:p>
        </w:tc>
        <w:tc>
          <w:tcPr>
            <w:tcW w:w="855" w:type="dxa"/>
            <w:tcBorders>
              <w:tl2br w:val="nil"/>
              <w:tr2bl w:val="nil"/>
            </w:tcBorders>
            <w:vAlign w:val="center"/>
          </w:tcPr>
          <w:p w14:paraId="47AF551D">
            <w:pPr>
              <w:pStyle w:val="44"/>
              <w:rPr>
                <w:color w:val="auto"/>
                <w:spacing w:val="-6"/>
              </w:rPr>
            </w:pPr>
            <w:r>
              <w:rPr>
                <w:color w:val="auto"/>
              </w:rPr>
              <w:t>5</w:t>
            </w:r>
          </w:p>
        </w:tc>
        <w:tc>
          <w:tcPr>
            <w:tcW w:w="3169" w:type="dxa"/>
            <w:tcBorders>
              <w:tl2br w:val="nil"/>
              <w:tr2bl w:val="nil"/>
            </w:tcBorders>
            <w:vAlign w:val="center"/>
          </w:tcPr>
          <w:p w14:paraId="3DDD66CB">
            <w:pPr>
              <w:pStyle w:val="44"/>
              <w:rPr>
                <w:color w:val="auto"/>
                <w:spacing w:val="-6"/>
              </w:rPr>
            </w:pPr>
            <w:r>
              <w:rPr>
                <w:color w:val="auto"/>
              </w:rPr>
              <w:t>工业用水计量率</w:t>
            </w:r>
          </w:p>
        </w:tc>
        <w:tc>
          <w:tcPr>
            <w:tcW w:w="884" w:type="dxa"/>
            <w:tcBorders>
              <w:tl2br w:val="nil"/>
              <w:tr2bl w:val="nil"/>
            </w:tcBorders>
            <w:vAlign w:val="center"/>
          </w:tcPr>
          <w:p w14:paraId="792A3A68">
            <w:pPr>
              <w:pStyle w:val="44"/>
              <w:rPr>
                <w:color w:val="auto"/>
                <w:spacing w:val="-6"/>
              </w:rPr>
            </w:pPr>
            <w:r>
              <w:rPr>
                <w:color w:val="auto"/>
              </w:rPr>
              <w:t>%</w:t>
            </w:r>
          </w:p>
        </w:tc>
        <w:tc>
          <w:tcPr>
            <w:tcW w:w="884" w:type="dxa"/>
            <w:tcBorders>
              <w:tl2br w:val="nil"/>
              <w:tr2bl w:val="nil"/>
            </w:tcBorders>
            <w:vAlign w:val="center"/>
          </w:tcPr>
          <w:p w14:paraId="647E5AD9">
            <w:pPr>
              <w:pStyle w:val="44"/>
              <w:rPr>
                <w:color w:val="auto"/>
                <w:spacing w:val="-6"/>
              </w:rPr>
            </w:pPr>
            <w:r>
              <w:rPr>
                <w:color w:val="auto"/>
              </w:rPr>
              <w:t>-</w:t>
            </w:r>
          </w:p>
        </w:tc>
        <w:tc>
          <w:tcPr>
            <w:tcW w:w="884" w:type="dxa"/>
            <w:tcBorders>
              <w:tl2br w:val="nil"/>
              <w:tr2bl w:val="nil"/>
            </w:tcBorders>
            <w:vAlign w:val="center"/>
          </w:tcPr>
          <w:p w14:paraId="5BE85B5C">
            <w:pPr>
              <w:pStyle w:val="44"/>
              <w:rPr>
                <w:color w:val="auto"/>
                <w:spacing w:val="-6"/>
              </w:rPr>
            </w:pPr>
            <w:r>
              <w:rPr>
                <w:color w:val="auto"/>
              </w:rPr>
              <w:t>100</w:t>
            </w:r>
          </w:p>
        </w:tc>
        <w:tc>
          <w:tcPr>
            <w:tcW w:w="884" w:type="dxa"/>
            <w:tcBorders>
              <w:tl2br w:val="nil"/>
              <w:tr2bl w:val="nil"/>
            </w:tcBorders>
            <w:vAlign w:val="center"/>
          </w:tcPr>
          <w:p w14:paraId="3BB09F51">
            <w:pPr>
              <w:pStyle w:val="44"/>
              <w:rPr>
                <w:color w:val="auto"/>
                <w:spacing w:val="-6"/>
              </w:rPr>
            </w:pPr>
            <w:r>
              <w:rPr>
                <w:color w:val="auto"/>
              </w:rPr>
              <w:t>预期性</w:t>
            </w:r>
          </w:p>
        </w:tc>
      </w:tr>
      <w:tr w14:paraId="4371A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719" w:type="dxa"/>
            <w:vMerge w:val="continue"/>
            <w:tcBorders>
              <w:tl2br w:val="nil"/>
              <w:tr2bl w:val="nil"/>
            </w:tcBorders>
            <w:vAlign w:val="center"/>
          </w:tcPr>
          <w:p w14:paraId="4B719F0B">
            <w:pPr>
              <w:pStyle w:val="44"/>
              <w:rPr>
                <w:color w:val="auto"/>
              </w:rPr>
            </w:pPr>
          </w:p>
        </w:tc>
        <w:tc>
          <w:tcPr>
            <w:tcW w:w="679" w:type="dxa"/>
            <w:vMerge w:val="continue"/>
            <w:tcBorders>
              <w:tl2br w:val="nil"/>
              <w:tr2bl w:val="nil"/>
            </w:tcBorders>
            <w:vAlign w:val="center"/>
          </w:tcPr>
          <w:p w14:paraId="7091AE05">
            <w:pPr>
              <w:pStyle w:val="44"/>
              <w:rPr>
                <w:color w:val="auto"/>
              </w:rPr>
            </w:pPr>
          </w:p>
        </w:tc>
        <w:tc>
          <w:tcPr>
            <w:tcW w:w="855" w:type="dxa"/>
            <w:tcBorders>
              <w:tl2br w:val="nil"/>
              <w:tr2bl w:val="nil"/>
            </w:tcBorders>
            <w:vAlign w:val="center"/>
          </w:tcPr>
          <w:p w14:paraId="1E4FF214">
            <w:pPr>
              <w:pStyle w:val="44"/>
              <w:rPr>
                <w:color w:val="auto"/>
                <w:spacing w:val="-6"/>
              </w:rPr>
            </w:pPr>
            <w:r>
              <w:rPr>
                <w:color w:val="auto"/>
              </w:rPr>
              <w:t>6</w:t>
            </w:r>
          </w:p>
        </w:tc>
        <w:tc>
          <w:tcPr>
            <w:tcW w:w="3169" w:type="dxa"/>
            <w:tcBorders>
              <w:tl2br w:val="nil"/>
              <w:tr2bl w:val="nil"/>
            </w:tcBorders>
            <w:vAlign w:val="center"/>
          </w:tcPr>
          <w:p w14:paraId="1936B25F">
            <w:pPr>
              <w:pStyle w:val="44"/>
              <w:rPr>
                <w:color w:val="auto"/>
                <w:spacing w:val="-6"/>
              </w:rPr>
            </w:pPr>
            <w:r>
              <w:rPr>
                <w:color w:val="auto"/>
              </w:rPr>
              <w:t>重点行业年用水量10万吨以上企业节水型企业建成率</w:t>
            </w:r>
          </w:p>
        </w:tc>
        <w:tc>
          <w:tcPr>
            <w:tcW w:w="884" w:type="dxa"/>
            <w:tcBorders>
              <w:tl2br w:val="nil"/>
              <w:tr2bl w:val="nil"/>
            </w:tcBorders>
            <w:vAlign w:val="center"/>
          </w:tcPr>
          <w:p w14:paraId="12868E5F">
            <w:pPr>
              <w:pStyle w:val="44"/>
              <w:rPr>
                <w:color w:val="auto"/>
                <w:spacing w:val="-6"/>
              </w:rPr>
            </w:pPr>
            <w:r>
              <w:rPr>
                <w:color w:val="auto"/>
              </w:rPr>
              <w:t>%</w:t>
            </w:r>
          </w:p>
        </w:tc>
        <w:tc>
          <w:tcPr>
            <w:tcW w:w="884" w:type="dxa"/>
            <w:tcBorders>
              <w:tl2br w:val="nil"/>
              <w:tr2bl w:val="nil"/>
            </w:tcBorders>
            <w:vAlign w:val="center"/>
          </w:tcPr>
          <w:p w14:paraId="41567A80">
            <w:pPr>
              <w:pStyle w:val="44"/>
              <w:rPr>
                <w:color w:val="auto"/>
                <w:spacing w:val="-6"/>
              </w:rPr>
            </w:pPr>
            <w:r>
              <w:rPr>
                <w:color w:val="auto"/>
              </w:rPr>
              <w:t>100</w:t>
            </w:r>
          </w:p>
        </w:tc>
        <w:tc>
          <w:tcPr>
            <w:tcW w:w="884" w:type="dxa"/>
            <w:tcBorders>
              <w:tl2br w:val="nil"/>
              <w:tr2bl w:val="nil"/>
            </w:tcBorders>
            <w:vAlign w:val="center"/>
          </w:tcPr>
          <w:p w14:paraId="69FEF556">
            <w:pPr>
              <w:pStyle w:val="44"/>
              <w:rPr>
                <w:color w:val="auto"/>
                <w:spacing w:val="-6"/>
              </w:rPr>
            </w:pPr>
            <w:r>
              <w:rPr>
                <w:color w:val="auto"/>
              </w:rPr>
              <w:t>100</w:t>
            </w:r>
          </w:p>
        </w:tc>
        <w:tc>
          <w:tcPr>
            <w:tcW w:w="884" w:type="dxa"/>
            <w:tcBorders>
              <w:tl2br w:val="nil"/>
              <w:tr2bl w:val="nil"/>
            </w:tcBorders>
            <w:vAlign w:val="center"/>
          </w:tcPr>
          <w:p w14:paraId="17A2B98D">
            <w:pPr>
              <w:pStyle w:val="44"/>
              <w:rPr>
                <w:color w:val="auto"/>
                <w:spacing w:val="-6"/>
              </w:rPr>
            </w:pPr>
            <w:r>
              <w:rPr>
                <w:color w:val="auto"/>
              </w:rPr>
              <w:t>预期性</w:t>
            </w:r>
          </w:p>
        </w:tc>
      </w:tr>
      <w:tr w14:paraId="36DA7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9" w:type="dxa"/>
            <w:vMerge w:val="continue"/>
            <w:tcBorders>
              <w:tl2br w:val="nil"/>
              <w:tr2bl w:val="nil"/>
            </w:tcBorders>
            <w:vAlign w:val="center"/>
          </w:tcPr>
          <w:p w14:paraId="3FC974AA">
            <w:pPr>
              <w:pStyle w:val="44"/>
              <w:rPr>
                <w:color w:val="auto"/>
              </w:rPr>
            </w:pPr>
          </w:p>
        </w:tc>
        <w:tc>
          <w:tcPr>
            <w:tcW w:w="679" w:type="dxa"/>
            <w:vMerge w:val="restart"/>
            <w:tcBorders>
              <w:tl2br w:val="nil"/>
              <w:tr2bl w:val="nil"/>
            </w:tcBorders>
            <w:vAlign w:val="center"/>
          </w:tcPr>
          <w:p w14:paraId="70056C06">
            <w:pPr>
              <w:pStyle w:val="44"/>
              <w:rPr>
                <w:color w:val="auto"/>
              </w:rPr>
            </w:pPr>
            <w:r>
              <w:rPr>
                <w:color w:val="auto"/>
              </w:rPr>
              <w:t>城镇生活</w:t>
            </w:r>
          </w:p>
        </w:tc>
        <w:tc>
          <w:tcPr>
            <w:tcW w:w="855" w:type="dxa"/>
            <w:tcBorders>
              <w:tl2br w:val="nil"/>
              <w:tr2bl w:val="nil"/>
            </w:tcBorders>
            <w:vAlign w:val="center"/>
          </w:tcPr>
          <w:p w14:paraId="3C7FA040">
            <w:pPr>
              <w:pStyle w:val="44"/>
              <w:rPr>
                <w:color w:val="auto"/>
                <w:spacing w:val="-6"/>
              </w:rPr>
            </w:pPr>
            <w:r>
              <w:rPr>
                <w:color w:val="auto"/>
              </w:rPr>
              <w:t>7</w:t>
            </w:r>
          </w:p>
        </w:tc>
        <w:tc>
          <w:tcPr>
            <w:tcW w:w="3169" w:type="dxa"/>
            <w:tcBorders>
              <w:tl2br w:val="nil"/>
              <w:tr2bl w:val="nil"/>
            </w:tcBorders>
            <w:vAlign w:val="center"/>
          </w:tcPr>
          <w:p w14:paraId="37D61EE7">
            <w:pPr>
              <w:pStyle w:val="44"/>
              <w:rPr>
                <w:color w:val="auto"/>
              </w:rPr>
            </w:pPr>
            <w:r>
              <w:rPr>
                <w:color w:val="auto"/>
              </w:rPr>
              <w:t>城镇公共供水管网漏损率</w:t>
            </w:r>
          </w:p>
        </w:tc>
        <w:tc>
          <w:tcPr>
            <w:tcW w:w="884" w:type="dxa"/>
            <w:tcBorders>
              <w:tl2br w:val="nil"/>
              <w:tr2bl w:val="nil"/>
            </w:tcBorders>
            <w:vAlign w:val="center"/>
          </w:tcPr>
          <w:p w14:paraId="44B92EF8">
            <w:pPr>
              <w:pStyle w:val="44"/>
              <w:rPr>
                <w:color w:val="auto"/>
              </w:rPr>
            </w:pPr>
            <w:r>
              <w:rPr>
                <w:color w:val="auto"/>
              </w:rPr>
              <w:t>%</w:t>
            </w:r>
          </w:p>
        </w:tc>
        <w:tc>
          <w:tcPr>
            <w:tcW w:w="884" w:type="dxa"/>
            <w:tcBorders>
              <w:tl2br w:val="nil"/>
              <w:tr2bl w:val="nil"/>
            </w:tcBorders>
            <w:vAlign w:val="center"/>
          </w:tcPr>
          <w:p w14:paraId="0C59EE26">
            <w:pPr>
              <w:pStyle w:val="44"/>
              <w:rPr>
                <w:color w:val="auto"/>
              </w:rPr>
            </w:pPr>
            <w:r>
              <w:rPr>
                <w:color w:val="auto"/>
              </w:rPr>
              <w:t>9.95</w:t>
            </w:r>
          </w:p>
        </w:tc>
        <w:tc>
          <w:tcPr>
            <w:tcW w:w="884" w:type="dxa"/>
            <w:tcBorders>
              <w:tl2br w:val="nil"/>
              <w:tr2bl w:val="nil"/>
            </w:tcBorders>
            <w:vAlign w:val="center"/>
          </w:tcPr>
          <w:p w14:paraId="55509D89">
            <w:pPr>
              <w:pStyle w:val="44"/>
              <w:rPr>
                <w:color w:val="auto"/>
              </w:rPr>
            </w:pPr>
            <w:r>
              <w:rPr>
                <w:color w:val="auto"/>
              </w:rPr>
              <w:t>9</w:t>
            </w:r>
          </w:p>
        </w:tc>
        <w:tc>
          <w:tcPr>
            <w:tcW w:w="884" w:type="dxa"/>
            <w:tcBorders>
              <w:tl2br w:val="nil"/>
              <w:tr2bl w:val="nil"/>
            </w:tcBorders>
            <w:vAlign w:val="center"/>
          </w:tcPr>
          <w:p w14:paraId="7E36216F">
            <w:pPr>
              <w:pStyle w:val="44"/>
              <w:rPr>
                <w:color w:val="auto"/>
              </w:rPr>
            </w:pPr>
            <w:r>
              <w:rPr>
                <w:color w:val="auto"/>
              </w:rPr>
              <w:t>预期性</w:t>
            </w:r>
          </w:p>
        </w:tc>
      </w:tr>
      <w:tr w14:paraId="4FB97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9" w:type="dxa"/>
            <w:vMerge w:val="continue"/>
            <w:tcBorders>
              <w:tl2br w:val="nil"/>
              <w:tr2bl w:val="nil"/>
            </w:tcBorders>
            <w:vAlign w:val="center"/>
          </w:tcPr>
          <w:p w14:paraId="00ADA621">
            <w:pPr>
              <w:pStyle w:val="44"/>
              <w:rPr>
                <w:color w:val="auto"/>
              </w:rPr>
            </w:pPr>
          </w:p>
        </w:tc>
        <w:tc>
          <w:tcPr>
            <w:tcW w:w="679" w:type="dxa"/>
            <w:vMerge w:val="continue"/>
            <w:tcBorders>
              <w:tl2br w:val="nil"/>
              <w:tr2bl w:val="nil"/>
            </w:tcBorders>
            <w:vAlign w:val="center"/>
          </w:tcPr>
          <w:p w14:paraId="6D448801">
            <w:pPr>
              <w:pStyle w:val="44"/>
              <w:rPr>
                <w:color w:val="auto"/>
              </w:rPr>
            </w:pPr>
          </w:p>
        </w:tc>
        <w:tc>
          <w:tcPr>
            <w:tcW w:w="855" w:type="dxa"/>
            <w:tcBorders>
              <w:tl2br w:val="nil"/>
              <w:tr2bl w:val="nil"/>
            </w:tcBorders>
            <w:vAlign w:val="center"/>
          </w:tcPr>
          <w:p w14:paraId="0CCA9F49">
            <w:pPr>
              <w:pStyle w:val="44"/>
              <w:rPr>
                <w:color w:val="auto"/>
                <w:spacing w:val="-6"/>
              </w:rPr>
            </w:pPr>
            <w:r>
              <w:rPr>
                <w:color w:val="auto"/>
                <w:spacing w:val="-6"/>
              </w:rPr>
              <w:t>8</w:t>
            </w:r>
          </w:p>
        </w:tc>
        <w:tc>
          <w:tcPr>
            <w:tcW w:w="3169" w:type="dxa"/>
            <w:tcBorders>
              <w:tl2br w:val="nil"/>
              <w:tr2bl w:val="nil"/>
            </w:tcBorders>
            <w:vAlign w:val="center"/>
          </w:tcPr>
          <w:p w14:paraId="5B98B8F0">
            <w:pPr>
              <w:pStyle w:val="44"/>
              <w:rPr>
                <w:color w:val="auto"/>
                <w:highlight w:val="yellow"/>
              </w:rPr>
            </w:pPr>
            <w:r>
              <w:rPr>
                <w:color w:val="auto"/>
              </w:rPr>
              <w:t>新建小区节水器具普及率</w:t>
            </w:r>
          </w:p>
        </w:tc>
        <w:tc>
          <w:tcPr>
            <w:tcW w:w="884" w:type="dxa"/>
            <w:tcBorders>
              <w:tl2br w:val="nil"/>
              <w:tr2bl w:val="nil"/>
            </w:tcBorders>
            <w:vAlign w:val="center"/>
          </w:tcPr>
          <w:p w14:paraId="6E28D1F9">
            <w:pPr>
              <w:pStyle w:val="44"/>
              <w:rPr>
                <w:color w:val="auto"/>
              </w:rPr>
            </w:pPr>
            <w:r>
              <w:rPr>
                <w:color w:val="auto"/>
              </w:rPr>
              <w:t>%</w:t>
            </w:r>
          </w:p>
        </w:tc>
        <w:tc>
          <w:tcPr>
            <w:tcW w:w="884" w:type="dxa"/>
            <w:tcBorders>
              <w:tl2br w:val="nil"/>
              <w:tr2bl w:val="nil"/>
            </w:tcBorders>
            <w:vAlign w:val="center"/>
          </w:tcPr>
          <w:p w14:paraId="72B1F5B5">
            <w:pPr>
              <w:pStyle w:val="44"/>
              <w:rPr>
                <w:color w:val="auto"/>
              </w:rPr>
            </w:pPr>
            <w:r>
              <w:rPr>
                <w:color w:val="auto"/>
              </w:rPr>
              <w:t>100</w:t>
            </w:r>
          </w:p>
        </w:tc>
        <w:tc>
          <w:tcPr>
            <w:tcW w:w="884" w:type="dxa"/>
            <w:tcBorders>
              <w:tl2br w:val="nil"/>
              <w:tr2bl w:val="nil"/>
            </w:tcBorders>
            <w:vAlign w:val="center"/>
          </w:tcPr>
          <w:p w14:paraId="56A4C58A">
            <w:pPr>
              <w:pStyle w:val="44"/>
              <w:rPr>
                <w:color w:val="auto"/>
              </w:rPr>
            </w:pPr>
            <w:r>
              <w:rPr>
                <w:color w:val="auto"/>
              </w:rPr>
              <w:t>100</w:t>
            </w:r>
          </w:p>
        </w:tc>
        <w:tc>
          <w:tcPr>
            <w:tcW w:w="884" w:type="dxa"/>
            <w:tcBorders>
              <w:tl2br w:val="nil"/>
              <w:tr2bl w:val="nil"/>
            </w:tcBorders>
            <w:vAlign w:val="center"/>
          </w:tcPr>
          <w:p w14:paraId="4CF2B29F">
            <w:pPr>
              <w:pStyle w:val="44"/>
              <w:rPr>
                <w:color w:val="auto"/>
              </w:rPr>
            </w:pPr>
            <w:r>
              <w:rPr>
                <w:color w:val="auto"/>
              </w:rPr>
              <w:t>预期性</w:t>
            </w:r>
          </w:p>
        </w:tc>
      </w:tr>
    </w:tbl>
    <w:p w14:paraId="7974B676">
      <w:pPr>
        <w:ind w:firstLine="480"/>
        <w:rPr>
          <w:color w:val="auto"/>
        </w:rPr>
      </w:pPr>
      <w:r>
        <w:rPr>
          <w:color w:val="auto"/>
        </w:rPr>
        <w:t>不同地区用水水平受当地自然气候条件、经济发展水平、生活习惯等多方面因素影响，</w:t>
      </w:r>
      <w:r>
        <w:rPr>
          <w:color w:val="auto"/>
          <w:szCs w:val="24"/>
        </w:rPr>
        <w:t>评价区</w:t>
      </w:r>
      <w:r>
        <w:rPr>
          <w:color w:val="auto"/>
        </w:rPr>
        <w:t>工业用水水平总体较高，城镇居民生活用水水平总体较低，在现状条件下，结合各行业“十四五”规划，在不过盲目过高情况下，提出2025年节水指标，是合理的，在采取相应的节水措施后，各项指标是可达的。</w:t>
      </w:r>
    </w:p>
    <w:p w14:paraId="14075EAD">
      <w:pPr>
        <w:pStyle w:val="4"/>
        <w:keepNext w:val="0"/>
        <w:numPr>
          <w:ilvl w:val="1"/>
          <w:numId w:val="0"/>
        </w:numPr>
        <w:spacing w:before="166" w:after="166"/>
        <w:rPr>
          <w:color w:val="auto"/>
        </w:rPr>
      </w:pPr>
      <w:bookmarkStart w:id="57" w:name="_Toc7296"/>
      <w:r>
        <w:rPr>
          <w:color w:val="auto"/>
        </w:rPr>
        <w:t>5.3规划水平年节水符合性评价</w:t>
      </w:r>
      <w:bookmarkEnd w:id="57"/>
    </w:p>
    <w:p w14:paraId="30E23993">
      <w:pPr>
        <w:pStyle w:val="5"/>
        <w:keepNext w:val="0"/>
        <w:numPr>
          <w:ilvl w:val="0"/>
          <w:numId w:val="0"/>
        </w:numPr>
        <w:spacing w:before="166" w:after="166"/>
        <w:rPr>
          <w:color w:val="auto"/>
        </w:rPr>
      </w:pPr>
      <w:r>
        <w:rPr>
          <w:color w:val="auto"/>
        </w:rPr>
        <w:t>5.3.1需水预测节水符合性评价</w:t>
      </w:r>
    </w:p>
    <w:p w14:paraId="11779854">
      <w:pPr>
        <w:ind w:firstLine="482"/>
        <w:rPr>
          <w:b/>
          <w:bCs/>
          <w:color w:val="auto"/>
        </w:rPr>
      </w:pPr>
      <w:r>
        <w:rPr>
          <w:b/>
          <w:bCs/>
          <w:color w:val="auto"/>
        </w:rPr>
        <w:t>（1）用水定额合理性分析</w:t>
      </w:r>
    </w:p>
    <w:p w14:paraId="57859D9A">
      <w:pPr>
        <w:ind w:firstLine="480"/>
        <w:rPr>
          <w:color w:val="auto"/>
        </w:rPr>
      </w:pPr>
      <w:r>
        <w:rPr>
          <w:color w:val="auto"/>
        </w:rPr>
        <w:t>现状万元工业增加值用水量为20m³，规划年随着用水效率进一步提高，万元工业增加值用水量为19m³，较现状年降低5%，满足节水型社会建设要求。</w:t>
      </w:r>
    </w:p>
    <w:p w14:paraId="1D41E337">
      <w:pPr>
        <w:ind w:firstLine="480"/>
        <w:rPr>
          <w:color w:val="auto"/>
        </w:rPr>
      </w:pPr>
      <w:r>
        <w:rPr>
          <w:color w:val="auto"/>
        </w:rPr>
        <w:t>《室外给水设计规范》（GB50213-2018）第4.0.6条规定“浇洒道路用水可按浇洒面积乘以2.0～3.0L/m²·d计算；浇洒绿地用水可按浇洒面积乘以1.0～3.0L/m²·d计算。”本规划从节约用水角度考虑道路及绿地浇洒定额限定用下限值2.0L/m²·d，浇洒绿地用水限定用下限值1.0L/m²·d，因此生态用水定额是合理的。</w:t>
      </w:r>
    </w:p>
    <w:p w14:paraId="2CC316F4">
      <w:pPr>
        <w:ind w:firstLine="480"/>
        <w:rPr>
          <w:color w:val="auto"/>
        </w:rPr>
      </w:pPr>
      <w:r>
        <w:rPr>
          <w:color w:val="auto"/>
        </w:rPr>
        <w:t>根据《重庆市水利局 重庆市城市管理委员会关于印发重庆市城市生活用水定额（2017年修订版）的通知》（渝水〔2018〕66号），城市居民成套住房用水定额为150L/（人·d），本次居民生活用水定额取值150L/（人·d），满足用水定额要求。</w:t>
      </w:r>
    </w:p>
    <w:p w14:paraId="57EA9AD1">
      <w:pPr>
        <w:ind w:firstLine="482"/>
        <w:rPr>
          <w:b/>
          <w:bCs/>
          <w:color w:val="auto"/>
        </w:rPr>
      </w:pPr>
      <w:r>
        <w:rPr>
          <w:b/>
          <w:bCs/>
          <w:color w:val="auto"/>
        </w:rPr>
        <w:t>（2）经济指标合理性分析</w:t>
      </w:r>
    </w:p>
    <w:p w14:paraId="2907AB6A">
      <w:pPr>
        <w:ind w:firstLine="480"/>
        <w:rPr>
          <w:color w:val="auto"/>
        </w:rPr>
      </w:pPr>
      <w:r>
        <w:rPr>
          <w:color w:val="auto"/>
        </w:rPr>
        <w:t>现状年园区工业增加值为68亿元，其中A、B、C区工业增加值分别为3.83亿元、37.91亿元、26.07亿元，预计2025年分别为5.21亿元、51.65亿元、35.52亿元。工业增加值增长率为6%，经济指标逐年增加，符合区域经济发展趋势。</w:t>
      </w:r>
    </w:p>
    <w:p w14:paraId="1E66A812">
      <w:pPr>
        <w:ind w:firstLine="482"/>
        <w:rPr>
          <w:b/>
          <w:bCs/>
          <w:color w:val="auto"/>
        </w:rPr>
      </w:pPr>
      <w:r>
        <w:rPr>
          <w:b/>
          <w:bCs/>
          <w:color w:val="auto"/>
        </w:rPr>
        <w:t>（3）单位用地综合用水量指标分析</w:t>
      </w:r>
    </w:p>
    <w:p w14:paraId="36F9EAF3">
      <w:pPr>
        <w:ind w:firstLine="480"/>
        <w:rPr>
          <w:color w:val="auto"/>
        </w:rPr>
      </w:pPr>
      <w:r>
        <w:rPr>
          <w:color w:val="auto"/>
        </w:rPr>
        <w:t>根据《城市给水工程规划规范》（GB50282-2016），工业用地最高用水量指标为0.30～1.50万m³/ km²·d，日变化系数取1.2，则工业用地平均日用水量指标为0.25～1.25万m³/ km²·d。本次规划区主要以工业用地为主，考虑国家宏观节水政策，建设节水型社会等因素，从节水考虑，本次综合取值0.43万m³/ km².d，满足规范要求。</w:t>
      </w:r>
    </w:p>
    <w:p w14:paraId="4B359F1A">
      <w:pPr>
        <w:ind w:firstLine="480"/>
        <w:rPr>
          <w:color w:val="auto"/>
        </w:rPr>
      </w:pPr>
      <w:r>
        <w:rPr>
          <w:color w:val="auto"/>
        </w:rPr>
        <w:t>综上所述，本次需水预测中用水定额取值合理，满足节水要求。</w:t>
      </w:r>
    </w:p>
    <w:p w14:paraId="479DB10C">
      <w:pPr>
        <w:pStyle w:val="5"/>
        <w:numPr>
          <w:ilvl w:val="0"/>
          <w:numId w:val="0"/>
        </w:numPr>
        <w:spacing w:before="166" w:after="166"/>
        <w:rPr>
          <w:color w:val="auto"/>
          <w:szCs w:val="28"/>
        </w:rPr>
      </w:pPr>
      <w:r>
        <w:rPr>
          <w:color w:val="auto"/>
          <w:szCs w:val="28"/>
        </w:rPr>
        <w:t>5.3.2供水预测节水符合性评价</w:t>
      </w:r>
    </w:p>
    <w:p w14:paraId="2B2E4B53">
      <w:pPr>
        <w:ind w:firstLine="480"/>
        <w:rPr>
          <w:color w:val="auto"/>
        </w:rPr>
      </w:pPr>
      <w:r>
        <w:rPr>
          <w:color w:val="auto"/>
        </w:rPr>
        <w:t>重庆九龙工业园区主要由和尚山水厂、丰收坝水厂、西彭水厂，其中和尚山水厂向A区供水，丰收坝水厂向B区供水，西彭水厂向C区供水。</w:t>
      </w:r>
    </w:p>
    <w:p w14:paraId="4D901AAF">
      <w:pPr>
        <w:ind w:firstLine="480"/>
        <w:rPr>
          <w:color w:val="auto"/>
        </w:rPr>
      </w:pPr>
      <w:r>
        <w:rPr>
          <w:color w:val="auto"/>
        </w:rPr>
        <w:t>从年水量分析，规划年和尚山水厂长江取水口断面处多年平均可供水量为1281亿m³，P=97%情况下可供水量为632亿m³。和尚山水厂年取水量为12194万m³，仅分别占多年平均、P=97%可供水量的0.095%、0.193%。</w:t>
      </w:r>
    </w:p>
    <w:p w14:paraId="2B56D8F7">
      <w:pPr>
        <w:ind w:firstLine="480"/>
        <w:rPr>
          <w:color w:val="auto"/>
        </w:rPr>
      </w:pPr>
      <w:r>
        <w:rPr>
          <w:color w:val="auto"/>
        </w:rPr>
        <w:t>从年水量分析，规划年丰收坝水厂长江取水口断面处多年平均可供水量为1284亿m³，P=97%情况下可供水量为635亿m³。丰收坝水厂年取水量为13936万m³，仅分别占多年平均、P=97%可供水量的0.109%、0.219%。</w:t>
      </w:r>
    </w:p>
    <w:p w14:paraId="634F5E0D">
      <w:pPr>
        <w:ind w:firstLine="480"/>
        <w:rPr>
          <w:color w:val="auto"/>
        </w:rPr>
      </w:pPr>
      <w:r>
        <w:rPr>
          <w:color w:val="auto"/>
        </w:rPr>
        <w:t>从年水量分析，规划年德感趸船及西南铝业长江取水口断面处多年平均可供水量为1284亿m³，P=97%情况下可供水量为635亿m³。德感趸船及西南铝业取水口设计取水量分别为9万m³/d、30万m³/d，合计取水39万m³/d，年取水量12940万m³/d，仅分别占多年平均、P=97%可供水量的0.101%、0.204%。</w:t>
      </w:r>
    </w:p>
    <w:p w14:paraId="27BCDE56">
      <w:pPr>
        <w:ind w:firstLine="480"/>
        <w:rPr>
          <w:color w:val="auto"/>
          <w:highlight w:val="yellow"/>
        </w:rPr>
      </w:pPr>
      <w:r>
        <w:rPr>
          <w:color w:val="auto"/>
        </w:rPr>
        <w:t>综上所述，本区域已纳入上述工程供水范围，供水预测满足节水要求。</w:t>
      </w:r>
    </w:p>
    <w:p w14:paraId="0BE0CEF9">
      <w:pPr>
        <w:pStyle w:val="5"/>
        <w:numPr>
          <w:ilvl w:val="0"/>
          <w:numId w:val="0"/>
        </w:numPr>
        <w:spacing w:before="166" w:after="166"/>
        <w:rPr>
          <w:color w:val="auto"/>
          <w:szCs w:val="28"/>
        </w:rPr>
      </w:pPr>
      <w:r>
        <w:rPr>
          <w:color w:val="auto"/>
          <w:szCs w:val="28"/>
        </w:rPr>
        <w:t>5.3.3水资源配置方案节水符合性评价</w:t>
      </w:r>
    </w:p>
    <w:p w14:paraId="062BF54E">
      <w:pPr>
        <w:ind w:firstLine="480"/>
        <w:rPr>
          <w:color w:val="auto"/>
        </w:rPr>
      </w:pPr>
      <w:r>
        <w:rPr>
          <w:color w:val="auto"/>
        </w:rPr>
        <w:t>和尚山水厂目前供水规模为35万m³/d，2025年与目前供水规模一致。</w:t>
      </w:r>
    </w:p>
    <w:p w14:paraId="48570320">
      <w:pPr>
        <w:ind w:firstLine="480"/>
        <w:rPr>
          <w:color w:val="auto"/>
        </w:rPr>
      </w:pPr>
      <w:r>
        <w:rPr>
          <w:color w:val="auto"/>
        </w:rPr>
        <w:t>丰收坝水厂现状规模30万m³/d，规划水平年2025年，水厂扩建至40万m³/d。</w:t>
      </w:r>
    </w:p>
    <w:p w14:paraId="1709355D">
      <w:pPr>
        <w:ind w:firstLine="480"/>
        <w:rPr>
          <w:color w:val="auto"/>
        </w:rPr>
      </w:pPr>
      <w:r>
        <w:rPr>
          <w:color w:val="auto"/>
        </w:rPr>
        <w:t>西彭水厂扩建一期工程设计规模20万m³/天，需要在2020年启动，2022年投产；2025年，西彭水厂扩建二期工程设计规模20万m³/天，总规模达到40万m³/天，需要结合渝西水资源配置工程的通水时间，适时开展建设。由于供水形势紧张，需要对老西彭水厂进行技改，提高产能。技改工程实施后，2022年老西彭水厂供水规模将扩至9万m³/d，并结合新西彭水厂的建设时序，适时关停。</w:t>
      </w:r>
    </w:p>
    <w:p w14:paraId="20A70C97">
      <w:pPr>
        <w:pStyle w:val="43"/>
        <w:rPr>
          <w:color w:val="auto"/>
        </w:rPr>
      </w:pPr>
      <w:r>
        <w:rPr>
          <w:color w:val="auto"/>
        </w:rPr>
        <w:t>表5.3-1             九龙工业园区2025年水资源配置成果表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491"/>
        <w:gridCol w:w="1492"/>
        <w:gridCol w:w="1492"/>
        <w:gridCol w:w="1492"/>
        <w:gridCol w:w="1642"/>
        <w:gridCol w:w="1343"/>
      </w:tblGrid>
      <w:tr w14:paraId="365F4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33" w:type="pct"/>
            <w:vMerge w:val="restart"/>
            <w:tcBorders>
              <w:tl2br w:val="nil"/>
              <w:tr2bl w:val="nil"/>
            </w:tcBorders>
            <w:vAlign w:val="center"/>
          </w:tcPr>
          <w:p w14:paraId="6814F8E7">
            <w:pPr>
              <w:pStyle w:val="44"/>
              <w:rPr>
                <w:color w:val="auto"/>
              </w:rPr>
            </w:pPr>
            <w:r>
              <w:rPr>
                <w:color w:val="auto"/>
              </w:rPr>
              <w:t>分区</w:t>
            </w:r>
          </w:p>
        </w:tc>
        <w:tc>
          <w:tcPr>
            <w:tcW w:w="1666" w:type="pct"/>
            <w:gridSpan w:val="2"/>
            <w:tcBorders>
              <w:tl2br w:val="nil"/>
              <w:tr2bl w:val="nil"/>
            </w:tcBorders>
            <w:vAlign w:val="center"/>
          </w:tcPr>
          <w:p w14:paraId="5E2F7FC6">
            <w:pPr>
              <w:pStyle w:val="44"/>
              <w:rPr>
                <w:color w:val="auto"/>
              </w:rPr>
            </w:pPr>
            <w:r>
              <w:rPr>
                <w:color w:val="auto"/>
              </w:rPr>
              <w:t>水厂供水量</w:t>
            </w:r>
          </w:p>
        </w:tc>
        <w:tc>
          <w:tcPr>
            <w:tcW w:w="833" w:type="pct"/>
            <w:vMerge w:val="restart"/>
            <w:tcBorders>
              <w:tl2br w:val="nil"/>
              <w:tr2bl w:val="nil"/>
            </w:tcBorders>
            <w:vAlign w:val="center"/>
          </w:tcPr>
          <w:p w14:paraId="7064C34E">
            <w:pPr>
              <w:pStyle w:val="44"/>
              <w:rPr>
                <w:color w:val="auto"/>
              </w:rPr>
            </w:pPr>
            <w:r>
              <w:rPr>
                <w:color w:val="auto"/>
              </w:rPr>
              <w:t>供水水厂</w:t>
            </w:r>
          </w:p>
        </w:tc>
        <w:tc>
          <w:tcPr>
            <w:tcW w:w="917" w:type="pct"/>
            <w:vMerge w:val="restart"/>
            <w:tcBorders>
              <w:tl2br w:val="nil"/>
              <w:tr2bl w:val="nil"/>
            </w:tcBorders>
            <w:vAlign w:val="center"/>
          </w:tcPr>
          <w:p w14:paraId="18D48733">
            <w:pPr>
              <w:pStyle w:val="44"/>
              <w:rPr>
                <w:color w:val="auto"/>
              </w:rPr>
            </w:pPr>
            <w:r>
              <w:rPr>
                <w:color w:val="auto"/>
              </w:rPr>
              <w:t>2025年供水规模（万m³/d）</w:t>
            </w:r>
          </w:p>
        </w:tc>
        <w:tc>
          <w:tcPr>
            <w:tcW w:w="750" w:type="pct"/>
            <w:vMerge w:val="restart"/>
            <w:tcBorders>
              <w:tl2br w:val="nil"/>
              <w:tr2bl w:val="nil"/>
            </w:tcBorders>
            <w:vAlign w:val="center"/>
          </w:tcPr>
          <w:p w14:paraId="2745EE34">
            <w:pPr>
              <w:pStyle w:val="44"/>
              <w:rPr>
                <w:color w:val="auto"/>
              </w:rPr>
            </w:pPr>
            <w:r>
              <w:rPr>
                <w:color w:val="auto"/>
              </w:rPr>
              <w:t>比例</w:t>
            </w:r>
          </w:p>
        </w:tc>
      </w:tr>
      <w:tr w14:paraId="2E92F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33" w:type="pct"/>
            <w:vMerge w:val="continue"/>
            <w:tcBorders>
              <w:tl2br w:val="nil"/>
              <w:tr2bl w:val="nil"/>
            </w:tcBorders>
            <w:vAlign w:val="center"/>
          </w:tcPr>
          <w:p w14:paraId="7D05AA8F">
            <w:pPr>
              <w:pStyle w:val="44"/>
              <w:rPr>
                <w:color w:val="auto"/>
              </w:rPr>
            </w:pPr>
          </w:p>
        </w:tc>
        <w:tc>
          <w:tcPr>
            <w:tcW w:w="833" w:type="pct"/>
            <w:tcBorders>
              <w:tl2br w:val="nil"/>
              <w:tr2bl w:val="nil"/>
            </w:tcBorders>
            <w:vAlign w:val="center"/>
          </w:tcPr>
          <w:p w14:paraId="23A74FB5">
            <w:pPr>
              <w:pStyle w:val="44"/>
              <w:rPr>
                <w:color w:val="auto"/>
              </w:rPr>
            </w:pPr>
            <w:r>
              <w:rPr>
                <w:color w:val="auto"/>
              </w:rPr>
              <w:t>年供水量</w:t>
            </w:r>
          </w:p>
          <w:p w14:paraId="103F3DB8">
            <w:pPr>
              <w:pStyle w:val="44"/>
              <w:rPr>
                <w:color w:val="auto"/>
              </w:rPr>
            </w:pPr>
            <w:r>
              <w:rPr>
                <w:color w:val="auto"/>
              </w:rPr>
              <w:t>（万m³）</w:t>
            </w:r>
          </w:p>
        </w:tc>
        <w:tc>
          <w:tcPr>
            <w:tcW w:w="833" w:type="pct"/>
            <w:tcBorders>
              <w:tl2br w:val="nil"/>
              <w:tr2bl w:val="nil"/>
            </w:tcBorders>
            <w:vAlign w:val="center"/>
          </w:tcPr>
          <w:p w14:paraId="11BED65B">
            <w:pPr>
              <w:pStyle w:val="44"/>
              <w:rPr>
                <w:color w:val="auto"/>
              </w:rPr>
            </w:pPr>
            <w:r>
              <w:rPr>
                <w:color w:val="auto"/>
              </w:rPr>
              <w:t>最高日供水量</w:t>
            </w:r>
          </w:p>
          <w:p w14:paraId="3304E321">
            <w:pPr>
              <w:pStyle w:val="44"/>
              <w:rPr>
                <w:color w:val="auto"/>
              </w:rPr>
            </w:pPr>
            <w:r>
              <w:rPr>
                <w:color w:val="auto"/>
              </w:rPr>
              <w:t>（万m³/d）</w:t>
            </w:r>
          </w:p>
        </w:tc>
        <w:tc>
          <w:tcPr>
            <w:tcW w:w="833" w:type="pct"/>
            <w:vMerge w:val="continue"/>
            <w:tcBorders>
              <w:tl2br w:val="nil"/>
              <w:tr2bl w:val="nil"/>
            </w:tcBorders>
            <w:vAlign w:val="center"/>
          </w:tcPr>
          <w:p w14:paraId="3073B1A7">
            <w:pPr>
              <w:pStyle w:val="44"/>
              <w:rPr>
                <w:color w:val="auto"/>
              </w:rPr>
            </w:pPr>
          </w:p>
        </w:tc>
        <w:tc>
          <w:tcPr>
            <w:tcW w:w="917" w:type="pct"/>
            <w:vMerge w:val="continue"/>
            <w:tcBorders>
              <w:tl2br w:val="nil"/>
              <w:tr2bl w:val="nil"/>
            </w:tcBorders>
            <w:vAlign w:val="center"/>
          </w:tcPr>
          <w:p w14:paraId="074D4025">
            <w:pPr>
              <w:pStyle w:val="44"/>
              <w:rPr>
                <w:color w:val="auto"/>
              </w:rPr>
            </w:pPr>
          </w:p>
        </w:tc>
        <w:tc>
          <w:tcPr>
            <w:tcW w:w="750" w:type="pct"/>
            <w:vMerge w:val="continue"/>
            <w:tcBorders>
              <w:tl2br w:val="nil"/>
              <w:tr2bl w:val="nil"/>
            </w:tcBorders>
            <w:vAlign w:val="center"/>
          </w:tcPr>
          <w:p w14:paraId="55BAF715">
            <w:pPr>
              <w:pStyle w:val="44"/>
              <w:rPr>
                <w:color w:val="auto"/>
              </w:rPr>
            </w:pPr>
          </w:p>
        </w:tc>
      </w:tr>
      <w:tr w14:paraId="4603E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33" w:type="pct"/>
            <w:tcBorders>
              <w:tl2br w:val="nil"/>
              <w:tr2bl w:val="nil"/>
            </w:tcBorders>
            <w:vAlign w:val="center"/>
          </w:tcPr>
          <w:p w14:paraId="5D050A23">
            <w:pPr>
              <w:pStyle w:val="44"/>
              <w:rPr>
                <w:color w:val="auto"/>
              </w:rPr>
            </w:pPr>
            <w:r>
              <w:rPr>
                <w:color w:val="auto"/>
              </w:rPr>
              <w:t>A区</w:t>
            </w:r>
          </w:p>
        </w:tc>
        <w:tc>
          <w:tcPr>
            <w:tcW w:w="1492" w:type="dxa"/>
            <w:tcBorders>
              <w:tl2br w:val="nil"/>
              <w:tr2bl w:val="nil"/>
            </w:tcBorders>
            <w:vAlign w:val="center"/>
          </w:tcPr>
          <w:p w14:paraId="09CF37C3">
            <w:pPr>
              <w:pStyle w:val="44"/>
              <w:rPr>
                <w:color w:val="auto"/>
              </w:rPr>
            </w:pPr>
            <w:r>
              <w:rPr>
                <w:color w:val="auto"/>
              </w:rPr>
              <w:t>581.45</w:t>
            </w:r>
          </w:p>
        </w:tc>
        <w:tc>
          <w:tcPr>
            <w:tcW w:w="1492" w:type="dxa"/>
            <w:tcBorders>
              <w:tl2br w:val="nil"/>
              <w:tr2bl w:val="nil"/>
            </w:tcBorders>
            <w:vAlign w:val="center"/>
          </w:tcPr>
          <w:p w14:paraId="1A202D05">
            <w:pPr>
              <w:pStyle w:val="44"/>
              <w:rPr>
                <w:color w:val="auto"/>
              </w:rPr>
            </w:pPr>
            <w:r>
              <w:rPr>
                <w:color w:val="auto"/>
              </w:rPr>
              <w:t>1.91</w:t>
            </w:r>
          </w:p>
        </w:tc>
        <w:tc>
          <w:tcPr>
            <w:tcW w:w="833" w:type="pct"/>
            <w:tcBorders>
              <w:tl2br w:val="nil"/>
              <w:tr2bl w:val="nil"/>
            </w:tcBorders>
            <w:vAlign w:val="center"/>
          </w:tcPr>
          <w:p w14:paraId="7566D941">
            <w:pPr>
              <w:pStyle w:val="44"/>
              <w:rPr>
                <w:color w:val="auto"/>
              </w:rPr>
            </w:pPr>
            <w:r>
              <w:rPr>
                <w:color w:val="auto"/>
              </w:rPr>
              <w:t>和尚山水厂</w:t>
            </w:r>
          </w:p>
        </w:tc>
        <w:tc>
          <w:tcPr>
            <w:tcW w:w="917" w:type="pct"/>
            <w:tcBorders>
              <w:tl2br w:val="nil"/>
              <w:tr2bl w:val="nil"/>
            </w:tcBorders>
            <w:vAlign w:val="center"/>
          </w:tcPr>
          <w:p w14:paraId="3026728E">
            <w:pPr>
              <w:pStyle w:val="44"/>
              <w:rPr>
                <w:color w:val="auto"/>
              </w:rPr>
            </w:pPr>
            <w:r>
              <w:rPr>
                <w:color w:val="auto"/>
              </w:rPr>
              <w:t>35</w:t>
            </w:r>
          </w:p>
        </w:tc>
        <w:tc>
          <w:tcPr>
            <w:tcW w:w="1343" w:type="dxa"/>
            <w:tcBorders>
              <w:tl2br w:val="nil"/>
              <w:tr2bl w:val="nil"/>
            </w:tcBorders>
            <w:vAlign w:val="center"/>
          </w:tcPr>
          <w:p w14:paraId="57DB29BD">
            <w:pPr>
              <w:pStyle w:val="44"/>
              <w:rPr>
                <w:color w:val="auto"/>
              </w:rPr>
            </w:pPr>
            <w:r>
              <w:rPr>
                <w:color w:val="auto"/>
              </w:rPr>
              <w:t>5.46%</w:t>
            </w:r>
          </w:p>
        </w:tc>
      </w:tr>
      <w:tr w14:paraId="7A6C4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33" w:type="pct"/>
            <w:tcBorders>
              <w:tl2br w:val="nil"/>
              <w:tr2bl w:val="nil"/>
            </w:tcBorders>
            <w:vAlign w:val="center"/>
          </w:tcPr>
          <w:p w14:paraId="414F22B5">
            <w:pPr>
              <w:pStyle w:val="44"/>
              <w:rPr>
                <w:color w:val="auto"/>
              </w:rPr>
            </w:pPr>
            <w:r>
              <w:rPr>
                <w:color w:val="auto"/>
              </w:rPr>
              <w:t>B区</w:t>
            </w:r>
          </w:p>
        </w:tc>
        <w:tc>
          <w:tcPr>
            <w:tcW w:w="1492" w:type="dxa"/>
            <w:tcBorders>
              <w:tl2br w:val="nil"/>
              <w:tr2bl w:val="nil"/>
            </w:tcBorders>
            <w:vAlign w:val="center"/>
          </w:tcPr>
          <w:p w14:paraId="4D7193D5">
            <w:pPr>
              <w:pStyle w:val="44"/>
              <w:rPr>
                <w:color w:val="auto"/>
              </w:rPr>
            </w:pPr>
            <w:r>
              <w:rPr>
                <w:color w:val="auto"/>
              </w:rPr>
              <w:t xml:space="preserve">1770.09 </w:t>
            </w:r>
          </w:p>
        </w:tc>
        <w:tc>
          <w:tcPr>
            <w:tcW w:w="1492" w:type="dxa"/>
            <w:tcBorders>
              <w:tl2br w:val="nil"/>
              <w:tr2bl w:val="nil"/>
            </w:tcBorders>
            <w:vAlign w:val="center"/>
          </w:tcPr>
          <w:p w14:paraId="79461502">
            <w:pPr>
              <w:pStyle w:val="44"/>
              <w:rPr>
                <w:color w:val="auto"/>
              </w:rPr>
            </w:pPr>
            <w:r>
              <w:rPr>
                <w:color w:val="auto"/>
              </w:rPr>
              <w:t>5.82</w:t>
            </w:r>
          </w:p>
        </w:tc>
        <w:tc>
          <w:tcPr>
            <w:tcW w:w="833" w:type="pct"/>
            <w:tcBorders>
              <w:tl2br w:val="nil"/>
              <w:tr2bl w:val="nil"/>
            </w:tcBorders>
            <w:vAlign w:val="center"/>
          </w:tcPr>
          <w:p w14:paraId="72F36E33">
            <w:pPr>
              <w:pStyle w:val="44"/>
              <w:rPr>
                <w:color w:val="auto"/>
              </w:rPr>
            </w:pPr>
            <w:r>
              <w:rPr>
                <w:color w:val="auto"/>
              </w:rPr>
              <w:t>丰收坝水厂</w:t>
            </w:r>
          </w:p>
        </w:tc>
        <w:tc>
          <w:tcPr>
            <w:tcW w:w="917" w:type="pct"/>
            <w:tcBorders>
              <w:tl2br w:val="nil"/>
              <w:tr2bl w:val="nil"/>
            </w:tcBorders>
            <w:vAlign w:val="center"/>
          </w:tcPr>
          <w:p w14:paraId="4FDC9C84">
            <w:pPr>
              <w:pStyle w:val="44"/>
              <w:rPr>
                <w:color w:val="auto"/>
              </w:rPr>
            </w:pPr>
            <w:r>
              <w:rPr>
                <w:color w:val="auto"/>
              </w:rPr>
              <w:t>40</w:t>
            </w:r>
          </w:p>
        </w:tc>
        <w:tc>
          <w:tcPr>
            <w:tcW w:w="1343" w:type="dxa"/>
            <w:tcBorders>
              <w:tl2br w:val="nil"/>
              <w:tr2bl w:val="nil"/>
            </w:tcBorders>
            <w:vAlign w:val="center"/>
          </w:tcPr>
          <w:p w14:paraId="707F6A8F">
            <w:pPr>
              <w:pStyle w:val="44"/>
              <w:rPr>
                <w:color w:val="auto"/>
              </w:rPr>
            </w:pPr>
            <w:r>
              <w:rPr>
                <w:color w:val="auto"/>
              </w:rPr>
              <w:t>14.55%</w:t>
            </w:r>
          </w:p>
        </w:tc>
      </w:tr>
      <w:tr w14:paraId="0DDCC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33" w:type="pct"/>
            <w:tcBorders>
              <w:tl2br w:val="nil"/>
              <w:tr2bl w:val="nil"/>
            </w:tcBorders>
            <w:vAlign w:val="center"/>
          </w:tcPr>
          <w:p w14:paraId="1C792571">
            <w:pPr>
              <w:pStyle w:val="44"/>
              <w:rPr>
                <w:color w:val="auto"/>
              </w:rPr>
            </w:pPr>
            <w:r>
              <w:rPr>
                <w:color w:val="auto"/>
              </w:rPr>
              <w:t>C区</w:t>
            </w:r>
          </w:p>
        </w:tc>
        <w:tc>
          <w:tcPr>
            <w:tcW w:w="1492" w:type="dxa"/>
            <w:tcBorders>
              <w:tl2br w:val="nil"/>
              <w:tr2bl w:val="nil"/>
            </w:tcBorders>
            <w:vAlign w:val="center"/>
          </w:tcPr>
          <w:p w14:paraId="21403B7F">
            <w:pPr>
              <w:pStyle w:val="44"/>
              <w:rPr>
                <w:color w:val="auto"/>
              </w:rPr>
            </w:pPr>
            <w:r>
              <w:rPr>
                <w:color w:val="auto"/>
              </w:rPr>
              <w:t>1334.42</w:t>
            </w:r>
          </w:p>
        </w:tc>
        <w:tc>
          <w:tcPr>
            <w:tcW w:w="1492" w:type="dxa"/>
            <w:tcBorders>
              <w:tl2br w:val="nil"/>
              <w:tr2bl w:val="nil"/>
            </w:tcBorders>
            <w:vAlign w:val="center"/>
          </w:tcPr>
          <w:p w14:paraId="789584BC">
            <w:pPr>
              <w:pStyle w:val="44"/>
              <w:rPr>
                <w:color w:val="auto"/>
              </w:rPr>
            </w:pPr>
            <w:r>
              <w:rPr>
                <w:color w:val="auto"/>
              </w:rPr>
              <w:t>4.39</w:t>
            </w:r>
          </w:p>
        </w:tc>
        <w:tc>
          <w:tcPr>
            <w:tcW w:w="833" w:type="pct"/>
            <w:tcBorders>
              <w:tl2br w:val="nil"/>
              <w:tr2bl w:val="nil"/>
            </w:tcBorders>
            <w:vAlign w:val="center"/>
          </w:tcPr>
          <w:p w14:paraId="34C8DB16">
            <w:pPr>
              <w:pStyle w:val="44"/>
              <w:rPr>
                <w:color w:val="auto"/>
              </w:rPr>
            </w:pPr>
            <w:r>
              <w:rPr>
                <w:color w:val="auto"/>
              </w:rPr>
              <w:t>西彭水厂</w:t>
            </w:r>
          </w:p>
        </w:tc>
        <w:tc>
          <w:tcPr>
            <w:tcW w:w="917" w:type="pct"/>
            <w:tcBorders>
              <w:tl2br w:val="nil"/>
              <w:tr2bl w:val="nil"/>
            </w:tcBorders>
            <w:vAlign w:val="center"/>
          </w:tcPr>
          <w:p w14:paraId="0519683F">
            <w:pPr>
              <w:pStyle w:val="44"/>
              <w:rPr>
                <w:color w:val="auto"/>
              </w:rPr>
            </w:pPr>
            <w:r>
              <w:rPr>
                <w:color w:val="auto"/>
              </w:rPr>
              <w:t>40</w:t>
            </w:r>
          </w:p>
        </w:tc>
        <w:tc>
          <w:tcPr>
            <w:tcW w:w="1343" w:type="dxa"/>
            <w:tcBorders>
              <w:tl2br w:val="nil"/>
              <w:tr2bl w:val="nil"/>
            </w:tcBorders>
            <w:vAlign w:val="center"/>
          </w:tcPr>
          <w:p w14:paraId="54399DCF">
            <w:pPr>
              <w:pStyle w:val="44"/>
              <w:rPr>
                <w:color w:val="auto"/>
              </w:rPr>
            </w:pPr>
            <w:r>
              <w:rPr>
                <w:color w:val="auto"/>
              </w:rPr>
              <w:t>10.97%</w:t>
            </w:r>
          </w:p>
        </w:tc>
      </w:tr>
      <w:tr w14:paraId="09B74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33" w:type="pct"/>
            <w:tcBorders>
              <w:tl2br w:val="nil"/>
              <w:tr2bl w:val="nil"/>
            </w:tcBorders>
            <w:vAlign w:val="center"/>
          </w:tcPr>
          <w:p w14:paraId="7C917B2B">
            <w:pPr>
              <w:pStyle w:val="44"/>
              <w:rPr>
                <w:color w:val="auto"/>
              </w:rPr>
            </w:pPr>
            <w:r>
              <w:rPr>
                <w:color w:val="auto"/>
              </w:rPr>
              <w:t>合计</w:t>
            </w:r>
          </w:p>
        </w:tc>
        <w:tc>
          <w:tcPr>
            <w:tcW w:w="1492" w:type="dxa"/>
            <w:tcBorders>
              <w:tl2br w:val="nil"/>
              <w:tr2bl w:val="nil"/>
            </w:tcBorders>
            <w:vAlign w:val="center"/>
          </w:tcPr>
          <w:p w14:paraId="19E1BBED">
            <w:pPr>
              <w:pStyle w:val="44"/>
              <w:rPr>
                <w:color w:val="auto"/>
              </w:rPr>
            </w:pPr>
            <w:r>
              <w:rPr>
                <w:color w:val="auto"/>
              </w:rPr>
              <w:t>3685.95</w:t>
            </w:r>
          </w:p>
        </w:tc>
        <w:tc>
          <w:tcPr>
            <w:tcW w:w="1492" w:type="dxa"/>
            <w:tcBorders>
              <w:tl2br w:val="nil"/>
              <w:tr2bl w:val="nil"/>
            </w:tcBorders>
            <w:vAlign w:val="center"/>
          </w:tcPr>
          <w:p w14:paraId="22B7F3F2">
            <w:pPr>
              <w:pStyle w:val="44"/>
              <w:rPr>
                <w:color w:val="auto"/>
              </w:rPr>
            </w:pPr>
            <w:r>
              <w:rPr>
                <w:color w:val="auto"/>
              </w:rPr>
              <w:t>12.12</w:t>
            </w:r>
          </w:p>
        </w:tc>
        <w:tc>
          <w:tcPr>
            <w:tcW w:w="833" w:type="pct"/>
            <w:tcBorders>
              <w:tl2br w:val="nil"/>
              <w:tr2bl w:val="nil"/>
            </w:tcBorders>
            <w:vAlign w:val="center"/>
          </w:tcPr>
          <w:p w14:paraId="347BFF1D">
            <w:pPr>
              <w:pStyle w:val="44"/>
              <w:rPr>
                <w:color w:val="auto"/>
              </w:rPr>
            </w:pPr>
          </w:p>
        </w:tc>
        <w:tc>
          <w:tcPr>
            <w:tcW w:w="917" w:type="pct"/>
            <w:tcBorders>
              <w:tl2br w:val="nil"/>
              <w:tr2bl w:val="nil"/>
            </w:tcBorders>
            <w:vAlign w:val="center"/>
          </w:tcPr>
          <w:p w14:paraId="50C1F6CE">
            <w:pPr>
              <w:pStyle w:val="44"/>
              <w:rPr>
                <w:color w:val="auto"/>
              </w:rPr>
            </w:pPr>
            <w:r>
              <w:rPr>
                <w:color w:val="auto"/>
              </w:rPr>
              <w:t>115</w:t>
            </w:r>
          </w:p>
        </w:tc>
        <w:tc>
          <w:tcPr>
            <w:tcW w:w="750" w:type="pct"/>
            <w:tcBorders>
              <w:tl2br w:val="nil"/>
              <w:tr2bl w:val="nil"/>
            </w:tcBorders>
            <w:vAlign w:val="center"/>
          </w:tcPr>
          <w:p w14:paraId="67658A90">
            <w:pPr>
              <w:pStyle w:val="44"/>
              <w:rPr>
                <w:color w:val="auto"/>
              </w:rPr>
            </w:pPr>
          </w:p>
        </w:tc>
      </w:tr>
    </w:tbl>
    <w:p w14:paraId="54852B53">
      <w:pPr>
        <w:ind w:firstLine="480"/>
        <w:rPr>
          <w:color w:val="auto"/>
        </w:rPr>
      </w:pPr>
      <w:r>
        <w:rPr>
          <w:color w:val="auto"/>
        </w:rPr>
        <w:t>由于九龙工业园区A、B、C三区的供水相对独立，不存在交叉供水，因此，本次从分别分析水厂的供水规模是否满足需水要求。A区2025年最高日需水量占和尚山水厂供水能力的5.46%；B区2025年最高日需水量站丰收坝水厂供水能力的14.55%；C区2025年最高日需水量占西彭水厂供水能力的10.97%。根据各水厂的初步设计报告以及水资源论证报告，在确定水厂规模时九龙工业园区均在其供水范围内。</w:t>
      </w:r>
    </w:p>
    <w:p w14:paraId="03C7F84D">
      <w:pPr>
        <w:ind w:firstLine="480"/>
        <w:rPr>
          <w:color w:val="auto"/>
        </w:rPr>
      </w:pPr>
      <w:r>
        <w:rPr>
          <w:color w:val="auto"/>
        </w:rPr>
        <w:t>综上所述，九龙工业园区水资源配置方案符合节水要求。</w:t>
      </w:r>
    </w:p>
    <w:p w14:paraId="154BC55F">
      <w:pPr>
        <w:pStyle w:val="5"/>
        <w:numPr>
          <w:ilvl w:val="0"/>
          <w:numId w:val="0"/>
        </w:numPr>
        <w:spacing w:before="166" w:after="166"/>
        <w:rPr>
          <w:color w:val="auto"/>
          <w:szCs w:val="28"/>
        </w:rPr>
      </w:pPr>
      <w:r>
        <w:rPr>
          <w:color w:val="auto"/>
          <w:szCs w:val="28"/>
        </w:rPr>
        <w:t>5.3.4取用水必要性与可行性评价</w:t>
      </w:r>
    </w:p>
    <w:p w14:paraId="1B43467C">
      <w:pPr>
        <w:ind w:firstLine="482"/>
        <w:rPr>
          <w:b/>
          <w:bCs/>
          <w:color w:val="auto"/>
        </w:rPr>
      </w:pPr>
      <w:r>
        <w:rPr>
          <w:b/>
          <w:bCs/>
          <w:color w:val="auto"/>
        </w:rPr>
        <w:t>（1）取用水必要性</w:t>
      </w:r>
    </w:p>
    <w:p w14:paraId="78F5737F">
      <w:pPr>
        <w:ind w:firstLine="480"/>
        <w:rPr>
          <w:color w:val="auto"/>
        </w:rPr>
      </w:pPr>
      <w:r>
        <w:rPr>
          <w:color w:val="auto"/>
          <w:szCs w:val="28"/>
        </w:rPr>
        <w:t>重庆九龙工业园区是国家发改委核准的省（市）级特色工业园区，是国家首批新型工业化示范基地、再制造基地。2018年，根据中华人民共和国国家发展和改革委员会等6部委《公告》（2018年第4号）中，中国开发区审核公告目录（2018年版）核定了重庆九龙工业园区范围。根据九龙工业园区的规划发展状况及重庆高新区成立，现状A、B、C区均有调整，调整后</w:t>
      </w:r>
      <w:r>
        <w:rPr>
          <w:color w:val="auto"/>
        </w:rPr>
        <w:t>总面积2116.08hm²。因此，作为九龙坡区工业经济发展的重要平台，按照园区的规划发展定位，其取用水是必要的。</w:t>
      </w:r>
    </w:p>
    <w:p w14:paraId="48D6C15D">
      <w:pPr>
        <w:ind w:firstLine="482"/>
        <w:rPr>
          <w:b/>
          <w:bCs/>
          <w:color w:val="auto"/>
        </w:rPr>
      </w:pPr>
      <w:r>
        <w:rPr>
          <w:b/>
          <w:bCs/>
          <w:color w:val="auto"/>
        </w:rPr>
        <w:t>（2）取用水</w:t>
      </w:r>
      <w:r>
        <w:rPr>
          <w:b/>
          <w:bCs/>
          <w:color w:val="auto"/>
          <w:szCs w:val="28"/>
        </w:rPr>
        <w:t>可行</w:t>
      </w:r>
      <w:r>
        <w:rPr>
          <w:b/>
          <w:bCs/>
          <w:color w:val="auto"/>
        </w:rPr>
        <w:t>性</w:t>
      </w:r>
    </w:p>
    <w:p w14:paraId="1ACB8D83">
      <w:pPr>
        <w:ind w:firstLine="480"/>
        <w:rPr>
          <w:color w:val="auto"/>
        </w:rPr>
      </w:pPr>
      <w:r>
        <w:rPr>
          <w:color w:val="auto"/>
          <w:szCs w:val="28"/>
        </w:rPr>
        <w:t>园区</w:t>
      </w:r>
      <w:r>
        <w:rPr>
          <w:color w:val="auto"/>
        </w:rPr>
        <w:t>取水水源为和尚山水厂、丰收坝水厂以及西彭水厂，取用水符合国家水资源相关政策和重庆市地方法律法规，符合地区社会经济发展需要，工程建设后具有显著的社会效益、经济效益。和尚山水厂、丰收坝水厂以及西彭水厂取水量占流域来水比例较少，对流域水资源量影响很小。园区来水利用后全部进入市政管道或污水处理厂，集中处理达标后，再进行排放；通过水量循环，来水大部分又回归原水体，对流域水量基本没有影响。综上所述，九龙工业园区取用水是可行的。</w:t>
      </w:r>
    </w:p>
    <w:p w14:paraId="2BEE4BC9">
      <w:pPr>
        <w:pStyle w:val="5"/>
        <w:numPr>
          <w:ilvl w:val="0"/>
          <w:numId w:val="0"/>
        </w:numPr>
        <w:spacing w:before="166" w:after="166"/>
        <w:rPr>
          <w:color w:val="auto"/>
        </w:rPr>
      </w:pPr>
      <w:r>
        <w:rPr>
          <w:color w:val="auto"/>
        </w:rPr>
        <w:t>5.3.5取用水规模合理性节水评价</w:t>
      </w:r>
    </w:p>
    <w:p w14:paraId="2CE4DC58">
      <w:pPr>
        <w:ind w:firstLine="480"/>
        <w:rPr>
          <w:color w:val="auto"/>
        </w:rPr>
      </w:pPr>
      <w:r>
        <w:rPr>
          <w:color w:val="auto"/>
        </w:rPr>
        <w:t>根据《重庆市人民政府办公厅关于印发2016-2020年度水资源管理“三条红水线”控制指标的通知》（渝府办发〔2016〕152号）、《重庆市人民政府办公厅关于调整九龙坡区等8个区2030年用水总量控制目标的通知》（渝府办〔2018〕14号），九龙坡区2019年用水总量控制指标为24700万m³，2030年用水总量控制指标为30109万m³，2025年用水总量控制指标为27650万m³（根据2019年用水总量与2030年用水总量插值得到）。2019年九龙坡区用水总量为23365万m³，较用水总量控制指标富余空间为4285万m³，还具有一定的开发利用潜力。</w:t>
      </w:r>
    </w:p>
    <w:p w14:paraId="47154357">
      <w:pPr>
        <w:ind w:firstLine="480"/>
        <w:rPr>
          <w:color w:val="auto"/>
        </w:rPr>
      </w:pPr>
      <w:r>
        <w:rPr>
          <w:color w:val="auto"/>
        </w:rPr>
        <w:t>《室外给水设计标准》（GB50013-2018）适用于城市总体规划的给水工程规划，考虑了国家的宏观节水政策及建设节水型社会的要求。对于评价区的打造应以引进的企业是低耗能、节水型的科技创新型现代企业为主体。因此，根据不同用水结构进行分项预测，在城市现状用水情况的基础上，根据近期用水增长趋势，确定各项需水预测成果。该方法预测的成果，不仅更符合区域实际情况，同时还能极好地体现城市用水结构。至2025年，园区年需水量为3685.95万m³。</w:t>
      </w:r>
    </w:p>
    <w:p w14:paraId="2B59AD3C">
      <w:pPr>
        <w:ind w:firstLine="480"/>
        <w:rPr>
          <w:color w:val="auto"/>
        </w:rPr>
      </w:pPr>
      <w:r>
        <w:rPr>
          <w:color w:val="auto"/>
        </w:rPr>
        <w:t>综上分析，在园区规划年用水总量预测中，已充分考虑了用水定额和区域水资源条件，满足节水型社会建设要求，其取用水规模是合理的。</w:t>
      </w:r>
    </w:p>
    <w:p w14:paraId="50C0629A">
      <w:pPr>
        <w:pStyle w:val="4"/>
        <w:numPr>
          <w:ilvl w:val="1"/>
          <w:numId w:val="0"/>
        </w:numPr>
        <w:spacing w:before="166" w:after="166"/>
        <w:rPr>
          <w:color w:val="auto"/>
        </w:rPr>
      </w:pPr>
      <w:bookmarkStart w:id="58" w:name="_Toc20920"/>
      <w:r>
        <w:rPr>
          <w:color w:val="auto"/>
        </w:rPr>
        <w:t>5.4节水措施方案与节水效果评价</w:t>
      </w:r>
      <w:bookmarkEnd w:id="58"/>
    </w:p>
    <w:p w14:paraId="035271C7">
      <w:pPr>
        <w:pStyle w:val="5"/>
        <w:numPr>
          <w:ilvl w:val="0"/>
          <w:numId w:val="0"/>
        </w:numPr>
        <w:spacing w:before="166" w:after="166"/>
        <w:rPr>
          <w:color w:val="auto"/>
        </w:rPr>
      </w:pPr>
      <w:r>
        <w:rPr>
          <w:color w:val="auto"/>
        </w:rPr>
        <w:t>5.4.1节水措施方案</w:t>
      </w:r>
    </w:p>
    <w:p w14:paraId="3A71D0FA">
      <w:pPr>
        <w:ind w:firstLine="482"/>
        <w:rPr>
          <w:b/>
          <w:bCs/>
          <w:color w:val="auto"/>
        </w:rPr>
      </w:pPr>
      <w:r>
        <w:rPr>
          <w:b/>
          <w:bCs/>
          <w:color w:val="auto"/>
        </w:rPr>
        <w:t>（1）工业节水</w:t>
      </w:r>
    </w:p>
    <w:p w14:paraId="4DCC4B75">
      <w:pPr>
        <w:ind w:firstLine="480"/>
        <w:rPr>
          <w:color w:val="auto"/>
        </w:rPr>
      </w:pPr>
      <w:r>
        <w:rPr>
          <w:color w:val="auto"/>
        </w:rPr>
        <w:t>1）优化调整产业结构</w:t>
      </w:r>
    </w:p>
    <w:p w14:paraId="4183EDE7">
      <w:pPr>
        <w:ind w:firstLine="480"/>
        <w:rPr>
          <w:color w:val="auto"/>
        </w:rPr>
      </w:pPr>
      <w:r>
        <w:rPr>
          <w:color w:val="auto"/>
        </w:rPr>
        <w:t>坚持以水定产的原则，统筹给水、节水、排水、污水处理与再生利用等用水管理与产业发展的协调。根据区域水资源条件和行业特点，科学调整产业结构布局。将发展节水型工业与产业结构调整有机结合起来，发展符合国家产业政策、水资源消耗少、用水效率高的产业，严格控制高耗水、高污染项目建设。</w:t>
      </w:r>
    </w:p>
    <w:p w14:paraId="65CAD122">
      <w:pPr>
        <w:ind w:firstLine="480"/>
        <w:rPr>
          <w:color w:val="auto"/>
        </w:rPr>
      </w:pPr>
      <w:r>
        <w:rPr>
          <w:color w:val="auto"/>
        </w:rPr>
        <w:t>2）大力推进工业节水改造</w:t>
      </w:r>
    </w:p>
    <w:p w14:paraId="5805BB23">
      <w:pPr>
        <w:ind w:firstLine="480"/>
        <w:rPr>
          <w:color w:val="auto"/>
        </w:rPr>
      </w:pPr>
      <w:r>
        <w:rPr>
          <w:color w:val="auto"/>
        </w:rPr>
        <w:t>完善供用水计量体系和在线监测系统，强化生产用水管理。大力推广高效洗涤、循环用水、废污水再生利用、高耗水生产工艺替代等节水工艺和技术。支持企业开展节水技术改造及再生水回用改造，重点企业要定期开展水平衡测试、用水审计及水效对标。对超过取水定额标准的企业分类分步限期实施节水改造。</w:t>
      </w:r>
    </w:p>
    <w:p w14:paraId="75D9C229">
      <w:pPr>
        <w:ind w:firstLine="480"/>
        <w:rPr>
          <w:color w:val="auto"/>
        </w:rPr>
      </w:pPr>
      <w:r>
        <w:rPr>
          <w:color w:val="auto"/>
        </w:rPr>
        <w:t>3）推动高耗水行业节水增效</w:t>
      </w:r>
    </w:p>
    <w:p w14:paraId="3F2D8E0B">
      <w:pPr>
        <w:ind w:firstLine="480"/>
        <w:rPr>
          <w:color w:val="auto"/>
        </w:rPr>
      </w:pPr>
      <w:r>
        <w:rPr>
          <w:color w:val="auto"/>
        </w:rPr>
        <w:t>实施节水管理和改造升级，采用差别水价以及树立节水标杆等措施，促进高耗水企业加强废水深度处理和达标再利用。对采用列入淘汰目录工艺、技术和装备的项目，不予批准取水许可；未按期淘汰的，要依法严格查处。</w:t>
      </w:r>
    </w:p>
    <w:p w14:paraId="317BA939">
      <w:pPr>
        <w:ind w:firstLine="480"/>
        <w:rPr>
          <w:color w:val="auto"/>
        </w:rPr>
      </w:pPr>
      <w:r>
        <w:rPr>
          <w:color w:val="auto"/>
        </w:rPr>
        <w:t>4）积极推行水循环梯级利用</w:t>
      </w:r>
    </w:p>
    <w:p w14:paraId="0CDC061C">
      <w:pPr>
        <w:ind w:firstLine="480"/>
        <w:rPr>
          <w:color w:val="auto"/>
        </w:rPr>
      </w:pPr>
      <w:r>
        <w:rPr>
          <w:color w:val="auto"/>
        </w:rPr>
        <w:t>园区要统筹供排水、水处理及循环利用设施建设，推动企业间的用水系统集成优化。推进现有企业开展以节水为重点内容的绿色高质量转型升级和循环化改造，促进企业间串联用水、分质用水，一水多用和循环利用。</w:t>
      </w:r>
    </w:p>
    <w:p w14:paraId="7CA56FEF">
      <w:pPr>
        <w:ind w:firstLine="480"/>
        <w:rPr>
          <w:color w:val="auto"/>
        </w:rPr>
      </w:pPr>
      <w:r>
        <w:rPr>
          <w:color w:val="auto"/>
        </w:rPr>
        <w:t>5）落实企业水平衡测试工作</w:t>
      </w:r>
    </w:p>
    <w:p w14:paraId="5D0DB8E9">
      <w:pPr>
        <w:ind w:firstLine="480"/>
        <w:rPr>
          <w:color w:val="auto"/>
        </w:rPr>
      </w:pPr>
      <w:r>
        <w:rPr>
          <w:color w:val="auto"/>
        </w:rPr>
        <w:t>全面开展工业企业的水平衡测试工作，根据水平衡测试结果，采取工程措施全面整治工业企业内的跑、冒、漏现象。企业按照节水型企业创建的要求，每三年开展一次水平衡测试工作。从各方面提高用水水平，全面建成节水型企业。</w:t>
      </w:r>
    </w:p>
    <w:p w14:paraId="24B650AE">
      <w:pPr>
        <w:ind w:firstLine="482"/>
        <w:rPr>
          <w:b/>
          <w:bCs/>
          <w:color w:val="auto"/>
        </w:rPr>
      </w:pPr>
      <w:r>
        <w:rPr>
          <w:b/>
          <w:bCs/>
          <w:color w:val="auto"/>
        </w:rPr>
        <w:t>（2）生活节水</w:t>
      </w:r>
    </w:p>
    <w:p w14:paraId="6D6FC835">
      <w:pPr>
        <w:ind w:firstLine="480"/>
        <w:rPr>
          <w:color w:val="auto"/>
        </w:rPr>
      </w:pPr>
      <w:r>
        <w:rPr>
          <w:color w:val="auto"/>
        </w:rPr>
        <w:t>1）全面推进节水型城市建设</w:t>
      </w:r>
    </w:p>
    <w:p w14:paraId="1CE59994">
      <w:pPr>
        <w:ind w:firstLine="480"/>
        <w:rPr>
          <w:color w:val="auto"/>
        </w:rPr>
      </w:pPr>
      <w:r>
        <w:rPr>
          <w:color w:val="auto"/>
        </w:rPr>
        <w:t>提高城市节水工作系统性，将节水落实到城市规划、建设、管理各环节，实现优水优用、循环循序利用。落实城市节水各项基础管理制度，推进城镇节水改造；结合海绵城市建设，提高雨水资源利用水平；重点抓好再生水利用设施建设与改造，城市生态景观、工业生产、城市绿化、道路清扫、车辆冲洗和建筑施工等，优先使用再生水，提升再生水利用水平，鼓励构建城镇良性水循环系统。</w:t>
      </w:r>
    </w:p>
    <w:p w14:paraId="34D6AD94">
      <w:pPr>
        <w:ind w:firstLine="480"/>
        <w:rPr>
          <w:color w:val="auto"/>
        </w:rPr>
      </w:pPr>
      <w:r>
        <w:rPr>
          <w:color w:val="auto"/>
        </w:rPr>
        <w:t>2）大幅降低供水管网漏损</w:t>
      </w:r>
    </w:p>
    <w:p w14:paraId="20482E97">
      <w:pPr>
        <w:ind w:firstLine="480"/>
        <w:rPr>
          <w:color w:val="auto"/>
        </w:rPr>
      </w:pPr>
      <w:r>
        <w:rPr>
          <w:color w:val="auto"/>
        </w:rPr>
        <w:t>加快制定和实施供水管网改造建设实施方案，完善供水管网检漏制度。加强公共供水系统运行监督管理，推进城镇供水管网分区计量管理，建立精细化管理平台和漏损管控体系，协同推进二次供水设施改造和专业化管理。重点推动老城区、老校区等管网高漏损区域节水改造，逐步降低管网漏损率。</w:t>
      </w:r>
    </w:p>
    <w:p w14:paraId="58D408DE">
      <w:pPr>
        <w:ind w:firstLine="480"/>
        <w:rPr>
          <w:color w:val="auto"/>
        </w:rPr>
      </w:pPr>
      <w:r>
        <w:rPr>
          <w:color w:val="auto"/>
        </w:rPr>
        <w:t>3）推进城镇供水管网分区计量管理</w:t>
      </w:r>
    </w:p>
    <w:p w14:paraId="28E6F67D">
      <w:pPr>
        <w:ind w:firstLine="480"/>
        <w:rPr>
          <w:color w:val="auto"/>
        </w:rPr>
      </w:pPr>
      <w:r>
        <w:rPr>
          <w:color w:val="auto"/>
        </w:rPr>
        <w:t>根据住建部《城镇供水管网分区计量管理工作指南—供水管网漏损管控体系构建》（试行），建设供水管网漏损控制系统，对管网巡查探漏、分区DMA计量、流量和压力数据等进行统一管理，提高综合分析和辅助决策能力，提升漏损控制水平。加强水表检定和更换，对收费计量水表进行定期检定及定期轮换。</w:t>
      </w:r>
    </w:p>
    <w:p w14:paraId="1E92602C">
      <w:pPr>
        <w:ind w:firstLine="480"/>
        <w:rPr>
          <w:color w:val="auto"/>
        </w:rPr>
      </w:pPr>
      <w:r>
        <w:rPr>
          <w:color w:val="auto"/>
        </w:rPr>
        <w:t>4）深入开展公共领域节水</w:t>
      </w:r>
    </w:p>
    <w:p w14:paraId="60FC72A5">
      <w:pPr>
        <w:ind w:firstLine="480"/>
        <w:rPr>
          <w:color w:val="auto"/>
        </w:rPr>
      </w:pPr>
      <w:r>
        <w:rPr>
          <w:color w:val="auto"/>
        </w:rPr>
        <w:t>城市园林绿化宜采用喷灌、微灌等节水灌溉方式。公共机构要开展供水管网、绿化浇灌系统等节水诊断，推广应用节水新技术、新工艺和新产品，提高节水器具使用率。大力推广绿色建筑，新建公共建筑必须安装节水器具。</w:t>
      </w:r>
    </w:p>
    <w:p w14:paraId="64C2910D">
      <w:pPr>
        <w:ind w:firstLine="480"/>
        <w:rPr>
          <w:color w:val="auto"/>
        </w:rPr>
      </w:pPr>
      <w:r>
        <w:rPr>
          <w:color w:val="auto"/>
        </w:rPr>
        <w:t>5）加大推广使用节水器具</w:t>
      </w:r>
    </w:p>
    <w:p w14:paraId="1740F73B">
      <w:pPr>
        <w:ind w:firstLine="480"/>
        <w:rPr>
          <w:color w:val="auto"/>
        </w:rPr>
      </w:pPr>
      <w:r>
        <w:rPr>
          <w:color w:val="auto"/>
        </w:rPr>
        <w:t>加大力度推广应用节水型设备和器具，推进节水产品推广普及。城市建成区内公共建筑、公共区域（厕所）等非居民住宅建筑的用水器具，应当在全面调查摸底基础上，按照实际情况制定换装计划并实施。鼓励老旧居民小区自主开展用水器具改造，引导居民淘汰现有不符合节水标准的生活用水器具。</w:t>
      </w:r>
    </w:p>
    <w:p w14:paraId="2DC3BE68">
      <w:pPr>
        <w:ind w:firstLine="482"/>
        <w:rPr>
          <w:b/>
          <w:bCs/>
          <w:color w:val="auto"/>
        </w:rPr>
      </w:pPr>
      <w:r>
        <w:rPr>
          <w:b/>
          <w:bCs/>
          <w:color w:val="auto"/>
        </w:rPr>
        <w:t>（3）非常规水源利用</w:t>
      </w:r>
    </w:p>
    <w:p w14:paraId="7DE8220F">
      <w:pPr>
        <w:ind w:firstLine="480"/>
        <w:rPr>
          <w:color w:val="auto"/>
        </w:rPr>
      </w:pPr>
      <w:r>
        <w:rPr>
          <w:color w:val="auto"/>
        </w:rPr>
        <w:t>1）加快推进海绵城市建设</w:t>
      </w:r>
    </w:p>
    <w:p w14:paraId="0DDE5A35">
      <w:pPr>
        <w:ind w:firstLine="480"/>
        <w:rPr>
          <w:color w:val="auto"/>
        </w:rPr>
      </w:pPr>
      <w:r>
        <w:rPr>
          <w:color w:val="auto"/>
        </w:rPr>
        <w:t>推行海绵城市建设，将评价区内新建项目按照海绵城市建设标准全面纳入基本建设审批程序，在土地出让函上明确海绵城市建设指标，在规划方案设计、施工图设计审查阶段编制海绵城市建设专篇，形成了海绵城市建设长效机制；认真梳理海绵城市建设试点近建区项目，按照雨水分区目标任务全面推进项目建设。</w:t>
      </w:r>
    </w:p>
    <w:p w14:paraId="5F90AAF0">
      <w:pPr>
        <w:ind w:firstLine="480"/>
        <w:rPr>
          <w:color w:val="auto"/>
        </w:rPr>
      </w:pPr>
      <w:r>
        <w:rPr>
          <w:color w:val="auto"/>
        </w:rPr>
        <w:t>2）推进再生水梯级循环利用</w:t>
      </w:r>
    </w:p>
    <w:p w14:paraId="16AF14D7">
      <w:pPr>
        <w:ind w:firstLine="480"/>
        <w:rPr>
          <w:color w:val="auto"/>
        </w:rPr>
      </w:pPr>
      <w:r>
        <w:rPr>
          <w:color w:val="auto"/>
        </w:rPr>
        <w:t>工业生产、城市绿化、道路清洗、车辆冲洗、建筑施工、消防、河道生态补水等用水，要优先使用再生水。工业园区配套污水处理厂进行中水回用。</w:t>
      </w:r>
    </w:p>
    <w:p w14:paraId="11BE4FB3">
      <w:pPr>
        <w:pStyle w:val="5"/>
        <w:numPr>
          <w:ilvl w:val="0"/>
          <w:numId w:val="0"/>
        </w:numPr>
        <w:spacing w:before="166" w:after="166"/>
        <w:rPr>
          <w:color w:val="auto"/>
        </w:rPr>
      </w:pPr>
      <w:r>
        <w:rPr>
          <w:color w:val="auto"/>
        </w:rPr>
        <w:t>5.4.2节水效果评价</w:t>
      </w:r>
    </w:p>
    <w:p w14:paraId="1D568742">
      <w:pPr>
        <w:ind w:firstLine="482"/>
        <w:rPr>
          <w:b/>
          <w:bCs/>
          <w:color w:val="auto"/>
        </w:rPr>
      </w:pPr>
      <w:r>
        <w:rPr>
          <w:b/>
          <w:bCs/>
          <w:color w:val="auto"/>
        </w:rPr>
        <w:t>（1）经济效益</w:t>
      </w:r>
    </w:p>
    <w:p w14:paraId="16B226C9">
      <w:pPr>
        <w:ind w:firstLine="480"/>
        <w:rPr>
          <w:color w:val="auto"/>
        </w:rPr>
      </w:pPr>
      <w:r>
        <w:rPr>
          <w:color w:val="auto"/>
        </w:rPr>
        <w:t>实施节约用水可以取得较大的直接经济效益。通过节约用水的实施，不仅可以节约用水量，减少城市供水系统的建设和运行成本，而且可以减少城市污水的排放量，减少城市污水收集处理系统的建设和运行成本。另外，通过非常规水资源利用以及分质供水的实施，也减少了供水系统的建设和运行成本。</w:t>
      </w:r>
    </w:p>
    <w:p w14:paraId="47A5F6D2">
      <w:pPr>
        <w:ind w:firstLine="482"/>
        <w:rPr>
          <w:b/>
          <w:bCs/>
          <w:color w:val="auto"/>
        </w:rPr>
      </w:pPr>
      <w:r>
        <w:rPr>
          <w:b/>
          <w:bCs/>
          <w:color w:val="auto"/>
        </w:rPr>
        <w:t>（2）社会效益</w:t>
      </w:r>
    </w:p>
    <w:p w14:paraId="35B40BBA">
      <w:pPr>
        <w:ind w:firstLine="480"/>
        <w:rPr>
          <w:color w:val="auto"/>
        </w:rPr>
      </w:pPr>
      <w:r>
        <w:rPr>
          <w:color w:val="auto"/>
        </w:rPr>
        <w:t>节水不是简单地压缩经济社会用水，而是在充分保证经济社会发展用水需求，客观分析经济社会发展与水资源供需关系的基础上，通过技术、管理、法律、行政等手段，节约水资源。节水工作开展，将有效地提高水资源的利用效率与效益，高效节约与优化配置水资源，避免水事纠纷，促进经济社会和谐健康发展。</w:t>
      </w:r>
    </w:p>
    <w:p w14:paraId="0D52C0FC">
      <w:pPr>
        <w:ind w:firstLine="480"/>
        <w:rPr>
          <w:color w:val="auto"/>
        </w:rPr>
      </w:pPr>
      <w:r>
        <w:rPr>
          <w:color w:val="auto"/>
        </w:rPr>
        <w:t>1）在工业节水方面，通过调整产业结构、生产工艺改造等措施，节约水资源，遏制水污染加剧，引导产业走向科技含量高、资源消耗低、环境污染少、生态效益高的新型工业化道路，促进经济增长方式转变，实现经济社会又好又快发展。</w:t>
      </w:r>
    </w:p>
    <w:p w14:paraId="53D90818">
      <w:pPr>
        <w:ind w:firstLine="480"/>
        <w:rPr>
          <w:color w:val="auto"/>
        </w:rPr>
      </w:pPr>
      <w:r>
        <w:rPr>
          <w:color w:val="auto"/>
        </w:rPr>
        <w:t>2）在城镇节水方面，通过生活节水器具推广、居民饮用水供水管网改造、中水回用工程以及一系列节水制度的实施，有效节约水资源，提高居民生活质量。</w:t>
      </w:r>
    </w:p>
    <w:p w14:paraId="48CEC357">
      <w:pPr>
        <w:ind w:firstLine="480"/>
        <w:rPr>
          <w:color w:val="auto"/>
        </w:rPr>
      </w:pPr>
      <w:r>
        <w:rPr>
          <w:color w:val="auto"/>
        </w:rPr>
        <w:t>3）广泛地开展节水宣传和教育，将提高社会公众节约资源和环境保护的意识，从而增加经济社会可持续发展的动力。</w:t>
      </w:r>
    </w:p>
    <w:p w14:paraId="21737B76">
      <w:pPr>
        <w:ind w:firstLine="482"/>
        <w:rPr>
          <w:b/>
          <w:bCs/>
          <w:color w:val="auto"/>
        </w:rPr>
      </w:pPr>
      <w:r>
        <w:rPr>
          <w:b/>
          <w:bCs/>
          <w:color w:val="auto"/>
        </w:rPr>
        <w:t>（3）生态效益</w:t>
      </w:r>
    </w:p>
    <w:p w14:paraId="716484FA">
      <w:pPr>
        <w:ind w:firstLine="480"/>
        <w:rPr>
          <w:color w:val="auto"/>
        </w:rPr>
      </w:pPr>
      <w:r>
        <w:rPr>
          <w:color w:val="auto"/>
        </w:rPr>
        <w:t>生态与环境效益主要体现在维持了基本生态用水，减少排污量的同时改善生态与环境，提高水资源承载能力，促进水资源可持续利用。</w:t>
      </w:r>
    </w:p>
    <w:p w14:paraId="47749BF8">
      <w:pPr>
        <w:ind w:firstLine="480"/>
        <w:rPr>
          <w:color w:val="auto"/>
        </w:rPr>
      </w:pPr>
      <w:r>
        <w:rPr>
          <w:color w:val="auto"/>
        </w:rPr>
        <w:t>1）工业节水采取了优化产业结构和空间布局，控制高耗水企业，改进加工程序和生产工艺、引进先进技术等措施，有效地提高了水的重复利用率，减少了入河排污量，达到了“节水减排降污”的目的，有效保护了生态安全。</w:t>
      </w:r>
    </w:p>
    <w:p w14:paraId="21BE6CB4">
      <w:pPr>
        <w:ind w:firstLine="480"/>
        <w:rPr>
          <w:color w:val="auto"/>
        </w:rPr>
      </w:pPr>
      <w:r>
        <w:rPr>
          <w:color w:val="auto"/>
        </w:rPr>
        <w:t>2）城镇供水管网得到了逐步改造，使用年代长久和低材质供水管网的逐步更换一新，有效地降低了供水损耗，减轻了供水中重金属和有害物质的二次污染。</w:t>
      </w:r>
    </w:p>
    <w:p w14:paraId="1B5A5946">
      <w:pPr>
        <w:ind w:firstLine="480"/>
        <w:rPr>
          <w:color w:val="auto"/>
        </w:rPr>
      </w:pPr>
      <w:r>
        <w:rPr>
          <w:color w:val="auto"/>
        </w:rPr>
        <w:t>3）有计划地逐步实施再生水的利用，一方面可有效地节约淡水资源，实现水资源的再生和循环使用，另一方面可以有效控制污染物排放，改善水环境质量。</w:t>
      </w:r>
    </w:p>
    <w:p w14:paraId="7A852577">
      <w:pPr>
        <w:pStyle w:val="5"/>
        <w:numPr>
          <w:ilvl w:val="0"/>
          <w:numId w:val="0"/>
        </w:numPr>
        <w:spacing w:before="166" w:after="166"/>
        <w:rPr>
          <w:color w:val="auto"/>
        </w:rPr>
      </w:pPr>
      <w:r>
        <w:rPr>
          <w:color w:val="auto"/>
        </w:rPr>
        <w:t>5.4.3节水保障措施</w:t>
      </w:r>
    </w:p>
    <w:p w14:paraId="6109542F">
      <w:pPr>
        <w:ind w:firstLine="482"/>
        <w:rPr>
          <w:b/>
          <w:bCs/>
          <w:color w:val="auto"/>
        </w:rPr>
      </w:pPr>
      <w:r>
        <w:rPr>
          <w:b/>
          <w:bCs/>
          <w:color w:val="auto"/>
        </w:rPr>
        <w:t>（1）加强组织领导，强化责任落实</w:t>
      </w:r>
    </w:p>
    <w:p w14:paraId="439D7A7A">
      <w:pPr>
        <w:ind w:firstLine="480"/>
        <w:rPr>
          <w:color w:val="auto"/>
        </w:rPr>
      </w:pPr>
      <w:r>
        <w:rPr>
          <w:color w:val="auto"/>
        </w:rPr>
        <w:t>各级相关部门要高度重视节约用水工作，将节约用水工作纳入经济社会发展规划内容。各有关部门把节约用水工作纳入经济社会发展综合实际政绩考核内容，以考核为抓手，强化目标责任管理，推动节约用水工作开展。各有关部门、园区认真组织方案的实施，建立相应的协调机制，明确责任和分工，确保责任到位、措施到位、投入到位。按照职责分工，履行好组织、协调、监督、管理的职责，加大工作力度，落实目标任务，加强节约用水工作考核评估，确保节水方案的顺利实施。要做到同落实、同考核、同监督，确保节约用水的各项指标和措施落到实处。</w:t>
      </w:r>
    </w:p>
    <w:p w14:paraId="6AA2565F">
      <w:pPr>
        <w:ind w:firstLine="482"/>
        <w:rPr>
          <w:b/>
          <w:bCs/>
          <w:color w:val="auto"/>
        </w:rPr>
      </w:pPr>
      <w:r>
        <w:rPr>
          <w:b/>
          <w:bCs/>
          <w:color w:val="auto"/>
        </w:rPr>
        <w:t>（2）完善体制改革，深化综合管理</w:t>
      </w:r>
    </w:p>
    <w:p w14:paraId="7EDE2620">
      <w:pPr>
        <w:ind w:firstLine="480"/>
        <w:rPr>
          <w:color w:val="auto"/>
        </w:rPr>
      </w:pPr>
      <w:r>
        <w:rPr>
          <w:color w:val="auto"/>
        </w:rPr>
        <w:t>加大水资源管理体制改革与创新的力度，完善开发利用与节约保护相协调的水资源综合管理体制，建立各方参与、民主协商、共同决策、分工负责的议事决策机制和高效的执行机制。强化对水资源的综合管理，对水资源进行统一规划、统一配置、统一调度，提高水资源的集约高效利用能力，保障节水目标实现。要强化区水行政主管部门的水资源管理与监督职能，加强对取用水户水资源开发利用全过程的监管，协调好水资源开发利用与节约保护的关系，切实提高社会管理和公共服务的水平，规范水事行为，推进水资源利用方式从粗放型向集约化转变，促进水资源的合理开发、节约利用、有效保护和科学管理，实现水资源的可持续利用。</w:t>
      </w:r>
    </w:p>
    <w:p w14:paraId="63B2AECC">
      <w:pPr>
        <w:ind w:firstLine="482"/>
        <w:rPr>
          <w:b/>
          <w:bCs/>
          <w:color w:val="auto"/>
        </w:rPr>
      </w:pPr>
      <w:r>
        <w:rPr>
          <w:b/>
          <w:bCs/>
          <w:color w:val="auto"/>
        </w:rPr>
        <w:t>（3）健全管理制度，强化依法管水</w:t>
      </w:r>
    </w:p>
    <w:p w14:paraId="0178FF9C">
      <w:pPr>
        <w:ind w:firstLine="480"/>
        <w:rPr>
          <w:color w:val="auto"/>
        </w:rPr>
      </w:pPr>
      <w:r>
        <w:rPr>
          <w:color w:val="auto"/>
        </w:rPr>
        <w:t>制定以水权管理为核心内容，水资源配置、特殊情况下的水资源统一调配政策、水资源保护相统一的水资源管理政策；制定污水治理和排放政策，工业、生活废污水实行总量控制，有偿排放，严格执行废污水排放标准和收费标准。</w:t>
      </w:r>
    </w:p>
    <w:p w14:paraId="625A5D81">
      <w:pPr>
        <w:ind w:firstLine="480"/>
        <w:rPr>
          <w:color w:val="auto"/>
        </w:rPr>
      </w:pPr>
      <w:r>
        <w:rPr>
          <w:color w:val="auto"/>
        </w:rPr>
        <w:t>继续加强水行政执法队伍建设，提高人员素质和执法效率，增加执法透明度，树立良好形象。加强基层水政监察队伍建设，加强区水行政执法大队，发展园区支队，促使形成覆盖全区域的水行政执法网络；完善水行政执法责任制、水行政执法巡查制度等制度；提高执法人员文化水平、水利专业知识和综合素质。</w:t>
      </w:r>
    </w:p>
    <w:p w14:paraId="1E76A0BA">
      <w:pPr>
        <w:ind w:firstLine="480"/>
        <w:rPr>
          <w:color w:val="auto"/>
        </w:rPr>
      </w:pPr>
      <w:r>
        <w:rPr>
          <w:color w:val="auto"/>
        </w:rPr>
        <w:t>加强对领导干部的法制教育。领导干部到任前应经过一定学时的水政策法规知识培训，并把学习法律法规作为领导干部绩效考核的重要依据。加强对水行政执法人员的教育与培训，提高执法水平。结合国家每5年的普法活动，普及水政策法规知识。对于水事纠纷和水事案件的处理情况应予以公告，让群众及时了解和学习。</w:t>
      </w:r>
    </w:p>
    <w:p w14:paraId="5F251468">
      <w:pPr>
        <w:ind w:firstLine="482"/>
        <w:rPr>
          <w:b/>
          <w:bCs/>
          <w:color w:val="auto"/>
        </w:rPr>
      </w:pPr>
      <w:r>
        <w:rPr>
          <w:b/>
          <w:bCs/>
          <w:color w:val="auto"/>
        </w:rPr>
        <w:t>（4）拓宽融资渠道，加大投资力度</w:t>
      </w:r>
    </w:p>
    <w:p w14:paraId="25349B9B">
      <w:pPr>
        <w:ind w:firstLine="480"/>
        <w:rPr>
          <w:color w:val="auto"/>
        </w:rPr>
      </w:pPr>
      <w:r>
        <w:rPr>
          <w:color w:val="auto"/>
        </w:rPr>
        <w:t>财政部门要整合各有关部门节水专项资金，完善节水投入机制，保障节水工作有稳定的投入。继续加大对工业节水技术改造的支持力度。对用水监测与计量设施安装和改造、非常规水源利用等方面给予专项资金支持。安排专项资金重点支持节水试点及示范区工程建设。市级财政要加大对属于市级事权的节水项目支持力度，合理分担属于市、区共同事权的节水项目资金。积极争取中央资金支持，采取专项转移支付等方式，对节水项目实施“以奖代补”。城市供水管网改造、再生水利用示范项目资金主要由地方和企业筹资投入，同时要积极争取国家支持。</w:t>
      </w:r>
    </w:p>
    <w:p w14:paraId="013A0A03">
      <w:pPr>
        <w:ind w:firstLine="480"/>
        <w:rPr>
          <w:color w:val="auto"/>
        </w:rPr>
      </w:pPr>
      <w:r>
        <w:rPr>
          <w:color w:val="auto"/>
        </w:rPr>
        <w:t>完善政府、企业、社会多元化节水投融资机制，引导社会资金参与，积极鼓励民间投资，拓宽融资渠道，鼓励民间资本投入节水设备（产品）生产、工业节水改造、城市管网改造、污水处理再生水利用等项目。建立相应的水市场和制订有利于鼓励参与节水的运作制度，促进建立节水投融资长效机制。支持循环经济、再生水利用等领域企业发行短期融资券、中期票据、企业债、公司债等直接债务融资工具。积极发挥政策性银行等金融机构对节水项目资金支持的重要作用，重点支持循环经济、水资源节约、再生水利用等领域，开展绿色信贷政策导向效果评估。</w:t>
      </w:r>
    </w:p>
    <w:p w14:paraId="35701613">
      <w:pPr>
        <w:ind w:firstLine="482"/>
        <w:rPr>
          <w:b/>
          <w:bCs/>
          <w:color w:val="auto"/>
        </w:rPr>
      </w:pPr>
      <w:r>
        <w:rPr>
          <w:b/>
          <w:bCs/>
          <w:color w:val="auto"/>
        </w:rPr>
        <w:t>（5）加强宣传教育，营造节水氛围</w:t>
      </w:r>
    </w:p>
    <w:p w14:paraId="28178F67">
      <w:pPr>
        <w:ind w:firstLine="480"/>
        <w:rPr>
          <w:color w:val="auto"/>
        </w:rPr>
      </w:pPr>
      <w:r>
        <w:rPr>
          <w:color w:val="auto"/>
        </w:rPr>
        <w:t>利用电视、网络、手机、社区报栏等多种宣传形式，开展世界水日、中国水周、城市节水宣传周、节水志愿者活动和“节水使者”评选活动、中小学“绿色小使者”评选活动等形式多样的主题宣传活动，普及节水知识，增强全社会的水资源忧患意识和节约保护意识。深入开展基层节水文化建设，营造节约用水的社会氛围，提高公众节水意识和节水技能，加强对节约资源和保护环境价值理念的传播。</w:t>
      </w:r>
    </w:p>
    <w:p w14:paraId="5D70B1D8">
      <w:pPr>
        <w:pStyle w:val="4"/>
        <w:numPr>
          <w:ilvl w:val="1"/>
          <w:numId w:val="0"/>
        </w:numPr>
        <w:spacing w:before="166" w:after="166"/>
        <w:rPr>
          <w:color w:val="auto"/>
        </w:rPr>
      </w:pPr>
      <w:bookmarkStart w:id="59" w:name="_Toc14467"/>
      <w:r>
        <w:rPr>
          <w:color w:val="auto"/>
        </w:rPr>
        <w:t>5.5节水评价结论与建议</w:t>
      </w:r>
      <w:bookmarkEnd w:id="59"/>
    </w:p>
    <w:p w14:paraId="1B6BAA49">
      <w:pPr>
        <w:pStyle w:val="5"/>
        <w:numPr>
          <w:ilvl w:val="0"/>
          <w:numId w:val="0"/>
        </w:numPr>
        <w:spacing w:before="166" w:after="166"/>
        <w:rPr>
          <w:color w:val="auto"/>
        </w:rPr>
      </w:pPr>
      <w:r>
        <w:rPr>
          <w:color w:val="auto"/>
        </w:rPr>
        <w:t>5.5.1节水评价结论</w:t>
      </w:r>
    </w:p>
    <w:p w14:paraId="13B5861A">
      <w:pPr>
        <w:ind w:firstLine="480"/>
        <w:rPr>
          <w:color w:val="auto"/>
        </w:rPr>
      </w:pPr>
      <w:r>
        <w:rPr>
          <w:color w:val="auto"/>
        </w:rPr>
        <w:t>通过园区所在区域现状年用水水平对比可以看出，现状用水水平总体上处于中上游水平，用水效率尚可，但是仍有进一步的提升空间。各项节水目标及节水指标根据相关规范以及文件要求，具备可行性；水资源配置符合地区要求，区域用水总量以及用水效率各项指标控制在“三条红线”范围内；供水区现有供水工程可通过控制漏损进一步增加供水能力，项目的建设可以保证企业经济健康、可持续发展，是必要可行的；在工程布局时考虑到规划水平年节水要求，供水均采用管道供水，水量利用率达到较高水平。总体来说，本项目的建设符合节水要求。</w:t>
      </w:r>
    </w:p>
    <w:p w14:paraId="2F3437DC">
      <w:pPr>
        <w:pStyle w:val="5"/>
        <w:numPr>
          <w:ilvl w:val="0"/>
          <w:numId w:val="0"/>
        </w:numPr>
        <w:spacing w:before="166" w:after="166"/>
        <w:rPr>
          <w:color w:val="auto"/>
        </w:rPr>
      </w:pPr>
      <w:r>
        <w:rPr>
          <w:color w:val="auto"/>
        </w:rPr>
        <w:t>5.5.2节水评价建议</w:t>
      </w:r>
    </w:p>
    <w:p w14:paraId="2197DED4">
      <w:pPr>
        <w:ind w:firstLine="480"/>
        <w:rPr>
          <w:color w:val="auto"/>
        </w:rPr>
      </w:pPr>
      <w:r>
        <w:rPr>
          <w:color w:val="auto"/>
        </w:rPr>
        <w:t>为全面落实中央“节水优先、空间均衡、系统治理、两手发力”治水方针，牢固树立五大发展新理念，以提高水资源利用效率和效益为核心，以全面实行最严格的水资源管理制度为重点，以水资源统一管理为保障，以制度创新为动力，为充分合理有效的利用和保护水资源，结合园区发展，提出如下建议：</w:t>
      </w:r>
    </w:p>
    <w:p w14:paraId="7F316F85">
      <w:pPr>
        <w:ind w:firstLine="480"/>
        <w:rPr>
          <w:color w:val="auto"/>
        </w:rPr>
      </w:pPr>
      <w:r>
        <w:rPr>
          <w:color w:val="auto"/>
        </w:rPr>
        <w:t>（1）主管部门和园区要高度重视节水工作，将节水工作纳入园区考核。以考核为抓手，强化目标责任管理，建立相应的协调机制，明确相关部门的责任和分工，确保责任到位、措施到位、投入到位。按照职责分工，履行好组织、协调、监督、管理的职责，加大工作力度，落实规划目标任务，加强节水工作的考核评估。</w:t>
      </w:r>
    </w:p>
    <w:p w14:paraId="2643E76D">
      <w:pPr>
        <w:ind w:firstLine="480"/>
        <w:rPr>
          <w:color w:val="auto"/>
        </w:rPr>
        <w:sectPr>
          <w:pgSz w:w="11905" w:h="16838"/>
          <w:pgMar w:top="1417" w:right="1417" w:bottom="1417" w:left="1587" w:header="850" w:footer="992" w:gutter="0"/>
          <w:cols w:space="0" w:num="1"/>
          <w:docGrid w:type="lines" w:linePitch="333" w:charSpace="0"/>
        </w:sectPr>
      </w:pPr>
      <w:r>
        <w:rPr>
          <w:color w:val="auto"/>
        </w:rPr>
        <w:t>（2）广泛开展节水宣传，强化公众参与力度，增强节水意识，经常性开展节水公益宣传活动，宣传全区水资源现状及节约用水知识，提升居民珍惜水，节约水，保护水的观念，并影响和带动身边人加入到节约和保护水资源的行列中来，让节约用水成为园区的生活习惯，以及让更多的人了解水环境，节约水资源。</w:t>
      </w:r>
    </w:p>
    <w:p w14:paraId="645B4F7A">
      <w:pPr>
        <w:pStyle w:val="43"/>
        <w:jc w:val="center"/>
        <w:rPr>
          <w:color w:val="auto"/>
        </w:rPr>
      </w:pPr>
      <w:r>
        <w:rPr>
          <w:color w:val="auto"/>
        </w:rPr>
        <w:t>节水评价登记表</w:t>
      </w:r>
    </w:p>
    <w:p w14:paraId="38DA96F3">
      <w:pPr>
        <w:ind w:firstLine="0" w:firstLineChars="0"/>
        <w:jc w:val="center"/>
        <w:rPr>
          <w:color w:val="auto"/>
          <w:szCs w:val="24"/>
        </w:rPr>
      </w:pPr>
      <w:r>
        <w:rPr>
          <w:color w:val="auto"/>
          <w:szCs w:val="24"/>
        </w:rPr>
        <w:t>水利规划</w:t>
      </w:r>
      <w:r>
        <w:rPr>
          <w:rFonts w:hint="eastAsia"/>
          <w:color w:val="auto"/>
          <w:szCs w:val="24"/>
        </w:rPr>
        <w:t>（</w:t>
      </w:r>
      <w:r>
        <w:rPr>
          <w:color w:val="auto"/>
          <w:szCs w:val="24"/>
        </w:rPr>
        <w:t xml:space="preserve">       非水利规划</w:t>
      </w:r>
      <w:r>
        <w:rPr>
          <w:rFonts w:hint="eastAsia"/>
          <w:color w:val="auto"/>
          <w:szCs w:val="24"/>
        </w:rPr>
        <w:t>（</w:t>
      </w:r>
      <w:r>
        <w:rPr>
          <w:color w:val="auto"/>
          <w:szCs w:val="24"/>
        </w:rPr>
        <w:t xml:space="preserve">       水利工程项目</w:t>
      </w:r>
      <w:r>
        <w:rPr>
          <w:rFonts w:hint="eastAsia"/>
          <w:color w:val="auto"/>
          <w:szCs w:val="24"/>
        </w:rPr>
        <w:t>（</w:t>
      </w:r>
      <w:r>
        <w:rPr>
          <w:color w:val="auto"/>
          <w:szCs w:val="24"/>
        </w:rPr>
        <w:t xml:space="preserve">       非水利建设项目</w:t>
      </w:r>
      <w:r>
        <w:rPr>
          <w:rFonts w:hint="eastAsia"/>
          <w:color w:val="auto"/>
          <w:szCs w:val="24"/>
        </w:rPr>
        <w:t>（</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073"/>
        <w:gridCol w:w="1236"/>
        <w:gridCol w:w="412"/>
        <w:gridCol w:w="6"/>
        <w:gridCol w:w="821"/>
        <w:gridCol w:w="830"/>
        <w:gridCol w:w="6"/>
        <w:gridCol w:w="406"/>
        <w:gridCol w:w="1259"/>
        <w:gridCol w:w="1461"/>
        <w:gridCol w:w="173"/>
        <w:gridCol w:w="1515"/>
        <w:gridCol w:w="171"/>
        <w:gridCol w:w="264"/>
        <w:gridCol w:w="1428"/>
      </w:tblGrid>
      <w:tr w14:paraId="2EE0C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5" w:type="pct"/>
            <w:gridSpan w:val="2"/>
            <w:tcBorders>
              <w:tl2br w:val="nil"/>
              <w:tr2bl w:val="nil"/>
            </w:tcBorders>
            <w:shd w:val="clear" w:color="auto" w:fill="auto"/>
            <w:vAlign w:val="center"/>
          </w:tcPr>
          <w:p w14:paraId="193B93E9">
            <w:pPr>
              <w:widowControl/>
              <w:spacing w:line="240" w:lineRule="auto"/>
              <w:ind w:firstLine="0" w:firstLineChars="0"/>
              <w:jc w:val="center"/>
              <w:textAlignment w:val="center"/>
              <w:rPr>
                <w:color w:val="auto"/>
                <w:sz w:val="21"/>
                <w:szCs w:val="21"/>
                <w:lang w:bidi="ar"/>
              </w:rPr>
            </w:pPr>
            <w:r>
              <w:rPr>
                <w:color w:val="auto"/>
                <w:sz w:val="21"/>
                <w:szCs w:val="21"/>
                <w:lang w:bidi="ar"/>
              </w:rPr>
              <w:t>规划或建设项目名称</w:t>
            </w:r>
          </w:p>
        </w:tc>
        <w:tc>
          <w:tcPr>
            <w:tcW w:w="3514" w:type="pct"/>
            <w:gridSpan w:val="14"/>
            <w:tcBorders>
              <w:tl2br w:val="nil"/>
              <w:tr2bl w:val="nil"/>
            </w:tcBorders>
            <w:shd w:val="clear" w:color="auto" w:fill="auto"/>
            <w:vAlign w:val="center"/>
          </w:tcPr>
          <w:p w14:paraId="77D2E2FC">
            <w:pPr>
              <w:widowControl/>
              <w:spacing w:line="240" w:lineRule="auto"/>
              <w:ind w:firstLine="0" w:firstLineChars="0"/>
              <w:jc w:val="center"/>
              <w:textAlignment w:val="center"/>
              <w:rPr>
                <w:color w:val="auto"/>
                <w:sz w:val="21"/>
                <w:szCs w:val="21"/>
                <w:lang w:bidi="ar"/>
              </w:rPr>
            </w:pPr>
            <w:r>
              <w:rPr>
                <w:color w:val="auto"/>
                <w:sz w:val="21"/>
                <w:szCs w:val="21"/>
                <w:lang w:bidi="ar"/>
              </w:rPr>
              <w:t>重庆九龙工业园区水资源论证区域整体评价</w:t>
            </w:r>
          </w:p>
        </w:tc>
      </w:tr>
      <w:tr w14:paraId="7D5AC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0AFE7752">
            <w:pPr>
              <w:widowControl/>
              <w:spacing w:line="240" w:lineRule="auto"/>
              <w:ind w:firstLine="0" w:firstLineChars="0"/>
              <w:jc w:val="center"/>
              <w:textAlignment w:val="center"/>
              <w:rPr>
                <w:color w:val="auto"/>
                <w:sz w:val="21"/>
                <w:szCs w:val="21"/>
                <w:lang w:bidi="ar"/>
              </w:rPr>
            </w:pPr>
            <w:r>
              <w:rPr>
                <w:color w:val="auto"/>
                <w:sz w:val="21"/>
                <w:szCs w:val="21"/>
                <w:lang w:bidi="ar"/>
              </w:rPr>
              <w:t>一、基本情况</w:t>
            </w:r>
          </w:p>
        </w:tc>
        <w:tc>
          <w:tcPr>
            <w:tcW w:w="1081" w:type="pct"/>
            <w:tcBorders>
              <w:tl2br w:val="nil"/>
              <w:tr2bl w:val="nil"/>
            </w:tcBorders>
            <w:shd w:val="clear" w:color="auto" w:fill="auto"/>
            <w:vAlign w:val="center"/>
          </w:tcPr>
          <w:p w14:paraId="4A4B4130">
            <w:pPr>
              <w:widowControl/>
              <w:spacing w:line="240" w:lineRule="auto"/>
              <w:ind w:firstLine="0" w:firstLineChars="0"/>
              <w:jc w:val="center"/>
              <w:textAlignment w:val="center"/>
              <w:rPr>
                <w:color w:val="auto"/>
                <w:sz w:val="21"/>
                <w:szCs w:val="21"/>
                <w:lang w:bidi="ar"/>
              </w:rPr>
            </w:pPr>
            <w:r>
              <w:rPr>
                <w:color w:val="auto"/>
                <w:sz w:val="21"/>
                <w:szCs w:val="21"/>
                <w:lang w:bidi="ar"/>
              </w:rPr>
              <w:t>委托单位</w:t>
            </w:r>
          </w:p>
        </w:tc>
        <w:tc>
          <w:tcPr>
            <w:tcW w:w="1751" w:type="pct"/>
            <w:gridSpan w:val="8"/>
            <w:tcBorders>
              <w:tl2br w:val="nil"/>
              <w:tr2bl w:val="nil"/>
            </w:tcBorders>
            <w:shd w:val="clear" w:color="auto" w:fill="auto"/>
            <w:vAlign w:val="center"/>
          </w:tcPr>
          <w:p w14:paraId="626B39EC">
            <w:pPr>
              <w:widowControl/>
              <w:spacing w:line="240" w:lineRule="auto"/>
              <w:ind w:firstLine="0" w:firstLineChars="0"/>
              <w:jc w:val="center"/>
              <w:textAlignment w:val="center"/>
              <w:rPr>
                <w:color w:val="auto"/>
                <w:sz w:val="21"/>
                <w:szCs w:val="21"/>
                <w:lang w:bidi="ar"/>
              </w:rPr>
            </w:pPr>
            <w:r>
              <w:rPr>
                <w:color w:val="auto"/>
                <w:sz w:val="21"/>
                <w:szCs w:val="21"/>
                <w:lang w:bidi="ar"/>
              </w:rPr>
              <w:t>重庆高新技术产业开发区九龙园区管理委员会</w:t>
            </w:r>
          </w:p>
        </w:tc>
        <w:tc>
          <w:tcPr>
            <w:tcW w:w="575" w:type="pct"/>
            <w:gridSpan w:val="2"/>
            <w:tcBorders>
              <w:tl2br w:val="nil"/>
              <w:tr2bl w:val="nil"/>
            </w:tcBorders>
            <w:shd w:val="clear" w:color="auto" w:fill="auto"/>
            <w:vAlign w:val="center"/>
          </w:tcPr>
          <w:p w14:paraId="3B745D36">
            <w:pPr>
              <w:widowControl/>
              <w:spacing w:line="240" w:lineRule="auto"/>
              <w:ind w:firstLine="0" w:firstLineChars="0"/>
              <w:jc w:val="center"/>
              <w:textAlignment w:val="center"/>
              <w:rPr>
                <w:color w:val="auto"/>
                <w:sz w:val="21"/>
                <w:szCs w:val="21"/>
                <w:lang w:bidi="ar"/>
              </w:rPr>
            </w:pPr>
            <w:r>
              <w:rPr>
                <w:color w:val="auto"/>
                <w:sz w:val="21"/>
                <w:szCs w:val="21"/>
                <w:lang w:bidi="ar"/>
              </w:rPr>
              <w:t>承担单位</w:t>
            </w:r>
          </w:p>
        </w:tc>
        <w:tc>
          <w:tcPr>
            <w:tcW w:w="1186" w:type="pct"/>
            <w:gridSpan w:val="4"/>
            <w:tcBorders>
              <w:tl2br w:val="nil"/>
              <w:tr2bl w:val="nil"/>
            </w:tcBorders>
            <w:shd w:val="clear" w:color="auto" w:fill="auto"/>
            <w:vAlign w:val="center"/>
          </w:tcPr>
          <w:p w14:paraId="131A8E6E">
            <w:pPr>
              <w:widowControl/>
              <w:spacing w:line="240" w:lineRule="auto"/>
              <w:ind w:firstLine="0" w:firstLineChars="0"/>
              <w:jc w:val="center"/>
              <w:textAlignment w:val="center"/>
              <w:rPr>
                <w:color w:val="auto"/>
                <w:sz w:val="21"/>
                <w:szCs w:val="21"/>
                <w:lang w:bidi="ar"/>
              </w:rPr>
            </w:pPr>
            <w:r>
              <w:rPr>
                <w:color w:val="auto"/>
                <w:sz w:val="21"/>
                <w:szCs w:val="21"/>
                <w:lang w:bidi="ar"/>
              </w:rPr>
              <w:t>精佳建设工程集团有限公司</w:t>
            </w:r>
          </w:p>
        </w:tc>
      </w:tr>
      <w:tr w14:paraId="0E8B3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475E1037">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14BC72DA">
            <w:pPr>
              <w:widowControl/>
              <w:spacing w:line="240" w:lineRule="auto"/>
              <w:ind w:firstLine="0" w:firstLineChars="0"/>
              <w:jc w:val="center"/>
              <w:textAlignment w:val="center"/>
              <w:rPr>
                <w:color w:val="auto"/>
                <w:sz w:val="21"/>
                <w:szCs w:val="21"/>
                <w:lang w:bidi="ar"/>
              </w:rPr>
            </w:pPr>
            <w:r>
              <w:rPr>
                <w:color w:val="auto"/>
                <w:sz w:val="21"/>
                <w:szCs w:val="21"/>
                <w:lang w:bidi="ar"/>
              </w:rPr>
              <w:t>所在行政区域和流域</w:t>
            </w:r>
          </w:p>
        </w:tc>
        <w:tc>
          <w:tcPr>
            <w:tcW w:w="1751" w:type="pct"/>
            <w:gridSpan w:val="8"/>
            <w:tcBorders>
              <w:tl2br w:val="nil"/>
              <w:tr2bl w:val="nil"/>
            </w:tcBorders>
            <w:shd w:val="clear" w:color="auto" w:fill="auto"/>
            <w:vAlign w:val="center"/>
          </w:tcPr>
          <w:p w14:paraId="2C70ABC5">
            <w:pPr>
              <w:widowControl/>
              <w:spacing w:line="240" w:lineRule="auto"/>
              <w:ind w:firstLine="0" w:firstLineChars="0"/>
              <w:jc w:val="center"/>
              <w:textAlignment w:val="center"/>
              <w:rPr>
                <w:color w:val="auto"/>
                <w:sz w:val="21"/>
                <w:szCs w:val="21"/>
                <w:lang w:bidi="ar"/>
              </w:rPr>
            </w:pPr>
            <w:r>
              <w:rPr>
                <w:color w:val="auto"/>
                <w:sz w:val="21"/>
                <w:szCs w:val="21"/>
                <w:lang w:bidi="ar"/>
              </w:rPr>
              <w:t>九龙坡区</w:t>
            </w:r>
          </w:p>
        </w:tc>
        <w:tc>
          <w:tcPr>
            <w:tcW w:w="575" w:type="pct"/>
            <w:gridSpan w:val="2"/>
            <w:tcBorders>
              <w:tl2br w:val="nil"/>
              <w:tr2bl w:val="nil"/>
            </w:tcBorders>
            <w:shd w:val="clear" w:color="auto" w:fill="auto"/>
            <w:vAlign w:val="center"/>
          </w:tcPr>
          <w:p w14:paraId="616779D2">
            <w:pPr>
              <w:widowControl/>
              <w:spacing w:line="240" w:lineRule="auto"/>
              <w:ind w:firstLine="0" w:firstLineChars="0"/>
              <w:jc w:val="center"/>
              <w:textAlignment w:val="center"/>
              <w:rPr>
                <w:color w:val="auto"/>
                <w:sz w:val="21"/>
                <w:szCs w:val="21"/>
                <w:lang w:bidi="ar"/>
              </w:rPr>
            </w:pPr>
            <w:r>
              <w:rPr>
                <w:color w:val="auto"/>
                <w:sz w:val="21"/>
                <w:szCs w:val="21"/>
                <w:lang w:bidi="ar"/>
              </w:rPr>
              <w:t>评价范围</w:t>
            </w:r>
          </w:p>
        </w:tc>
        <w:tc>
          <w:tcPr>
            <w:tcW w:w="1186" w:type="pct"/>
            <w:gridSpan w:val="4"/>
            <w:tcBorders>
              <w:tl2br w:val="nil"/>
              <w:tr2bl w:val="nil"/>
            </w:tcBorders>
            <w:shd w:val="clear" w:color="auto" w:fill="auto"/>
            <w:vAlign w:val="center"/>
          </w:tcPr>
          <w:p w14:paraId="13911A5A">
            <w:pPr>
              <w:widowControl/>
              <w:spacing w:line="240" w:lineRule="auto"/>
              <w:ind w:firstLine="0" w:firstLineChars="0"/>
              <w:jc w:val="center"/>
              <w:textAlignment w:val="center"/>
              <w:rPr>
                <w:color w:val="auto"/>
                <w:sz w:val="21"/>
                <w:szCs w:val="21"/>
                <w:lang w:bidi="ar"/>
              </w:rPr>
            </w:pPr>
            <w:r>
              <w:rPr>
                <w:color w:val="auto"/>
                <w:sz w:val="21"/>
                <w:szCs w:val="21"/>
                <w:lang w:bidi="ar"/>
              </w:rPr>
              <w:t>重庆九龙工业园区</w:t>
            </w:r>
          </w:p>
        </w:tc>
      </w:tr>
      <w:tr w14:paraId="758EF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690E0002">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02B1789F">
            <w:pPr>
              <w:widowControl/>
              <w:spacing w:line="240" w:lineRule="auto"/>
              <w:ind w:firstLine="0" w:firstLineChars="0"/>
              <w:jc w:val="center"/>
              <w:textAlignment w:val="center"/>
              <w:rPr>
                <w:color w:val="auto"/>
                <w:sz w:val="21"/>
                <w:szCs w:val="21"/>
                <w:lang w:bidi="ar"/>
              </w:rPr>
            </w:pPr>
            <w:r>
              <w:rPr>
                <w:color w:val="auto"/>
                <w:sz w:val="21"/>
                <w:szCs w:val="21"/>
                <w:lang w:bidi="ar"/>
              </w:rPr>
              <w:t>评价范围水资源条件</w:t>
            </w:r>
          </w:p>
        </w:tc>
        <w:tc>
          <w:tcPr>
            <w:tcW w:w="580" w:type="pct"/>
            <w:gridSpan w:val="2"/>
            <w:tcBorders>
              <w:tl2br w:val="nil"/>
              <w:tr2bl w:val="nil"/>
            </w:tcBorders>
            <w:shd w:val="clear" w:color="auto" w:fill="auto"/>
            <w:vAlign w:val="center"/>
          </w:tcPr>
          <w:p w14:paraId="2E130E56">
            <w:pPr>
              <w:widowControl/>
              <w:spacing w:line="240" w:lineRule="auto"/>
              <w:ind w:firstLine="0" w:firstLineChars="0"/>
              <w:jc w:val="center"/>
              <w:textAlignment w:val="center"/>
              <w:rPr>
                <w:color w:val="auto"/>
                <w:sz w:val="21"/>
                <w:szCs w:val="21"/>
                <w:lang w:bidi="ar"/>
              </w:rPr>
            </w:pPr>
            <w:r>
              <w:rPr>
                <w:color w:val="auto"/>
                <w:sz w:val="21"/>
                <w:szCs w:val="21"/>
                <w:lang w:bidi="ar"/>
              </w:rPr>
              <w:t>年降水量（mm）</w:t>
            </w:r>
          </w:p>
        </w:tc>
        <w:tc>
          <w:tcPr>
            <w:tcW w:w="583" w:type="pct"/>
            <w:gridSpan w:val="3"/>
            <w:tcBorders>
              <w:tl2br w:val="nil"/>
              <w:tr2bl w:val="nil"/>
            </w:tcBorders>
            <w:shd w:val="clear" w:color="auto" w:fill="auto"/>
            <w:vAlign w:val="center"/>
          </w:tcPr>
          <w:p w14:paraId="6B74ED7F">
            <w:pPr>
              <w:widowControl/>
              <w:spacing w:line="240" w:lineRule="auto"/>
              <w:ind w:firstLine="0" w:firstLineChars="0"/>
              <w:jc w:val="center"/>
              <w:textAlignment w:val="center"/>
              <w:rPr>
                <w:color w:val="auto"/>
                <w:sz w:val="21"/>
                <w:szCs w:val="21"/>
                <w:lang w:bidi="ar"/>
              </w:rPr>
            </w:pPr>
            <w:r>
              <w:rPr>
                <w:color w:val="auto"/>
                <w:sz w:val="21"/>
                <w:szCs w:val="21"/>
                <w:lang w:bidi="ar"/>
              </w:rPr>
              <w:t>1180</w:t>
            </w:r>
          </w:p>
        </w:tc>
        <w:tc>
          <w:tcPr>
            <w:tcW w:w="587" w:type="pct"/>
            <w:gridSpan w:val="3"/>
            <w:tcBorders>
              <w:tl2br w:val="nil"/>
              <w:tr2bl w:val="nil"/>
            </w:tcBorders>
            <w:shd w:val="clear" w:color="auto" w:fill="auto"/>
            <w:vAlign w:val="center"/>
          </w:tcPr>
          <w:p w14:paraId="29BBF0F1">
            <w:pPr>
              <w:widowControl/>
              <w:spacing w:line="240" w:lineRule="auto"/>
              <w:ind w:firstLine="0" w:firstLineChars="0"/>
              <w:jc w:val="center"/>
              <w:textAlignment w:val="center"/>
              <w:rPr>
                <w:color w:val="auto"/>
                <w:sz w:val="21"/>
                <w:szCs w:val="21"/>
                <w:lang w:bidi="ar"/>
              </w:rPr>
            </w:pPr>
            <w:r>
              <w:rPr>
                <w:color w:val="auto"/>
                <w:sz w:val="21"/>
                <w:szCs w:val="21"/>
                <w:lang w:bidi="ar"/>
              </w:rPr>
              <w:t>年蒸发量（mm）</w:t>
            </w:r>
          </w:p>
        </w:tc>
        <w:tc>
          <w:tcPr>
            <w:tcW w:w="575" w:type="pct"/>
            <w:gridSpan w:val="2"/>
            <w:tcBorders>
              <w:tl2br w:val="nil"/>
              <w:tr2bl w:val="nil"/>
            </w:tcBorders>
            <w:shd w:val="clear" w:color="auto" w:fill="auto"/>
            <w:vAlign w:val="center"/>
          </w:tcPr>
          <w:p w14:paraId="5E86D9ED">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864</w:t>
            </w:r>
          </w:p>
        </w:tc>
        <w:tc>
          <w:tcPr>
            <w:tcW w:w="686" w:type="pct"/>
            <w:gridSpan w:val="3"/>
            <w:tcBorders>
              <w:tl2br w:val="nil"/>
              <w:tr2bl w:val="nil"/>
            </w:tcBorders>
            <w:shd w:val="clear" w:color="auto" w:fill="auto"/>
            <w:vAlign w:val="center"/>
          </w:tcPr>
          <w:p w14:paraId="525B9B9E">
            <w:pPr>
              <w:widowControl/>
              <w:spacing w:line="240" w:lineRule="auto"/>
              <w:ind w:firstLine="0" w:firstLineChars="0"/>
              <w:jc w:val="center"/>
              <w:textAlignment w:val="center"/>
              <w:rPr>
                <w:color w:val="auto"/>
                <w:sz w:val="21"/>
                <w:szCs w:val="21"/>
                <w:lang w:bidi="ar"/>
              </w:rPr>
            </w:pPr>
            <w:r>
              <w:rPr>
                <w:color w:val="auto"/>
                <w:sz w:val="21"/>
                <w:szCs w:val="21"/>
                <w:lang w:bidi="ar"/>
              </w:rPr>
              <w:t>人均水资源量（m³）</w:t>
            </w:r>
          </w:p>
        </w:tc>
        <w:tc>
          <w:tcPr>
            <w:tcW w:w="499" w:type="pct"/>
            <w:tcBorders>
              <w:tl2br w:val="nil"/>
              <w:tr2bl w:val="nil"/>
            </w:tcBorders>
            <w:shd w:val="clear" w:color="auto" w:fill="auto"/>
            <w:vAlign w:val="center"/>
          </w:tcPr>
          <w:p w14:paraId="42027DE4">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200.3</w:t>
            </w:r>
          </w:p>
        </w:tc>
      </w:tr>
      <w:tr w14:paraId="29FB3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4651064F">
            <w:pPr>
              <w:widowControl/>
              <w:spacing w:line="240" w:lineRule="auto"/>
              <w:ind w:firstLine="0" w:firstLineChars="0"/>
              <w:jc w:val="center"/>
              <w:textAlignment w:val="center"/>
              <w:rPr>
                <w:color w:val="auto"/>
                <w:sz w:val="21"/>
                <w:szCs w:val="21"/>
                <w:lang w:bidi="ar"/>
              </w:rPr>
            </w:pPr>
            <w:r>
              <w:rPr>
                <w:color w:val="auto"/>
                <w:sz w:val="21"/>
                <w:szCs w:val="21"/>
                <w:lang w:bidi="ar"/>
              </w:rPr>
              <w:t>二、用水</w:t>
            </w:r>
          </w:p>
          <w:p w14:paraId="03A96653">
            <w:pPr>
              <w:widowControl/>
              <w:spacing w:line="240" w:lineRule="auto"/>
              <w:ind w:firstLine="0" w:firstLineChars="0"/>
              <w:jc w:val="center"/>
              <w:textAlignment w:val="center"/>
              <w:rPr>
                <w:color w:val="auto"/>
                <w:sz w:val="21"/>
                <w:szCs w:val="21"/>
                <w:lang w:bidi="ar"/>
              </w:rPr>
            </w:pPr>
            <w:r>
              <w:rPr>
                <w:color w:val="auto"/>
                <w:sz w:val="21"/>
                <w:szCs w:val="21"/>
                <w:lang w:bidi="ar"/>
              </w:rPr>
              <w:t>量与经济</w:t>
            </w:r>
          </w:p>
          <w:p w14:paraId="55E6AE94">
            <w:pPr>
              <w:widowControl/>
              <w:spacing w:line="240" w:lineRule="auto"/>
              <w:ind w:firstLine="0" w:firstLineChars="0"/>
              <w:jc w:val="center"/>
              <w:textAlignment w:val="center"/>
              <w:rPr>
                <w:color w:val="auto"/>
                <w:sz w:val="21"/>
                <w:szCs w:val="21"/>
                <w:lang w:bidi="ar"/>
              </w:rPr>
            </w:pPr>
            <w:r>
              <w:rPr>
                <w:color w:val="auto"/>
                <w:sz w:val="21"/>
                <w:szCs w:val="21"/>
                <w:lang w:bidi="ar"/>
              </w:rPr>
              <w:t>社会发展</w:t>
            </w:r>
          </w:p>
          <w:p w14:paraId="1F1338D6">
            <w:pPr>
              <w:widowControl/>
              <w:spacing w:line="240" w:lineRule="auto"/>
              <w:ind w:firstLine="0" w:firstLineChars="0"/>
              <w:jc w:val="center"/>
              <w:textAlignment w:val="center"/>
              <w:rPr>
                <w:color w:val="auto"/>
                <w:sz w:val="21"/>
                <w:szCs w:val="21"/>
                <w:lang w:bidi="ar"/>
              </w:rPr>
            </w:pPr>
            <w:r>
              <w:rPr>
                <w:color w:val="auto"/>
                <w:sz w:val="21"/>
                <w:szCs w:val="21"/>
                <w:lang w:bidi="ar"/>
              </w:rPr>
              <w:t>指标</w:t>
            </w:r>
          </w:p>
        </w:tc>
        <w:tc>
          <w:tcPr>
            <w:tcW w:w="1081" w:type="pct"/>
            <w:vMerge w:val="restart"/>
            <w:tcBorders>
              <w:tl2br w:val="nil"/>
              <w:tr2bl w:val="nil"/>
            </w:tcBorders>
            <w:shd w:val="clear" w:color="auto" w:fill="auto"/>
            <w:vAlign w:val="center"/>
          </w:tcPr>
          <w:p w14:paraId="18B93DEF">
            <w:pPr>
              <w:widowControl/>
              <w:spacing w:line="240" w:lineRule="auto"/>
              <w:ind w:firstLine="0" w:firstLineChars="0"/>
              <w:jc w:val="center"/>
              <w:textAlignment w:val="center"/>
              <w:rPr>
                <w:color w:val="auto"/>
                <w:sz w:val="21"/>
                <w:szCs w:val="21"/>
                <w:lang w:bidi="ar"/>
              </w:rPr>
            </w:pPr>
            <w:r>
              <w:rPr>
                <w:color w:val="auto"/>
                <w:sz w:val="21"/>
                <w:szCs w:val="21"/>
                <w:lang w:bidi="ar"/>
              </w:rPr>
              <w:t>指标名称</w:t>
            </w:r>
          </w:p>
        </w:tc>
        <w:tc>
          <w:tcPr>
            <w:tcW w:w="1751" w:type="pct"/>
            <w:gridSpan w:val="8"/>
            <w:tcBorders>
              <w:tl2br w:val="nil"/>
              <w:tr2bl w:val="nil"/>
            </w:tcBorders>
            <w:shd w:val="clear" w:color="auto" w:fill="auto"/>
            <w:vAlign w:val="center"/>
          </w:tcPr>
          <w:p w14:paraId="62118E55">
            <w:pPr>
              <w:widowControl/>
              <w:spacing w:line="240" w:lineRule="auto"/>
              <w:ind w:firstLine="0" w:firstLineChars="0"/>
              <w:jc w:val="center"/>
              <w:textAlignment w:val="center"/>
              <w:rPr>
                <w:color w:val="auto"/>
                <w:sz w:val="21"/>
                <w:szCs w:val="21"/>
                <w:lang w:bidi="ar"/>
              </w:rPr>
            </w:pPr>
            <w:r>
              <w:rPr>
                <w:color w:val="auto"/>
                <w:sz w:val="21"/>
                <w:szCs w:val="21"/>
                <w:lang w:bidi="ar"/>
              </w:rPr>
              <w:t>前3年</w:t>
            </w:r>
          </w:p>
        </w:tc>
        <w:tc>
          <w:tcPr>
            <w:tcW w:w="575" w:type="pct"/>
            <w:gridSpan w:val="2"/>
            <w:tcBorders>
              <w:tl2br w:val="nil"/>
              <w:tr2bl w:val="nil"/>
            </w:tcBorders>
            <w:shd w:val="clear" w:color="auto" w:fill="auto"/>
            <w:vAlign w:val="center"/>
          </w:tcPr>
          <w:p w14:paraId="3840640C">
            <w:pPr>
              <w:widowControl/>
              <w:spacing w:line="240" w:lineRule="auto"/>
              <w:ind w:firstLine="0" w:firstLineChars="0"/>
              <w:jc w:val="center"/>
              <w:textAlignment w:val="center"/>
              <w:rPr>
                <w:color w:val="auto"/>
                <w:sz w:val="21"/>
                <w:szCs w:val="21"/>
                <w:lang w:bidi="ar"/>
              </w:rPr>
            </w:pPr>
            <w:r>
              <w:rPr>
                <w:color w:val="auto"/>
                <w:sz w:val="21"/>
                <w:szCs w:val="21"/>
                <w:lang w:bidi="ar"/>
              </w:rPr>
              <w:t>现状水平年</w:t>
            </w:r>
          </w:p>
        </w:tc>
        <w:tc>
          <w:tcPr>
            <w:tcW w:w="686" w:type="pct"/>
            <w:gridSpan w:val="3"/>
            <w:tcBorders>
              <w:tl2br w:val="nil"/>
              <w:tr2bl w:val="nil"/>
            </w:tcBorders>
            <w:shd w:val="clear" w:color="auto" w:fill="auto"/>
            <w:vAlign w:val="center"/>
          </w:tcPr>
          <w:p w14:paraId="71003A32">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tc>
        <w:tc>
          <w:tcPr>
            <w:tcW w:w="499" w:type="pct"/>
            <w:tcBorders>
              <w:tl2br w:val="nil"/>
              <w:tr2bl w:val="nil"/>
            </w:tcBorders>
            <w:shd w:val="clear" w:color="auto" w:fill="auto"/>
            <w:vAlign w:val="center"/>
          </w:tcPr>
          <w:p w14:paraId="1DBF7AB4">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tc>
      </w:tr>
      <w:tr w14:paraId="68A13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581A58F4">
            <w:pPr>
              <w:widowControl/>
              <w:spacing w:line="240" w:lineRule="auto"/>
              <w:ind w:firstLine="0" w:firstLineChars="0"/>
              <w:jc w:val="center"/>
              <w:textAlignment w:val="center"/>
              <w:rPr>
                <w:color w:val="auto"/>
                <w:sz w:val="21"/>
                <w:szCs w:val="21"/>
                <w:lang w:bidi="ar"/>
              </w:rPr>
            </w:pPr>
          </w:p>
        </w:tc>
        <w:tc>
          <w:tcPr>
            <w:tcW w:w="1081" w:type="pct"/>
            <w:vMerge w:val="continue"/>
            <w:tcBorders>
              <w:tl2br w:val="nil"/>
              <w:tr2bl w:val="nil"/>
            </w:tcBorders>
            <w:shd w:val="clear" w:color="auto" w:fill="auto"/>
            <w:vAlign w:val="center"/>
          </w:tcPr>
          <w:p w14:paraId="43D98672">
            <w:pPr>
              <w:widowControl/>
              <w:spacing w:line="240" w:lineRule="auto"/>
              <w:ind w:firstLine="0" w:firstLineChars="0"/>
              <w:jc w:val="center"/>
              <w:textAlignment w:val="center"/>
              <w:rPr>
                <w:color w:val="auto"/>
                <w:sz w:val="21"/>
                <w:szCs w:val="21"/>
                <w:lang w:bidi="ar"/>
              </w:rPr>
            </w:pPr>
          </w:p>
        </w:tc>
        <w:tc>
          <w:tcPr>
            <w:tcW w:w="580" w:type="pct"/>
            <w:gridSpan w:val="2"/>
            <w:tcBorders>
              <w:tl2br w:val="nil"/>
              <w:tr2bl w:val="nil"/>
            </w:tcBorders>
            <w:shd w:val="clear" w:color="auto" w:fill="auto"/>
            <w:vAlign w:val="center"/>
          </w:tcPr>
          <w:p w14:paraId="05C0BD4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 xml:space="preserve">     </w:t>
            </w:r>
            <w:r>
              <w:rPr>
                <w:color w:val="auto"/>
                <w:sz w:val="21"/>
                <w:szCs w:val="21"/>
                <w:lang w:bidi="ar"/>
              </w:rPr>
              <w:t xml:space="preserve"> 年</w:t>
            </w:r>
          </w:p>
        </w:tc>
        <w:tc>
          <w:tcPr>
            <w:tcW w:w="582" w:type="pct"/>
            <w:gridSpan w:val="3"/>
            <w:tcBorders>
              <w:tl2br w:val="nil"/>
              <w:tr2bl w:val="nil"/>
            </w:tcBorders>
            <w:shd w:val="clear" w:color="auto" w:fill="auto"/>
            <w:vAlign w:val="center"/>
          </w:tcPr>
          <w:p w14:paraId="75C8FE8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 xml:space="preserve">     </w:t>
            </w:r>
            <w:r>
              <w:rPr>
                <w:color w:val="auto"/>
                <w:sz w:val="21"/>
                <w:szCs w:val="21"/>
                <w:lang w:bidi="ar"/>
              </w:rPr>
              <w:t xml:space="preserve"> 年</w:t>
            </w:r>
          </w:p>
        </w:tc>
        <w:tc>
          <w:tcPr>
            <w:tcW w:w="588" w:type="pct"/>
            <w:gridSpan w:val="3"/>
            <w:tcBorders>
              <w:tl2br w:val="nil"/>
              <w:tr2bl w:val="nil"/>
            </w:tcBorders>
            <w:shd w:val="clear" w:color="auto" w:fill="auto"/>
            <w:vAlign w:val="center"/>
          </w:tcPr>
          <w:p w14:paraId="57E21A7C">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 xml:space="preserve">     </w:t>
            </w:r>
            <w:r>
              <w:rPr>
                <w:color w:val="auto"/>
                <w:sz w:val="21"/>
                <w:szCs w:val="21"/>
                <w:lang w:bidi="ar"/>
              </w:rPr>
              <w:t xml:space="preserve"> 年</w:t>
            </w:r>
          </w:p>
        </w:tc>
        <w:tc>
          <w:tcPr>
            <w:tcW w:w="575" w:type="pct"/>
            <w:gridSpan w:val="2"/>
            <w:tcBorders>
              <w:tl2br w:val="nil"/>
              <w:tr2bl w:val="nil"/>
            </w:tcBorders>
            <w:shd w:val="clear" w:color="auto" w:fill="auto"/>
            <w:vAlign w:val="center"/>
          </w:tcPr>
          <w:p w14:paraId="136D16CC">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 xml:space="preserve"> </w:t>
            </w:r>
            <w:r>
              <w:rPr>
                <w:color w:val="auto"/>
                <w:sz w:val="21"/>
                <w:szCs w:val="21"/>
                <w:lang w:bidi="ar"/>
              </w:rPr>
              <w:t>20</w:t>
            </w:r>
            <w:r>
              <w:rPr>
                <w:rFonts w:hint="eastAsia"/>
                <w:color w:val="auto"/>
                <w:sz w:val="21"/>
                <w:szCs w:val="21"/>
                <w:lang w:bidi="ar"/>
              </w:rPr>
              <w:t>20</w:t>
            </w:r>
            <w:r>
              <w:rPr>
                <w:color w:val="auto"/>
                <w:sz w:val="21"/>
                <w:szCs w:val="21"/>
                <w:lang w:bidi="ar"/>
              </w:rPr>
              <w:t xml:space="preserve"> 年</w:t>
            </w:r>
          </w:p>
        </w:tc>
        <w:tc>
          <w:tcPr>
            <w:tcW w:w="686" w:type="pct"/>
            <w:gridSpan w:val="3"/>
            <w:tcBorders>
              <w:tl2br w:val="nil"/>
              <w:tr2bl w:val="nil"/>
            </w:tcBorders>
            <w:shd w:val="clear" w:color="auto" w:fill="auto"/>
            <w:vAlign w:val="center"/>
          </w:tcPr>
          <w:p w14:paraId="4618EA6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 xml:space="preserve"> </w:t>
            </w:r>
            <w:r>
              <w:rPr>
                <w:color w:val="auto"/>
                <w:sz w:val="21"/>
                <w:szCs w:val="21"/>
                <w:lang w:bidi="ar"/>
              </w:rPr>
              <w:t>202</w:t>
            </w:r>
            <w:r>
              <w:rPr>
                <w:rFonts w:hint="eastAsia"/>
                <w:color w:val="auto"/>
                <w:sz w:val="21"/>
                <w:szCs w:val="21"/>
                <w:lang w:bidi="ar"/>
              </w:rPr>
              <w:t>5</w:t>
            </w:r>
            <w:r>
              <w:rPr>
                <w:color w:val="auto"/>
                <w:sz w:val="21"/>
                <w:szCs w:val="21"/>
                <w:lang w:bidi="ar"/>
              </w:rPr>
              <w:t xml:space="preserve"> 年</w:t>
            </w:r>
          </w:p>
        </w:tc>
        <w:tc>
          <w:tcPr>
            <w:tcW w:w="499" w:type="pct"/>
            <w:tcBorders>
              <w:tl2br w:val="nil"/>
              <w:tr2bl w:val="nil"/>
            </w:tcBorders>
            <w:shd w:val="clear" w:color="auto" w:fill="auto"/>
            <w:vAlign w:val="center"/>
          </w:tcPr>
          <w:p w14:paraId="1DA7521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 xml:space="preserve">     </w:t>
            </w:r>
            <w:r>
              <w:rPr>
                <w:color w:val="auto"/>
                <w:sz w:val="21"/>
                <w:szCs w:val="21"/>
                <w:lang w:bidi="ar"/>
              </w:rPr>
              <w:t xml:space="preserve"> 年</w:t>
            </w:r>
          </w:p>
        </w:tc>
      </w:tr>
      <w:tr w14:paraId="35D3A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46A439ED">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021D1C61">
            <w:pPr>
              <w:widowControl/>
              <w:spacing w:line="240" w:lineRule="auto"/>
              <w:ind w:firstLine="0" w:firstLineChars="0"/>
              <w:jc w:val="center"/>
              <w:textAlignment w:val="center"/>
              <w:rPr>
                <w:color w:val="auto"/>
                <w:sz w:val="21"/>
                <w:szCs w:val="21"/>
                <w:lang w:bidi="ar"/>
              </w:rPr>
            </w:pPr>
            <w:r>
              <w:rPr>
                <w:color w:val="auto"/>
                <w:sz w:val="21"/>
                <w:szCs w:val="21"/>
                <w:lang w:bidi="ar"/>
              </w:rPr>
              <w:t>用（需）水量（万m³）</w:t>
            </w:r>
          </w:p>
        </w:tc>
        <w:tc>
          <w:tcPr>
            <w:tcW w:w="580" w:type="pct"/>
            <w:gridSpan w:val="2"/>
            <w:tcBorders>
              <w:tl2br w:val="nil"/>
              <w:tr2bl w:val="nil"/>
            </w:tcBorders>
            <w:shd w:val="clear" w:color="auto" w:fill="auto"/>
            <w:vAlign w:val="center"/>
          </w:tcPr>
          <w:p w14:paraId="30B674C7">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4DBB08AC">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10A02F93">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6A37FEE1">
            <w:pPr>
              <w:widowControl/>
              <w:spacing w:line="240" w:lineRule="auto"/>
              <w:ind w:firstLine="0" w:firstLineChars="0"/>
              <w:jc w:val="center"/>
              <w:textAlignment w:val="center"/>
              <w:rPr>
                <w:color w:val="auto"/>
                <w:sz w:val="21"/>
                <w:szCs w:val="21"/>
                <w:lang w:bidi="ar"/>
              </w:rPr>
            </w:pPr>
            <w:r>
              <w:rPr>
                <w:color w:val="auto"/>
                <w:sz w:val="21"/>
                <w:szCs w:val="21"/>
                <w:lang w:bidi="ar"/>
              </w:rPr>
              <w:t>2654.01</w:t>
            </w:r>
          </w:p>
        </w:tc>
        <w:tc>
          <w:tcPr>
            <w:tcW w:w="686" w:type="pct"/>
            <w:gridSpan w:val="3"/>
            <w:tcBorders>
              <w:tl2br w:val="nil"/>
              <w:tr2bl w:val="nil"/>
            </w:tcBorders>
            <w:shd w:val="clear" w:color="auto" w:fill="auto"/>
            <w:vAlign w:val="center"/>
          </w:tcPr>
          <w:p w14:paraId="48C12CB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3685.95</w:t>
            </w:r>
          </w:p>
        </w:tc>
        <w:tc>
          <w:tcPr>
            <w:tcW w:w="499" w:type="pct"/>
            <w:tcBorders>
              <w:tl2br w:val="nil"/>
              <w:tr2bl w:val="nil"/>
            </w:tcBorders>
            <w:shd w:val="clear" w:color="auto" w:fill="auto"/>
            <w:vAlign w:val="center"/>
          </w:tcPr>
          <w:p w14:paraId="0F7F7CBA">
            <w:pPr>
              <w:widowControl/>
              <w:spacing w:line="240" w:lineRule="auto"/>
              <w:ind w:firstLine="0" w:firstLineChars="0"/>
              <w:jc w:val="center"/>
              <w:textAlignment w:val="center"/>
              <w:rPr>
                <w:color w:val="auto"/>
                <w:sz w:val="21"/>
                <w:szCs w:val="21"/>
                <w:lang w:bidi="ar"/>
              </w:rPr>
            </w:pPr>
          </w:p>
        </w:tc>
      </w:tr>
      <w:tr w14:paraId="2F46D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6E93448C">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00D9B3D5">
            <w:pPr>
              <w:widowControl/>
              <w:spacing w:line="240" w:lineRule="auto"/>
              <w:ind w:firstLine="0" w:firstLineChars="0"/>
              <w:jc w:val="center"/>
              <w:textAlignment w:val="center"/>
              <w:rPr>
                <w:color w:val="auto"/>
                <w:sz w:val="21"/>
                <w:szCs w:val="21"/>
                <w:lang w:bidi="ar"/>
              </w:rPr>
            </w:pPr>
            <w:r>
              <w:rPr>
                <w:color w:val="auto"/>
                <w:sz w:val="21"/>
                <w:szCs w:val="21"/>
                <w:lang w:bidi="ar"/>
              </w:rPr>
              <w:t>农业用水占比（%）</w:t>
            </w:r>
          </w:p>
        </w:tc>
        <w:tc>
          <w:tcPr>
            <w:tcW w:w="580" w:type="pct"/>
            <w:gridSpan w:val="2"/>
            <w:tcBorders>
              <w:tl2br w:val="nil"/>
              <w:tr2bl w:val="nil"/>
            </w:tcBorders>
            <w:shd w:val="clear" w:color="auto" w:fill="auto"/>
            <w:vAlign w:val="center"/>
          </w:tcPr>
          <w:p w14:paraId="02243F7D">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3D0CB1C3">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51E0A43C">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5D07596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53007A5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085ED4D7">
            <w:pPr>
              <w:widowControl/>
              <w:spacing w:line="240" w:lineRule="auto"/>
              <w:ind w:firstLine="0" w:firstLineChars="0"/>
              <w:jc w:val="center"/>
              <w:textAlignment w:val="center"/>
              <w:rPr>
                <w:color w:val="auto"/>
                <w:sz w:val="21"/>
                <w:szCs w:val="21"/>
                <w:lang w:bidi="ar"/>
              </w:rPr>
            </w:pPr>
          </w:p>
        </w:tc>
      </w:tr>
      <w:tr w14:paraId="08E07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411ACAA9">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76D9D0A8">
            <w:pPr>
              <w:widowControl/>
              <w:spacing w:line="240" w:lineRule="auto"/>
              <w:ind w:firstLine="0" w:firstLineChars="0"/>
              <w:jc w:val="center"/>
              <w:textAlignment w:val="center"/>
              <w:rPr>
                <w:color w:val="auto"/>
                <w:sz w:val="21"/>
                <w:szCs w:val="21"/>
                <w:lang w:bidi="ar"/>
              </w:rPr>
            </w:pPr>
            <w:r>
              <w:rPr>
                <w:color w:val="auto"/>
                <w:sz w:val="21"/>
                <w:szCs w:val="21"/>
                <w:lang w:bidi="ar"/>
              </w:rPr>
              <w:t>工业用水占比（%）</w:t>
            </w:r>
          </w:p>
        </w:tc>
        <w:tc>
          <w:tcPr>
            <w:tcW w:w="580" w:type="pct"/>
            <w:gridSpan w:val="2"/>
            <w:tcBorders>
              <w:tl2br w:val="nil"/>
              <w:tr2bl w:val="nil"/>
            </w:tcBorders>
            <w:shd w:val="clear" w:color="auto" w:fill="auto"/>
            <w:vAlign w:val="center"/>
          </w:tcPr>
          <w:p w14:paraId="7CAA1015">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292B6F57">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6D39892B">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6AC84FC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51.09</w:t>
            </w:r>
          </w:p>
        </w:tc>
        <w:tc>
          <w:tcPr>
            <w:tcW w:w="686" w:type="pct"/>
            <w:gridSpan w:val="3"/>
            <w:tcBorders>
              <w:tl2br w:val="nil"/>
              <w:tr2bl w:val="nil"/>
            </w:tcBorders>
            <w:shd w:val="clear" w:color="auto" w:fill="auto"/>
            <w:vAlign w:val="center"/>
          </w:tcPr>
          <w:p w14:paraId="43E031D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47.62</w:t>
            </w:r>
          </w:p>
        </w:tc>
        <w:tc>
          <w:tcPr>
            <w:tcW w:w="499" w:type="pct"/>
            <w:tcBorders>
              <w:tl2br w:val="nil"/>
              <w:tr2bl w:val="nil"/>
            </w:tcBorders>
            <w:shd w:val="clear" w:color="auto" w:fill="auto"/>
            <w:vAlign w:val="center"/>
          </w:tcPr>
          <w:p w14:paraId="53160811">
            <w:pPr>
              <w:widowControl/>
              <w:spacing w:line="240" w:lineRule="auto"/>
              <w:ind w:firstLine="0" w:firstLineChars="0"/>
              <w:jc w:val="center"/>
              <w:textAlignment w:val="center"/>
              <w:rPr>
                <w:color w:val="auto"/>
                <w:sz w:val="21"/>
                <w:szCs w:val="21"/>
                <w:lang w:bidi="ar"/>
              </w:rPr>
            </w:pPr>
          </w:p>
        </w:tc>
      </w:tr>
      <w:tr w14:paraId="6EF50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2AEB2D58">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24405057">
            <w:pPr>
              <w:widowControl/>
              <w:spacing w:line="240" w:lineRule="auto"/>
              <w:ind w:firstLine="0" w:firstLineChars="0"/>
              <w:jc w:val="center"/>
              <w:textAlignment w:val="center"/>
              <w:rPr>
                <w:color w:val="auto"/>
                <w:sz w:val="21"/>
                <w:szCs w:val="21"/>
                <w:lang w:bidi="ar"/>
              </w:rPr>
            </w:pPr>
            <w:r>
              <w:rPr>
                <w:color w:val="auto"/>
                <w:sz w:val="21"/>
                <w:szCs w:val="21"/>
                <w:lang w:bidi="ar"/>
              </w:rPr>
              <w:t>生活用水占比（%）</w:t>
            </w:r>
          </w:p>
        </w:tc>
        <w:tc>
          <w:tcPr>
            <w:tcW w:w="580" w:type="pct"/>
            <w:gridSpan w:val="2"/>
            <w:tcBorders>
              <w:tl2br w:val="nil"/>
              <w:tr2bl w:val="nil"/>
            </w:tcBorders>
            <w:shd w:val="clear" w:color="auto" w:fill="auto"/>
            <w:vAlign w:val="center"/>
          </w:tcPr>
          <w:p w14:paraId="7EBDE44F">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717C1F69">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4DA346CD">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7ADCBC4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34.51</w:t>
            </w:r>
          </w:p>
        </w:tc>
        <w:tc>
          <w:tcPr>
            <w:tcW w:w="686" w:type="pct"/>
            <w:gridSpan w:val="3"/>
            <w:tcBorders>
              <w:tl2br w:val="nil"/>
              <w:tr2bl w:val="nil"/>
            </w:tcBorders>
            <w:shd w:val="clear" w:color="auto" w:fill="auto"/>
            <w:vAlign w:val="center"/>
          </w:tcPr>
          <w:p w14:paraId="3314032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23.43</w:t>
            </w:r>
          </w:p>
        </w:tc>
        <w:tc>
          <w:tcPr>
            <w:tcW w:w="499" w:type="pct"/>
            <w:tcBorders>
              <w:tl2br w:val="nil"/>
              <w:tr2bl w:val="nil"/>
            </w:tcBorders>
            <w:shd w:val="clear" w:color="auto" w:fill="auto"/>
            <w:vAlign w:val="center"/>
          </w:tcPr>
          <w:p w14:paraId="762F995F">
            <w:pPr>
              <w:widowControl/>
              <w:spacing w:line="240" w:lineRule="auto"/>
              <w:ind w:firstLine="0" w:firstLineChars="0"/>
              <w:jc w:val="center"/>
              <w:textAlignment w:val="center"/>
              <w:rPr>
                <w:color w:val="auto"/>
                <w:sz w:val="21"/>
                <w:szCs w:val="21"/>
                <w:lang w:bidi="ar"/>
              </w:rPr>
            </w:pPr>
          </w:p>
        </w:tc>
      </w:tr>
      <w:tr w14:paraId="2D70A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0547B6B5">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3E33299A">
            <w:pPr>
              <w:widowControl/>
              <w:spacing w:line="240" w:lineRule="auto"/>
              <w:ind w:firstLine="0" w:firstLineChars="0"/>
              <w:jc w:val="center"/>
              <w:textAlignment w:val="center"/>
              <w:rPr>
                <w:color w:val="auto"/>
                <w:sz w:val="21"/>
                <w:szCs w:val="21"/>
                <w:lang w:bidi="ar"/>
              </w:rPr>
            </w:pPr>
            <w:r>
              <w:rPr>
                <w:color w:val="auto"/>
                <w:sz w:val="21"/>
                <w:szCs w:val="21"/>
                <w:lang w:bidi="ar"/>
              </w:rPr>
              <w:t>总人口（万人）</w:t>
            </w:r>
          </w:p>
        </w:tc>
        <w:tc>
          <w:tcPr>
            <w:tcW w:w="580" w:type="pct"/>
            <w:gridSpan w:val="2"/>
            <w:tcBorders>
              <w:tl2br w:val="nil"/>
              <w:tr2bl w:val="nil"/>
            </w:tcBorders>
            <w:shd w:val="clear" w:color="auto" w:fill="auto"/>
            <w:vAlign w:val="center"/>
          </w:tcPr>
          <w:p w14:paraId="0F6E4476">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350FE447">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211C30AE">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45CFED60">
            <w:pPr>
              <w:widowControl/>
              <w:spacing w:line="240" w:lineRule="auto"/>
              <w:ind w:firstLine="0" w:firstLineChars="0"/>
              <w:jc w:val="center"/>
              <w:textAlignment w:val="center"/>
              <w:rPr>
                <w:color w:val="auto"/>
                <w:sz w:val="21"/>
                <w:szCs w:val="21"/>
                <w:lang w:bidi="ar"/>
              </w:rPr>
            </w:pPr>
            <w:r>
              <w:rPr>
                <w:color w:val="auto"/>
                <w:sz w:val="21"/>
                <w:szCs w:val="21"/>
                <w:lang w:bidi="ar"/>
              </w:rPr>
              <w:t>13.60</w:t>
            </w:r>
          </w:p>
        </w:tc>
        <w:tc>
          <w:tcPr>
            <w:tcW w:w="686" w:type="pct"/>
            <w:gridSpan w:val="3"/>
            <w:tcBorders>
              <w:tl2br w:val="nil"/>
              <w:tr2bl w:val="nil"/>
            </w:tcBorders>
            <w:shd w:val="clear" w:color="auto" w:fill="auto"/>
            <w:vAlign w:val="center"/>
          </w:tcPr>
          <w:p w14:paraId="6D83BB81">
            <w:pPr>
              <w:widowControl/>
              <w:spacing w:line="240" w:lineRule="auto"/>
              <w:ind w:firstLine="0" w:firstLineChars="0"/>
              <w:jc w:val="center"/>
              <w:textAlignment w:val="center"/>
              <w:rPr>
                <w:color w:val="auto"/>
                <w:sz w:val="21"/>
                <w:szCs w:val="21"/>
                <w:lang w:bidi="ar"/>
              </w:rPr>
            </w:pPr>
            <w:r>
              <w:rPr>
                <w:color w:val="auto"/>
                <w:sz w:val="21"/>
                <w:szCs w:val="21"/>
                <w:lang w:bidi="ar"/>
              </w:rPr>
              <w:t>15.77</w:t>
            </w:r>
          </w:p>
        </w:tc>
        <w:tc>
          <w:tcPr>
            <w:tcW w:w="499" w:type="pct"/>
            <w:tcBorders>
              <w:tl2br w:val="nil"/>
              <w:tr2bl w:val="nil"/>
            </w:tcBorders>
            <w:shd w:val="clear" w:color="auto" w:fill="auto"/>
            <w:vAlign w:val="center"/>
          </w:tcPr>
          <w:p w14:paraId="1759AFCB">
            <w:pPr>
              <w:widowControl/>
              <w:spacing w:line="240" w:lineRule="auto"/>
              <w:ind w:firstLine="0" w:firstLineChars="0"/>
              <w:jc w:val="center"/>
              <w:textAlignment w:val="center"/>
              <w:rPr>
                <w:color w:val="auto"/>
                <w:sz w:val="21"/>
                <w:szCs w:val="21"/>
                <w:lang w:bidi="ar"/>
              </w:rPr>
            </w:pPr>
          </w:p>
        </w:tc>
      </w:tr>
      <w:tr w14:paraId="7BE91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0D9E7FF5">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6A13F515">
            <w:pPr>
              <w:widowControl/>
              <w:spacing w:line="240" w:lineRule="auto"/>
              <w:ind w:firstLine="0" w:firstLineChars="0"/>
              <w:jc w:val="center"/>
              <w:textAlignment w:val="center"/>
              <w:rPr>
                <w:color w:val="auto"/>
                <w:sz w:val="21"/>
                <w:szCs w:val="21"/>
                <w:lang w:bidi="ar"/>
              </w:rPr>
            </w:pPr>
            <w:r>
              <w:rPr>
                <w:color w:val="auto"/>
                <w:sz w:val="21"/>
                <w:szCs w:val="21"/>
                <w:lang w:bidi="ar"/>
              </w:rPr>
              <w:t>地区生产总值（万元）</w:t>
            </w:r>
          </w:p>
        </w:tc>
        <w:tc>
          <w:tcPr>
            <w:tcW w:w="580" w:type="pct"/>
            <w:gridSpan w:val="2"/>
            <w:tcBorders>
              <w:tl2br w:val="nil"/>
              <w:tr2bl w:val="nil"/>
            </w:tcBorders>
            <w:shd w:val="clear" w:color="auto" w:fill="auto"/>
            <w:vAlign w:val="center"/>
          </w:tcPr>
          <w:p w14:paraId="2D05EA3F">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056BDEC0">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63FBF48F">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4906E752">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2920000</w:t>
            </w:r>
          </w:p>
        </w:tc>
        <w:tc>
          <w:tcPr>
            <w:tcW w:w="686" w:type="pct"/>
            <w:gridSpan w:val="3"/>
            <w:tcBorders>
              <w:tl2br w:val="nil"/>
              <w:tr2bl w:val="nil"/>
            </w:tcBorders>
            <w:shd w:val="clear" w:color="auto" w:fill="auto"/>
            <w:vAlign w:val="center"/>
          </w:tcPr>
          <w:p w14:paraId="0DDC5289">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4095500</w:t>
            </w:r>
          </w:p>
        </w:tc>
        <w:tc>
          <w:tcPr>
            <w:tcW w:w="499" w:type="pct"/>
            <w:tcBorders>
              <w:tl2br w:val="nil"/>
              <w:tr2bl w:val="nil"/>
            </w:tcBorders>
            <w:shd w:val="clear" w:color="auto" w:fill="auto"/>
            <w:vAlign w:val="center"/>
          </w:tcPr>
          <w:p w14:paraId="25B0E532">
            <w:pPr>
              <w:widowControl/>
              <w:spacing w:line="240" w:lineRule="auto"/>
              <w:ind w:firstLine="0" w:firstLineChars="0"/>
              <w:jc w:val="center"/>
              <w:textAlignment w:val="center"/>
              <w:rPr>
                <w:color w:val="auto"/>
                <w:sz w:val="21"/>
                <w:szCs w:val="21"/>
                <w:lang w:bidi="ar"/>
              </w:rPr>
            </w:pPr>
          </w:p>
        </w:tc>
      </w:tr>
      <w:tr w14:paraId="44CAD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1ECF880B">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13F35DDC">
            <w:pPr>
              <w:widowControl/>
              <w:spacing w:line="240" w:lineRule="auto"/>
              <w:ind w:firstLine="0" w:firstLineChars="0"/>
              <w:jc w:val="center"/>
              <w:textAlignment w:val="center"/>
              <w:rPr>
                <w:color w:val="auto"/>
                <w:sz w:val="21"/>
                <w:szCs w:val="21"/>
                <w:lang w:bidi="ar"/>
              </w:rPr>
            </w:pPr>
            <w:r>
              <w:rPr>
                <w:color w:val="auto"/>
                <w:sz w:val="21"/>
                <w:szCs w:val="21"/>
                <w:lang w:bidi="ar"/>
              </w:rPr>
              <w:t>工业增加值（万元）</w:t>
            </w:r>
          </w:p>
        </w:tc>
        <w:tc>
          <w:tcPr>
            <w:tcW w:w="580" w:type="pct"/>
            <w:gridSpan w:val="2"/>
            <w:tcBorders>
              <w:tl2br w:val="nil"/>
              <w:tr2bl w:val="nil"/>
            </w:tcBorders>
            <w:shd w:val="clear" w:color="auto" w:fill="auto"/>
            <w:vAlign w:val="center"/>
          </w:tcPr>
          <w:p w14:paraId="66B25B86">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229BEAAA">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609D413C">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00CAE611">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678000</w:t>
            </w:r>
          </w:p>
        </w:tc>
        <w:tc>
          <w:tcPr>
            <w:tcW w:w="686" w:type="pct"/>
            <w:gridSpan w:val="3"/>
            <w:tcBorders>
              <w:tl2br w:val="nil"/>
              <w:tr2bl w:val="nil"/>
            </w:tcBorders>
            <w:shd w:val="clear" w:color="auto" w:fill="auto"/>
            <w:vAlign w:val="center"/>
          </w:tcPr>
          <w:p w14:paraId="12BAE0E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923800</w:t>
            </w:r>
          </w:p>
        </w:tc>
        <w:tc>
          <w:tcPr>
            <w:tcW w:w="499" w:type="pct"/>
            <w:tcBorders>
              <w:tl2br w:val="nil"/>
              <w:tr2bl w:val="nil"/>
            </w:tcBorders>
            <w:shd w:val="clear" w:color="auto" w:fill="auto"/>
            <w:vAlign w:val="center"/>
          </w:tcPr>
          <w:p w14:paraId="203A5998">
            <w:pPr>
              <w:widowControl/>
              <w:spacing w:line="240" w:lineRule="auto"/>
              <w:ind w:firstLine="0" w:firstLineChars="0"/>
              <w:jc w:val="center"/>
              <w:textAlignment w:val="center"/>
              <w:rPr>
                <w:color w:val="auto"/>
                <w:sz w:val="21"/>
                <w:szCs w:val="21"/>
                <w:lang w:bidi="ar"/>
              </w:rPr>
            </w:pPr>
          </w:p>
        </w:tc>
      </w:tr>
      <w:tr w14:paraId="05DB5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36714AA4">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056BDBB6">
            <w:pPr>
              <w:widowControl/>
              <w:spacing w:line="240" w:lineRule="auto"/>
              <w:ind w:firstLine="0" w:firstLineChars="0"/>
              <w:jc w:val="center"/>
              <w:textAlignment w:val="center"/>
              <w:rPr>
                <w:color w:val="auto"/>
                <w:sz w:val="21"/>
                <w:szCs w:val="21"/>
                <w:lang w:bidi="ar"/>
              </w:rPr>
            </w:pPr>
            <w:r>
              <w:rPr>
                <w:color w:val="auto"/>
                <w:sz w:val="21"/>
                <w:szCs w:val="21"/>
                <w:lang w:bidi="ar"/>
              </w:rPr>
              <w:t>实际灌溉面积（万亩）</w:t>
            </w:r>
          </w:p>
        </w:tc>
        <w:tc>
          <w:tcPr>
            <w:tcW w:w="580" w:type="pct"/>
            <w:gridSpan w:val="2"/>
            <w:tcBorders>
              <w:tl2br w:val="nil"/>
              <w:tr2bl w:val="nil"/>
            </w:tcBorders>
            <w:shd w:val="clear" w:color="auto" w:fill="auto"/>
            <w:vAlign w:val="center"/>
          </w:tcPr>
          <w:p w14:paraId="2E0F4340">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66F0535B">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2F52E422">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004F68E8">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1791A64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3BC7BD46">
            <w:pPr>
              <w:widowControl/>
              <w:spacing w:line="240" w:lineRule="auto"/>
              <w:ind w:firstLine="0" w:firstLineChars="0"/>
              <w:jc w:val="center"/>
              <w:textAlignment w:val="center"/>
              <w:rPr>
                <w:color w:val="auto"/>
                <w:sz w:val="21"/>
                <w:szCs w:val="21"/>
                <w:lang w:bidi="ar"/>
              </w:rPr>
            </w:pPr>
          </w:p>
        </w:tc>
      </w:tr>
      <w:tr w14:paraId="4C5E9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42CF404D">
            <w:pPr>
              <w:widowControl/>
              <w:spacing w:line="240" w:lineRule="auto"/>
              <w:ind w:firstLine="0" w:firstLineChars="0"/>
              <w:jc w:val="center"/>
              <w:textAlignment w:val="center"/>
              <w:rPr>
                <w:color w:val="auto"/>
                <w:sz w:val="21"/>
                <w:szCs w:val="21"/>
                <w:lang w:bidi="ar"/>
              </w:rPr>
            </w:pPr>
            <w:r>
              <w:rPr>
                <w:color w:val="auto"/>
                <w:sz w:val="21"/>
                <w:szCs w:val="21"/>
                <w:lang w:bidi="ar"/>
              </w:rPr>
              <w:t>三、节水</w:t>
            </w:r>
          </w:p>
          <w:p w14:paraId="57768DE2">
            <w:pPr>
              <w:widowControl/>
              <w:spacing w:line="240" w:lineRule="auto"/>
              <w:ind w:firstLine="0" w:firstLineChars="0"/>
              <w:jc w:val="center"/>
              <w:textAlignment w:val="center"/>
              <w:rPr>
                <w:color w:val="auto"/>
                <w:sz w:val="21"/>
                <w:szCs w:val="21"/>
                <w:lang w:bidi="ar"/>
              </w:rPr>
            </w:pPr>
            <w:r>
              <w:rPr>
                <w:color w:val="auto"/>
                <w:sz w:val="21"/>
                <w:szCs w:val="21"/>
                <w:lang w:bidi="ar"/>
              </w:rPr>
              <w:t>指标</w:t>
            </w:r>
          </w:p>
        </w:tc>
        <w:tc>
          <w:tcPr>
            <w:tcW w:w="1081" w:type="pct"/>
            <w:tcBorders>
              <w:tl2br w:val="nil"/>
              <w:tr2bl w:val="nil"/>
            </w:tcBorders>
            <w:shd w:val="clear" w:color="auto" w:fill="auto"/>
            <w:vAlign w:val="center"/>
          </w:tcPr>
          <w:p w14:paraId="244E29AA">
            <w:pPr>
              <w:widowControl/>
              <w:spacing w:line="240" w:lineRule="auto"/>
              <w:ind w:firstLine="0" w:firstLineChars="0"/>
              <w:jc w:val="center"/>
              <w:textAlignment w:val="center"/>
              <w:rPr>
                <w:color w:val="auto"/>
                <w:sz w:val="21"/>
                <w:szCs w:val="21"/>
                <w:lang w:bidi="ar"/>
              </w:rPr>
            </w:pPr>
            <w:r>
              <w:rPr>
                <w:color w:val="auto"/>
                <w:sz w:val="21"/>
                <w:szCs w:val="21"/>
                <w:lang w:bidi="ar"/>
              </w:rPr>
              <w:t>指标名称</w:t>
            </w:r>
          </w:p>
        </w:tc>
        <w:tc>
          <w:tcPr>
            <w:tcW w:w="580" w:type="pct"/>
            <w:gridSpan w:val="2"/>
            <w:tcBorders>
              <w:tl2br w:val="nil"/>
              <w:tr2bl w:val="nil"/>
            </w:tcBorders>
            <w:shd w:val="clear" w:color="auto" w:fill="auto"/>
            <w:vAlign w:val="center"/>
          </w:tcPr>
          <w:p w14:paraId="109362BA">
            <w:pPr>
              <w:widowControl/>
              <w:spacing w:line="240" w:lineRule="auto"/>
              <w:ind w:firstLine="0" w:firstLineChars="0"/>
              <w:jc w:val="center"/>
              <w:textAlignment w:val="center"/>
              <w:rPr>
                <w:color w:val="auto"/>
                <w:sz w:val="21"/>
                <w:szCs w:val="21"/>
                <w:lang w:bidi="ar"/>
              </w:rPr>
            </w:pPr>
            <w:r>
              <w:rPr>
                <w:color w:val="auto"/>
                <w:sz w:val="21"/>
                <w:szCs w:val="21"/>
                <w:lang w:bidi="ar"/>
              </w:rPr>
              <w:t>现状水平年</w:t>
            </w:r>
          </w:p>
        </w:tc>
        <w:tc>
          <w:tcPr>
            <w:tcW w:w="582" w:type="pct"/>
            <w:gridSpan w:val="3"/>
            <w:tcBorders>
              <w:tl2br w:val="nil"/>
              <w:tr2bl w:val="nil"/>
            </w:tcBorders>
            <w:shd w:val="clear" w:color="auto" w:fill="auto"/>
            <w:vAlign w:val="center"/>
          </w:tcPr>
          <w:p w14:paraId="5E07E591">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tc>
        <w:tc>
          <w:tcPr>
            <w:tcW w:w="588" w:type="pct"/>
            <w:gridSpan w:val="3"/>
            <w:tcBorders>
              <w:tl2br w:val="nil"/>
              <w:tr2bl w:val="nil"/>
            </w:tcBorders>
            <w:shd w:val="clear" w:color="auto" w:fill="auto"/>
            <w:vAlign w:val="center"/>
          </w:tcPr>
          <w:p w14:paraId="0864965B">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tc>
        <w:tc>
          <w:tcPr>
            <w:tcW w:w="575" w:type="pct"/>
            <w:gridSpan w:val="2"/>
            <w:tcBorders>
              <w:tl2br w:val="nil"/>
              <w:tr2bl w:val="nil"/>
            </w:tcBorders>
            <w:shd w:val="clear" w:color="auto" w:fill="auto"/>
            <w:vAlign w:val="center"/>
          </w:tcPr>
          <w:p w14:paraId="49A76EEF">
            <w:pPr>
              <w:widowControl/>
              <w:spacing w:line="240" w:lineRule="auto"/>
              <w:ind w:firstLine="0" w:firstLineChars="0"/>
              <w:jc w:val="center"/>
              <w:textAlignment w:val="center"/>
              <w:rPr>
                <w:color w:val="auto"/>
                <w:sz w:val="21"/>
                <w:szCs w:val="21"/>
                <w:lang w:bidi="ar"/>
              </w:rPr>
            </w:pPr>
            <w:r>
              <w:rPr>
                <w:color w:val="auto"/>
                <w:sz w:val="21"/>
                <w:szCs w:val="21"/>
                <w:lang w:bidi="ar"/>
              </w:rPr>
              <w:t>国内现状</w:t>
            </w:r>
          </w:p>
          <w:p w14:paraId="0D17BFC8">
            <w:pPr>
              <w:widowControl/>
              <w:spacing w:line="240" w:lineRule="auto"/>
              <w:ind w:firstLine="0" w:firstLineChars="0"/>
              <w:jc w:val="center"/>
              <w:textAlignment w:val="center"/>
              <w:rPr>
                <w:color w:val="auto"/>
                <w:sz w:val="21"/>
                <w:szCs w:val="21"/>
                <w:lang w:bidi="ar"/>
              </w:rPr>
            </w:pPr>
            <w:r>
              <w:rPr>
                <w:color w:val="auto"/>
                <w:sz w:val="21"/>
                <w:szCs w:val="21"/>
                <w:lang w:bidi="ar"/>
              </w:rPr>
              <w:t>平均值</w:t>
            </w:r>
          </w:p>
        </w:tc>
        <w:tc>
          <w:tcPr>
            <w:tcW w:w="686" w:type="pct"/>
            <w:gridSpan w:val="3"/>
            <w:tcBorders>
              <w:tl2br w:val="nil"/>
              <w:tr2bl w:val="nil"/>
            </w:tcBorders>
            <w:shd w:val="clear" w:color="auto" w:fill="auto"/>
            <w:vAlign w:val="center"/>
          </w:tcPr>
          <w:p w14:paraId="4BD3AA94">
            <w:pPr>
              <w:widowControl/>
              <w:spacing w:line="240" w:lineRule="auto"/>
              <w:ind w:firstLine="0" w:firstLineChars="0"/>
              <w:jc w:val="center"/>
              <w:textAlignment w:val="center"/>
              <w:rPr>
                <w:color w:val="auto"/>
                <w:sz w:val="21"/>
                <w:szCs w:val="21"/>
                <w:lang w:bidi="ar"/>
              </w:rPr>
            </w:pPr>
            <w:r>
              <w:rPr>
                <w:color w:val="auto"/>
                <w:sz w:val="21"/>
                <w:szCs w:val="21"/>
                <w:lang w:bidi="ar"/>
              </w:rPr>
              <w:t>同类地区</w:t>
            </w:r>
          </w:p>
          <w:p w14:paraId="045E9EA2">
            <w:pPr>
              <w:widowControl/>
              <w:spacing w:line="240" w:lineRule="auto"/>
              <w:ind w:firstLine="0" w:firstLineChars="0"/>
              <w:jc w:val="center"/>
              <w:textAlignment w:val="center"/>
              <w:rPr>
                <w:color w:val="auto"/>
                <w:sz w:val="21"/>
                <w:szCs w:val="21"/>
                <w:lang w:bidi="ar"/>
              </w:rPr>
            </w:pPr>
            <w:r>
              <w:rPr>
                <w:color w:val="auto"/>
                <w:sz w:val="21"/>
                <w:szCs w:val="21"/>
                <w:lang w:bidi="ar"/>
              </w:rPr>
              <w:t>现状平均值</w:t>
            </w:r>
          </w:p>
        </w:tc>
        <w:tc>
          <w:tcPr>
            <w:tcW w:w="499" w:type="pct"/>
            <w:tcBorders>
              <w:tl2br w:val="nil"/>
              <w:tr2bl w:val="nil"/>
            </w:tcBorders>
            <w:shd w:val="clear" w:color="auto" w:fill="auto"/>
            <w:vAlign w:val="center"/>
          </w:tcPr>
          <w:p w14:paraId="1E4A02F8">
            <w:pPr>
              <w:widowControl/>
              <w:spacing w:line="240" w:lineRule="auto"/>
              <w:ind w:firstLine="0" w:firstLineChars="0"/>
              <w:jc w:val="center"/>
              <w:textAlignment w:val="center"/>
              <w:rPr>
                <w:color w:val="auto"/>
                <w:sz w:val="21"/>
                <w:szCs w:val="21"/>
                <w:lang w:bidi="ar"/>
              </w:rPr>
            </w:pPr>
            <w:r>
              <w:rPr>
                <w:color w:val="auto"/>
                <w:sz w:val="21"/>
                <w:szCs w:val="21"/>
                <w:lang w:bidi="ar"/>
              </w:rPr>
              <w:t>同类地区</w:t>
            </w:r>
          </w:p>
          <w:p w14:paraId="48E23B39">
            <w:pPr>
              <w:widowControl/>
              <w:spacing w:line="240" w:lineRule="auto"/>
              <w:ind w:firstLine="0" w:firstLineChars="0"/>
              <w:jc w:val="center"/>
              <w:textAlignment w:val="center"/>
              <w:rPr>
                <w:color w:val="auto"/>
                <w:sz w:val="21"/>
                <w:szCs w:val="21"/>
                <w:lang w:bidi="ar"/>
              </w:rPr>
            </w:pPr>
            <w:r>
              <w:rPr>
                <w:color w:val="auto"/>
                <w:sz w:val="21"/>
                <w:szCs w:val="21"/>
                <w:lang w:bidi="ar"/>
              </w:rPr>
              <w:t>现状先进值</w:t>
            </w:r>
          </w:p>
        </w:tc>
      </w:tr>
      <w:tr w14:paraId="028A9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17589688">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599248FB">
            <w:pPr>
              <w:widowControl/>
              <w:spacing w:line="240" w:lineRule="auto"/>
              <w:ind w:firstLine="0" w:firstLineChars="0"/>
              <w:jc w:val="center"/>
              <w:textAlignment w:val="center"/>
              <w:rPr>
                <w:color w:val="auto"/>
                <w:sz w:val="21"/>
                <w:szCs w:val="21"/>
                <w:lang w:bidi="ar"/>
              </w:rPr>
            </w:pPr>
            <w:r>
              <w:rPr>
                <w:color w:val="auto"/>
                <w:sz w:val="21"/>
                <w:szCs w:val="21"/>
                <w:lang w:bidi="ar"/>
              </w:rPr>
              <w:t>万元地区生产总值用水量</w:t>
            </w:r>
          </w:p>
          <w:p w14:paraId="7BF6611A">
            <w:pPr>
              <w:widowControl/>
              <w:spacing w:line="240" w:lineRule="auto"/>
              <w:ind w:firstLine="0" w:firstLineChars="0"/>
              <w:jc w:val="center"/>
              <w:textAlignment w:val="center"/>
              <w:rPr>
                <w:color w:val="auto"/>
                <w:sz w:val="21"/>
                <w:szCs w:val="21"/>
                <w:lang w:bidi="ar"/>
              </w:rPr>
            </w:pPr>
            <w:r>
              <w:rPr>
                <w:color w:val="auto"/>
                <w:sz w:val="21"/>
                <w:szCs w:val="21"/>
                <w:lang w:bidi="ar"/>
              </w:rPr>
              <w:t>（可比价，m³）</w:t>
            </w:r>
          </w:p>
        </w:tc>
        <w:tc>
          <w:tcPr>
            <w:tcW w:w="580" w:type="pct"/>
            <w:gridSpan w:val="2"/>
            <w:tcBorders>
              <w:tl2br w:val="nil"/>
              <w:tr2bl w:val="nil"/>
            </w:tcBorders>
            <w:shd w:val="clear" w:color="auto" w:fill="auto"/>
            <w:vAlign w:val="center"/>
          </w:tcPr>
          <w:p w14:paraId="333EB02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9.1</w:t>
            </w:r>
          </w:p>
        </w:tc>
        <w:tc>
          <w:tcPr>
            <w:tcW w:w="582" w:type="pct"/>
            <w:gridSpan w:val="3"/>
            <w:tcBorders>
              <w:tl2br w:val="nil"/>
              <w:tr2bl w:val="nil"/>
            </w:tcBorders>
            <w:shd w:val="clear" w:color="auto" w:fill="auto"/>
            <w:vAlign w:val="center"/>
          </w:tcPr>
          <w:p w14:paraId="19C03AD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9.0</w:t>
            </w:r>
          </w:p>
        </w:tc>
        <w:tc>
          <w:tcPr>
            <w:tcW w:w="588" w:type="pct"/>
            <w:gridSpan w:val="3"/>
            <w:tcBorders>
              <w:tl2br w:val="nil"/>
              <w:tr2bl w:val="nil"/>
            </w:tcBorders>
            <w:shd w:val="clear" w:color="auto" w:fill="auto"/>
            <w:vAlign w:val="center"/>
          </w:tcPr>
          <w:p w14:paraId="3432B147">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372C87D4">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73</w:t>
            </w:r>
          </w:p>
        </w:tc>
        <w:tc>
          <w:tcPr>
            <w:tcW w:w="686" w:type="pct"/>
            <w:gridSpan w:val="3"/>
            <w:tcBorders>
              <w:tl2br w:val="nil"/>
              <w:tr2bl w:val="nil"/>
            </w:tcBorders>
            <w:shd w:val="clear" w:color="auto" w:fill="auto"/>
            <w:vAlign w:val="center"/>
          </w:tcPr>
          <w:p w14:paraId="2AA73121">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85</w:t>
            </w:r>
          </w:p>
        </w:tc>
        <w:tc>
          <w:tcPr>
            <w:tcW w:w="499" w:type="pct"/>
            <w:tcBorders>
              <w:tl2br w:val="nil"/>
              <w:tr2bl w:val="nil"/>
            </w:tcBorders>
            <w:shd w:val="clear" w:color="auto" w:fill="auto"/>
            <w:vAlign w:val="center"/>
          </w:tcPr>
          <w:p w14:paraId="36561AD3">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40</w:t>
            </w:r>
          </w:p>
        </w:tc>
      </w:tr>
      <w:tr w14:paraId="69C85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114E5C35">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2CF6F9B3">
            <w:pPr>
              <w:widowControl/>
              <w:spacing w:line="240" w:lineRule="auto"/>
              <w:ind w:firstLine="0" w:firstLineChars="0"/>
              <w:jc w:val="center"/>
              <w:textAlignment w:val="center"/>
              <w:rPr>
                <w:color w:val="auto"/>
                <w:sz w:val="21"/>
                <w:szCs w:val="21"/>
                <w:lang w:bidi="ar"/>
              </w:rPr>
            </w:pPr>
            <w:r>
              <w:rPr>
                <w:color w:val="auto"/>
                <w:sz w:val="21"/>
                <w:szCs w:val="21"/>
                <w:lang w:bidi="ar"/>
              </w:rPr>
              <w:t>万元工业增加值用水量</w:t>
            </w:r>
          </w:p>
          <w:p w14:paraId="1B4EB9CA">
            <w:pPr>
              <w:widowControl/>
              <w:spacing w:line="240" w:lineRule="auto"/>
              <w:ind w:firstLine="0" w:firstLineChars="0"/>
              <w:jc w:val="center"/>
              <w:textAlignment w:val="center"/>
              <w:rPr>
                <w:color w:val="auto"/>
                <w:sz w:val="21"/>
                <w:szCs w:val="21"/>
                <w:lang w:bidi="ar"/>
              </w:rPr>
            </w:pPr>
            <w:r>
              <w:rPr>
                <w:color w:val="auto"/>
                <w:sz w:val="21"/>
                <w:szCs w:val="21"/>
                <w:lang w:bidi="ar"/>
              </w:rPr>
              <w:t>（可比价，m³）</w:t>
            </w:r>
          </w:p>
        </w:tc>
        <w:tc>
          <w:tcPr>
            <w:tcW w:w="580" w:type="pct"/>
            <w:gridSpan w:val="2"/>
            <w:tcBorders>
              <w:tl2br w:val="nil"/>
              <w:tr2bl w:val="nil"/>
            </w:tcBorders>
            <w:shd w:val="clear" w:color="auto" w:fill="auto"/>
            <w:vAlign w:val="center"/>
          </w:tcPr>
          <w:p w14:paraId="3FAEE09C">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20</w:t>
            </w:r>
          </w:p>
        </w:tc>
        <w:tc>
          <w:tcPr>
            <w:tcW w:w="582" w:type="pct"/>
            <w:gridSpan w:val="3"/>
            <w:tcBorders>
              <w:tl2br w:val="nil"/>
              <w:tr2bl w:val="nil"/>
            </w:tcBorders>
            <w:shd w:val="clear" w:color="auto" w:fill="auto"/>
            <w:vAlign w:val="center"/>
          </w:tcPr>
          <w:p w14:paraId="4396CE89">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19</w:t>
            </w:r>
          </w:p>
        </w:tc>
        <w:tc>
          <w:tcPr>
            <w:tcW w:w="588" w:type="pct"/>
            <w:gridSpan w:val="3"/>
            <w:tcBorders>
              <w:tl2br w:val="nil"/>
              <w:tr2bl w:val="nil"/>
            </w:tcBorders>
            <w:shd w:val="clear" w:color="auto" w:fill="auto"/>
            <w:vAlign w:val="center"/>
          </w:tcPr>
          <w:p w14:paraId="44CD6A66">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187FA716">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45.6</w:t>
            </w:r>
          </w:p>
        </w:tc>
        <w:tc>
          <w:tcPr>
            <w:tcW w:w="686" w:type="pct"/>
            <w:gridSpan w:val="3"/>
            <w:tcBorders>
              <w:tl2br w:val="nil"/>
              <w:tr2bl w:val="nil"/>
            </w:tcBorders>
            <w:shd w:val="clear" w:color="auto" w:fill="auto"/>
            <w:vAlign w:val="center"/>
          </w:tcPr>
          <w:p w14:paraId="6B94C5AC">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51.6</w:t>
            </w:r>
          </w:p>
        </w:tc>
        <w:tc>
          <w:tcPr>
            <w:tcW w:w="499" w:type="pct"/>
            <w:tcBorders>
              <w:tl2br w:val="nil"/>
              <w:tr2bl w:val="nil"/>
            </w:tcBorders>
            <w:shd w:val="clear" w:color="auto" w:fill="auto"/>
            <w:vAlign w:val="center"/>
          </w:tcPr>
          <w:p w14:paraId="55FFFE1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44.6</w:t>
            </w:r>
          </w:p>
        </w:tc>
      </w:tr>
      <w:tr w14:paraId="04C0F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1086C321">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682BBAA1">
            <w:pPr>
              <w:widowControl/>
              <w:spacing w:line="240" w:lineRule="auto"/>
              <w:ind w:firstLine="0" w:firstLineChars="0"/>
              <w:jc w:val="center"/>
              <w:textAlignment w:val="center"/>
              <w:rPr>
                <w:color w:val="auto"/>
                <w:sz w:val="21"/>
                <w:szCs w:val="21"/>
                <w:lang w:bidi="ar"/>
              </w:rPr>
            </w:pPr>
            <w:r>
              <w:rPr>
                <w:color w:val="auto"/>
                <w:sz w:val="21"/>
                <w:szCs w:val="21"/>
                <w:lang w:bidi="ar"/>
              </w:rPr>
              <w:t>农田灌溉水有效利用系数</w:t>
            </w:r>
          </w:p>
        </w:tc>
        <w:tc>
          <w:tcPr>
            <w:tcW w:w="580" w:type="pct"/>
            <w:gridSpan w:val="2"/>
            <w:tcBorders>
              <w:tl2br w:val="nil"/>
              <w:tr2bl w:val="nil"/>
            </w:tcBorders>
            <w:shd w:val="clear" w:color="auto" w:fill="auto"/>
            <w:vAlign w:val="center"/>
          </w:tcPr>
          <w:p w14:paraId="61DDDB44">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2" w:type="pct"/>
            <w:gridSpan w:val="3"/>
            <w:tcBorders>
              <w:tl2br w:val="nil"/>
              <w:tr2bl w:val="nil"/>
            </w:tcBorders>
            <w:shd w:val="clear" w:color="auto" w:fill="auto"/>
            <w:vAlign w:val="center"/>
          </w:tcPr>
          <w:p w14:paraId="3EE1548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8" w:type="pct"/>
            <w:gridSpan w:val="3"/>
            <w:tcBorders>
              <w:tl2br w:val="nil"/>
              <w:tr2bl w:val="nil"/>
            </w:tcBorders>
            <w:shd w:val="clear" w:color="auto" w:fill="auto"/>
            <w:vAlign w:val="center"/>
          </w:tcPr>
          <w:p w14:paraId="3827BE8D">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5627663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14775CF6">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4D3B4504">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r>
      <w:tr w14:paraId="6188B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390F89D4">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505FD168">
            <w:pPr>
              <w:widowControl/>
              <w:spacing w:line="240" w:lineRule="auto"/>
              <w:ind w:firstLine="0" w:firstLineChars="0"/>
              <w:jc w:val="center"/>
              <w:textAlignment w:val="center"/>
              <w:rPr>
                <w:color w:val="auto"/>
                <w:sz w:val="21"/>
                <w:szCs w:val="21"/>
                <w:lang w:bidi="ar"/>
              </w:rPr>
            </w:pPr>
            <w:r>
              <w:rPr>
                <w:color w:val="auto"/>
                <w:sz w:val="21"/>
                <w:szCs w:val="21"/>
                <w:lang w:bidi="ar"/>
              </w:rPr>
              <w:t>工业用水重复利用率（%）</w:t>
            </w:r>
          </w:p>
        </w:tc>
        <w:tc>
          <w:tcPr>
            <w:tcW w:w="580" w:type="pct"/>
            <w:gridSpan w:val="2"/>
            <w:tcBorders>
              <w:tl2br w:val="nil"/>
              <w:tr2bl w:val="nil"/>
            </w:tcBorders>
            <w:shd w:val="clear" w:color="auto" w:fill="auto"/>
            <w:vAlign w:val="center"/>
          </w:tcPr>
          <w:p w14:paraId="25F58140">
            <w:pPr>
              <w:widowControl/>
              <w:spacing w:line="240" w:lineRule="auto"/>
              <w:ind w:firstLine="0" w:firstLineChars="0"/>
              <w:jc w:val="center"/>
              <w:textAlignment w:val="center"/>
              <w:rPr>
                <w:color w:val="auto"/>
                <w:sz w:val="21"/>
                <w:szCs w:val="21"/>
                <w:lang w:bidi="ar"/>
              </w:rPr>
            </w:pPr>
            <w:r>
              <w:rPr>
                <w:color w:val="auto"/>
                <w:sz w:val="21"/>
                <w:szCs w:val="21"/>
                <w:lang w:bidi="ar"/>
              </w:rPr>
              <w:t>90.51</w:t>
            </w:r>
          </w:p>
        </w:tc>
        <w:tc>
          <w:tcPr>
            <w:tcW w:w="582" w:type="pct"/>
            <w:gridSpan w:val="3"/>
            <w:tcBorders>
              <w:tl2br w:val="nil"/>
              <w:tr2bl w:val="nil"/>
            </w:tcBorders>
            <w:shd w:val="clear" w:color="auto" w:fill="auto"/>
            <w:vAlign w:val="center"/>
          </w:tcPr>
          <w:p w14:paraId="586CD18E">
            <w:pPr>
              <w:widowControl/>
              <w:spacing w:line="240" w:lineRule="auto"/>
              <w:ind w:firstLine="0" w:firstLineChars="0"/>
              <w:jc w:val="center"/>
              <w:textAlignment w:val="center"/>
              <w:rPr>
                <w:color w:val="auto"/>
                <w:sz w:val="21"/>
                <w:szCs w:val="21"/>
                <w:lang w:bidi="ar"/>
              </w:rPr>
            </w:pPr>
            <w:r>
              <w:rPr>
                <w:color w:val="auto"/>
                <w:sz w:val="21"/>
                <w:szCs w:val="21"/>
                <w:lang w:bidi="ar"/>
              </w:rPr>
              <w:t>≥90</w:t>
            </w:r>
          </w:p>
        </w:tc>
        <w:tc>
          <w:tcPr>
            <w:tcW w:w="588" w:type="pct"/>
            <w:gridSpan w:val="3"/>
            <w:tcBorders>
              <w:tl2br w:val="nil"/>
              <w:tr2bl w:val="nil"/>
            </w:tcBorders>
            <w:shd w:val="clear" w:color="auto" w:fill="auto"/>
            <w:vAlign w:val="center"/>
          </w:tcPr>
          <w:p w14:paraId="4EB0A6FA">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6A338A86">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89.5</w:t>
            </w:r>
          </w:p>
        </w:tc>
        <w:tc>
          <w:tcPr>
            <w:tcW w:w="686" w:type="pct"/>
            <w:gridSpan w:val="3"/>
            <w:tcBorders>
              <w:tl2br w:val="nil"/>
              <w:tr2bl w:val="nil"/>
            </w:tcBorders>
            <w:shd w:val="clear" w:color="auto" w:fill="auto"/>
            <w:vAlign w:val="center"/>
          </w:tcPr>
          <w:p w14:paraId="072BC066">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90.8</w:t>
            </w:r>
          </w:p>
        </w:tc>
        <w:tc>
          <w:tcPr>
            <w:tcW w:w="499" w:type="pct"/>
            <w:tcBorders>
              <w:tl2br w:val="nil"/>
              <w:tr2bl w:val="nil"/>
            </w:tcBorders>
            <w:shd w:val="clear" w:color="auto" w:fill="auto"/>
            <w:vAlign w:val="center"/>
          </w:tcPr>
          <w:p w14:paraId="1576D7B5">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94.3</w:t>
            </w:r>
          </w:p>
        </w:tc>
      </w:tr>
      <w:tr w14:paraId="780C6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2C497DF8">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1C459441">
            <w:pPr>
              <w:widowControl/>
              <w:spacing w:line="240" w:lineRule="auto"/>
              <w:ind w:firstLine="0" w:firstLineChars="0"/>
              <w:jc w:val="center"/>
              <w:textAlignment w:val="center"/>
              <w:rPr>
                <w:color w:val="auto"/>
                <w:sz w:val="21"/>
                <w:szCs w:val="21"/>
                <w:lang w:bidi="ar"/>
              </w:rPr>
            </w:pPr>
            <w:r>
              <w:rPr>
                <w:color w:val="auto"/>
                <w:sz w:val="21"/>
                <w:szCs w:val="21"/>
                <w:lang w:bidi="ar"/>
              </w:rPr>
              <w:t>耕地实际灌溉亩均用水量（m³/亩）</w:t>
            </w:r>
          </w:p>
        </w:tc>
        <w:tc>
          <w:tcPr>
            <w:tcW w:w="580" w:type="pct"/>
            <w:gridSpan w:val="2"/>
            <w:tcBorders>
              <w:tl2br w:val="nil"/>
              <w:tr2bl w:val="nil"/>
            </w:tcBorders>
            <w:shd w:val="clear" w:color="auto" w:fill="auto"/>
            <w:vAlign w:val="center"/>
          </w:tcPr>
          <w:p w14:paraId="52B45035">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2" w:type="pct"/>
            <w:gridSpan w:val="3"/>
            <w:tcBorders>
              <w:tl2br w:val="nil"/>
              <w:tr2bl w:val="nil"/>
            </w:tcBorders>
            <w:shd w:val="clear" w:color="auto" w:fill="auto"/>
            <w:vAlign w:val="center"/>
          </w:tcPr>
          <w:p w14:paraId="3C466C0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8" w:type="pct"/>
            <w:gridSpan w:val="3"/>
            <w:tcBorders>
              <w:tl2br w:val="nil"/>
              <w:tr2bl w:val="nil"/>
            </w:tcBorders>
            <w:shd w:val="clear" w:color="auto" w:fill="auto"/>
            <w:vAlign w:val="center"/>
          </w:tcPr>
          <w:p w14:paraId="1F4AD53C">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38A5B84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2F6E112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64F811B9">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r>
      <w:tr w14:paraId="722D7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3BD783E2">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3D24053B">
            <w:pPr>
              <w:widowControl/>
              <w:spacing w:line="240" w:lineRule="auto"/>
              <w:ind w:firstLine="0" w:firstLineChars="0"/>
              <w:jc w:val="center"/>
              <w:textAlignment w:val="center"/>
              <w:rPr>
                <w:color w:val="auto"/>
                <w:sz w:val="21"/>
                <w:szCs w:val="21"/>
                <w:lang w:bidi="ar"/>
              </w:rPr>
            </w:pPr>
            <w:r>
              <w:rPr>
                <w:color w:val="auto"/>
                <w:sz w:val="21"/>
                <w:szCs w:val="21"/>
                <w:lang w:bidi="ar"/>
              </w:rPr>
              <w:t>节水灌溉工程面积占比（%）</w:t>
            </w:r>
          </w:p>
        </w:tc>
        <w:tc>
          <w:tcPr>
            <w:tcW w:w="580" w:type="pct"/>
            <w:gridSpan w:val="2"/>
            <w:tcBorders>
              <w:tl2br w:val="nil"/>
              <w:tr2bl w:val="nil"/>
            </w:tcBorders>
            <w:shd w:val="clear" w:color="auto" w:fill="auto"/>
            <w:vAlign w:val="center"/>
          </w:tcPr>
          <w:p w14:paraId="3A0991F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2" w:type="pct"/>
            <w:gridSpan w:val="3"/>
            <w:tcBorders>
              <w:tl2br w:val="nil"/>
              <w:tr2bl w:val="nil"/>
            </w:tcBorders>
            <w:shd w:val="clear" w:color="auto" w:fill="auto"/>
            <w:vAlign w:val="center"/>
          </w:tcPr>
          <w:p w14:paraId="7755B8D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8" w:type="pct"/>
            <w:gridSpan w:val="3"/>
            <w:tcBorders>
              <w:tl2br w:val="nil"/>
              <w:tr2bl w:val="nil"/>
            </w:tcBorders>
            <w:shd w:val="clear" w:color="auto" w:fill="auto"/>
            <w:vAlign w:val="center"/>
          </w:tcPr>
          <w:p w14:paraId="1E9B8E9C">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3B3096B5">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7C84896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1F687141">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r>
      <w:tr w14:paraId="61C8F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6FCF7836">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0DF74D02">
            <w:pPr>
              <w:widowControl/>
              <w:spacing w:line="240" w:lineRule="auto"/>
              <w:ind w:firstLine="0" w:firstLineChars="0"/>
              <w:jc w:val="center"/>
              <w:textAlignment w:val="center"/>
              <w:rPr>
                <w:color w:val="auto"/>
                <w:sz w:val="21"/>
                <w:szCs w:val="21"/>
                <w:lang w:bidi="ar"/>
              </w:rPr>
            </w:pPr>
            <w:r>
              <w:rPr>
                <w:color w:val="auto"/>
                <w:sz w:val="21"/>
                <w:szCs w:val="21"/>
                <w:lang w:bidi="ar"/>
              </w:rPr>
              <w:t>高效节水灌溉面积占比（%）</w:t>
            </w:r>
          </w:p>
        </w:tc>
        <w:tc>
          <w:tcPr>
            <w:tcW w:w="580" w:type="pct"/>
            <w:gridSpan w:val="2"/>
            <w:tcBorders>
              <w:tl2br w:val="nil"/>
              <w:tr2bl w:val="nil"/>
            </w:tcBorders>
            <w:shd w:val="clear" w:color="auto" w:fill="auto"/>
            <w:vAlign w:val="center"/>
          </w:tcPr>
          <w:p w14:paraId="5B58951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2" w:type="pct"/>
            <w:gridSpan w:val="3"/>
            <w:tcBorders>
              <w:tl2br w:val="nil"/>
              <w:tr2bl w:val="nil"/>
            </w:tcBorders>
            <w:shd w:val="clear" w:color="auto" w:fill="auto"/>
            <w:vAlign w:val="center"/>
          </w:tcPr>
          <w:p w14:paraId="324144E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8" w:type="pct"/>
            <w:gridSpan w:val="3"/>
            <w:tcBorders>
              <w:tl2br w:val="nil"/>
              <w:tr2bl w:val="nil"/>
            </w:tcBorders>
            <w:shd w:val="clear" w:color="auto" w:fill="auto"/>
            <w:vAlign w:val="center"/>
          </w:tcPr>
          <w:p w14:paraId="749FF4F5">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7B79B08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726859C2">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79E0D0E8">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r>
      <w:tr w14:paraId="6C116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1A5B0815">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6E01007F">
            <w:pPr>
              <w:widowControl/>
              <w:spacing w:line="240" w:lineRule="auto"/>
              <w:ind w:firstLine="0" w:firstLineChars="0"/>
              <w:jc w:val="center"/>
              <w:textAlignment w:val="center"/>
              <w:rPr>
                <w:color w:val="auto"/>
                <w:sz w:val="21"/>
                <w:szCs w:val="21"/>
                <w:lang w:bidi="ar"/>
              </w:rPr>
            </w:pPr>
            <w:r>
              <w:rPr>
                <w:color w:val="auto"/>
                <w:sz w:val="21"/>
                <w:szCs w:val="21"/>
                <w:lang w:bidi="ar"/>
              </w:rPr>
              <w:t>公共供水管网漏损率（%）</w:t>
            </w:r>
          </w:p>
        </w:tc>
        <w:tc>
          <w:tcPr>
            <w:tcW w:w="580" w:type="pct"/>
            <w:gridSpan w:val="2"/>
            <w:tcBorders>
              <w:tl2br w:val="nil"/>
              <w:tr2bl w:val="nil"/>
            </w:tcBorders>
            <w:shd w:val="clear" w:color="auto" w:fill="auto"/>
            <w:vAlign w:val="center"/>
          </w:tcPr>
          <w:p w14:paraId="30A8B7D3">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9.95</w:t>
            </w:r>
          </w:p>
        </w:tc>
        <w:tc>
          <w:tcPr>
            <w:tcW w:w="582" w:type="pct"/>
            <w:gridSpan w:val="3"/>
            <w:tcBorders>
              <w:tl2br w:val="nil"/>
              <w:tr2bl w:val="nil"/>
            </w:tcBorders>
            <w:shd w:val="clear" w:color="auto" w:fill="auto"/>
            <w:vAlign w:val="center"/>
          </w:tcPr>
          <w:p w14:paraId="6B82C45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w:t>
            </w:r>
          </w:p>
        </w:tc>
        <w:tc>
          <w:tcPr>
            <w:tcW w:w="588" w:type="pct"/>
            <w:gridSpan w:val="3"/>
            <w:tcBorders>
              <w:tl2br w:val="nil"/>
              <w:tr2bl w:val="nil"/>
            </w:tcBorders>
            <w:shd w:val="clear" w:color="auto" w:fill="auto"/>
            <w:vAlign w:val="center"/>
          </w:tcPr>
          <w:p w14:paraId="39609FDB">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125D9C4B">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14.7</w:t>
            </w:r>
          </w:p>
        </w:tc>
        <w:tc>
          <w:tcPr>
            <w:tcW w:w="686" w:type="pct"/>
            <w:gridSpan w:val="3"/>
            <w:tcBorders>
              <w:tl2br w:val="nil"/>
              <w:tr2bl w:val="nil"/>
            </w:tcBorders>
            <w:shd w:val="clear" w:color="auto" w:fill="auto"/>
            <w:vAlign w:val="center"/>
          </w:tcPr>
          <w:p w14:paraId="42684BE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13.8</w:t>
            </w:r>
          </w:p>
        </w:tc>
        <w:tc>
          <w:tcPr>
            <w:tcW w:w="499" w:type="pct"/>
            <w:tcBorders>
              <w:tl2br w:val="nil"/>
              <w:tr2bl w:val="nil"/>
            </w:tcBorders>
            <w:shd w:val="clear" w:color="auto" w:fill="auto"/>
            <w:vAlign w:val="center"/>
          </w:tcPr>
          <w:p w14:paraId="22DF0D5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12.8</w:t>
            </w:r>
          </w:p>
        </w:tc>
      </w:tr>
      <w:tr w14:paraId="54E17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4B6DBD5D">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56CC5B8F">
            <w:pPr>
              <w:widowControl/>
              <w:spacing w:line="240" w:lineRule="auto"/>
              <w:ind w:firstLine="0" w:firstLineChars="0"/>
              <w:jc w:val="center"/>
              <w:textAlignment w:val="center"/>
              <w:rPr>
                <w:color w:val="auto"/>
                <w:sz w:val="21"/>
                <w:szCs w:val="21"/>
                <w:lang w:bidi="ar"/>
              </w:rPr>
            </w:pPr>
            <w:r>
              <w:rPr>
                <w:color w:val="auto"/>
                <w:sz w:val="21"/>
                <w:szCs w:val="21"/>
                <w:lang w:bidi="ar"/>
              </w:rPr>
              <w:t>再生水利用率（%）</w:t>
            </w:r>
          </w:p>
        </w:tc>
        <w:tc>
          <w:tcPr>
            <w:tcW w:w="580" w:type="pct"/>
            <w:gridSpan w:val="2"/>
            <w:tcBorders>
              <w:tl2br w:val="nil"/>
              <w:tr2bl w:val="nil"/>
            </w:tcBorders>
            <w:shd w:val="clear" w:color="auto" w:fill="auto"/>
            <w:vAlign w:val="center"/>
          </w:tcPr>
          <w:p w14:paraId="11179F05">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2" w:type="pct"/>
            <w:gridSpan w:val="3"/>
            <w:tcBorders>
              <w:tl2br w:val="nil"/>
              <w:tr2bl w:val="nil"/>
            </w:tcBorders>
            <w:shd w:val="clear" w:color="auto" w:fill="auto"/>
            <w:vAlign w:val="center"/>
          </w:tcPr>
          <w:p w14:paraId="6276C441">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8" w:type="pct"/>
            <w:gridSpan w:val="3"/>
            <w:tcBorders>
              <w:tl2br w:val="nil"/>
              <w:tr2bl w:val="nil"/>
            </w:tcBorders>
            <w:shd w:val="clear" w:color="auto" w:fill="auto"/>
            <w:vAlign w:val="center"/>
          </w:tcPr>
          <w:p w14:paraId="2854D583">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34096967">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53798B4B">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5219680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r>
      <w:tr w14:paraId="72B1E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656D2901">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743A932C">
            <w:pPr>
              <w:widowControl/>
              <w:spacing w:line="240" w:lineRule="auto"/>
              <w:ind w:firstLine="0" w:firstLineChars="0"/>
              <w:jc w:val="center"/>
              <w:textAlignment w:val="center"/>
              <w:rPr>
                <w:color w:val="auto"/>
                <w:sz w:val="21"/>
                <w:szCs w:val="21"/>
                <w:lang w:bidi="ar"/>
              </w:rPr>
            </w:pPr>
            <w:r>
              <w:rPr>
                <w:color w:val="auto"/>
                <w:sz w:val="21"/>
                <w:szCs w:val="21"/>
                <w:lang w:bidi="ar"/>
              </w:rPr>
              <w:t>非常规水源利用水平（%）</w:t>
            </w:r>
          </w:p>
        </w:tc>
        <w:tc>
          <w:tcPr>
            <w:tcW w:w="580" w:type="pct"/>
            <w:gridSpan w:val="2"/>
            <w:tcBorders>
              <w:tl2br w:val="nil"/>
              <w:tr2bl w:val="nil"/>
            </w:tcBorders>
            <w:shd w:val="clear" w:color="auto" w:fill="auto"/>
            <w:vAlign w:val="center"/>
          </w:tcPr>
          <w:p w14:paraId="20A95472">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582" w:type="pct"/>
            <w:gridSpan w:val="3"/>
            <w:tcBorders>
              <w:tl2br w:val="nil"/>
              <w:tr2bl w:val="nil"/>
            </w:tcBorders>
            <w:shd w:val="clear" w:color="auto" w:fill="auto"/>
            <w:vAlign w:val="center"/>
          </w:tcPr>
          <w:p w14:paraId="3B0592A0">
            <w:pPr>
              <w:widowControl/>
              <w:spacing w:line="240" w:lineRule="auto"/>
              <w:ind w:firstLine="0" w:firstLineChars="0"/>
              <w:jc w:val="center"/>
              <w:textAlignment w:val="center"/>
              <w:rPr>
                <w:color w:val="auto"/>
                <w:sz w:val="21"/>
                <w:szCs w:val="21"/>
                <w:lang w:bidi="ar"/>
              </w:rPr>
            </w:pPr>
            <w:r>
              <w:rPr>
                <w:color w:val="auto"/>
                <w:sz w:val="21"/>
                <w:szCs w:val="21"/>
                <w:lang w:bidi="ar"/>
              </w:rPr>
              <w:t>/</w:t>
            </w:r>
          </w:p>
        </w:tc>
        <w:tc>
          <w:tcPr>
            <w:tcW w:w="588" w:type="pct"/>
            <w:gridSpan w:val="3"/>
            <w:tcBorders>
              <w:tl2br w:val="nil"/>
              <w:tr2bl w:val="nil"/>
            </w:tcBorders>
            <w:shd w:val="clear" w:color="auto" w:fill="auto"/>
            <w:vAlign w:val="center"/>
          </w:tcPr>
          <w:p w14:paraId="788B6E48">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5D7BF9F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686" w:type="pct"/>
            <w:gridSpan w:val="3"/>
            <w:tcBorders>
              <w:tl2br w:val="nil"/>
              <w:tr2bl w:val="nil"/>
            </w:tcBorders>
            <w:shd w:val="clear" w:color="auto" w:fill="auto"/>
            <w:vAlign w:val="center"/>
          </w:tcPr>
          <w:p w14:paraId="7E4120CC">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99" w:type="pct"/>
            <w:tcBorders>
              <w:tl2br w:val="nil"/>
              <w:tr2bl w:val="nil"/>
            </w:tcBorders>
            <w:shd w:val="clear" w:color="auto" w:fill="auto"/>
            <w:vAlign w:val="center"/>
          </w:tcPr>
          <w:p w14:paraId="690C1A9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r>
      <w:tr w14:paraId="196F1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3D0DA3A0">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6DACDD0F">
            <w:pPr>
              <w:widowControl/>
              <w:spacing w:line="240" w:lineRule="auto"/>
              <w:ind w:firstLine="0" w:firstLineChars="0"/>
              <w:jc w:val="center"/>
              <w:textAlignment w:val="center"/>
              <w:rPr>
                <w:color w:val="auto"/>
                <w:sz w:val="21"/>
                <w:szCs w:val="21"/>
                <w:lang w:bidi="ar"/>
              </w:rPr>
            </w:pPr>
            <w:r>
              <w:rPr>
                <w:color w:val="auto"/>
                <w:sz w:val="21"/>
                <w:szCs w:val="21"/>
                <w:lang w:bidi="ar"/>
              </w:rPr>
              <w:t>生活节水器具普及率（%）</w:t>
            </w:r>
          </w:p>
        </w:tc>
        <w:tc>
          <w:tcPr>
            <w:tcW w:w="580" w:type="pct"/>
            <w:gridSpan w:val="2"/>
            <w:tcBorders>
              <w:tl2br w:val="nil"/>
              <w:tr2bl w:val="nil"/>
            </w:tcBorders>
            <w:shd w:val="clear" w:color="auto" w:fill="auto"/>
            <w:vAlign w:val="center"/>
          </w:tcPr>
          <w:p w14:paraId="78D5CB2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100</w:t>
            </w:r>
          </w:p>
        </w:tc>
        <w:tc>
          <w:tcPr>
            <w:tcW w:w="582" w:type="pct"/>
            <w:gridSpan w:val="3"/>
            <w:tcBorders>
              <w:tl2br w:val="nil"/>
              <w:tr2bl w:val="nil"/>
            </w:tcBorders>
            <w:shd w:val="clear" w:color="auto" w:fill="auto"/>
            <w:vAlign w:val="center"/>
          </w:tcPr>
          <w:p w14:paraId="3DF3F238">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100</w:t>
            </w:r>
          </w:p>
        </w:tc>
        <w:tc>
          <w:tcPr>
            <w:tcW w:w="588" w:type="pct"/>
            <w:gridSpan w:val="3"/>
            <w:tcBorders>
              <w:tl2br w:val="nil"/>
              <w:tr2bl w:val="nil"/>
            </w:tcBorders>
            <w:shd w:val="clear" w:color="auto" w:fill="auto"/>
            <w:vAlign w:val="center"/>
          </w:tcPr>
          <w:p w14:paraId="049D008E">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6B093DD8">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66.4</w:t>
            </w:r>
          </w:p>
        </w:tc>
        <w:tc>
          <w:tcPr>
            <w:tcW w:w="686" w:type="pct"/>
            <w:gridSpan w:val="3"/>
            <w:tcBorders>
              <w:tl2br w:val="nil"/>
              <w:tr2bl w:val="nil"/>
            </w:tcBorders>
            <w:shd w:val="clear" w:color="auto" w:fill="auto"/>
            <w:vAlign w:val="center"/>
          </w:tcPr>
          <w:p w14:paraId="30AD670E">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52.5</w:t>
            </w:r>
          </w:p>
        </w:tc>
        <w:tc>
          <w:tcPr>
            <w:tcW w:w="499" w:type="pct"/>
            <w:tcBorders>
              <w:tl2br w:val="nil"/>
              <w:tr2bl w:val="nil"/>
            </w:tcBorders>
            <w:shd w:val="clear" w:color="auto" w:fill="auto"/>
            <w:vAlign w:val="center"/>
          </w:tcPr>
          <w:p w14:paraId="1D81C1A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62.4</w:t>
            </w:r>
          </w:p>
        </w:tc>
      </w:tr>
      <w:tr w14:paraId="357FD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38A646CA">
            <w:pPr>
              <w:widowControl/>
              <w:spacing w:line="240" w:lineRule="auto"/>
              <w:ind w:firstLine="0" w:firstLineChars="0"/>
              <w:jc w:val="center"/>
              <w:textAlignment w:val="center"/>
              <w:rPr>
                <w:color w:val="auto"/>
                <w:sz w:val="21"/>
                <w:szCs w:val="21"/>
                <w:lang w:bidi="ar"/>
              </w:rPr>
            </w:pPr>
            <w:r>
              <w:rPr>
                <w:color w:val="auto"/>
                <w:sz w:val="21"/>
                <w:szCs w:val="21"/>
                <w:lang w:bidi="ar"/>
              </w:rPr>
              <w:t>四、用水</w:t>
            </w:r>
          </w:p>
          <w:p w14:paraId="16351520">
            <w:pPr>
              <w:widowControl/>
              <w:spacing w:line="240" w:lineRule="auto"/>
              <w:ind w:firstLine="0" w:firstLineChars="0"/>
              <w:jc w:val="center"/>
              <w:textAlignment w:val="center"/>
              <w:rPr>
                <w:color w:val="auto"/>
                <w:sz w:val="21"/>
                <w:szCs w:val="21"/>
                <w:lang w:bidi="ar"/>
              </w:rPr>
            </w:pPr>
            <w:r>
              <w:rPr>
                <w:color w:val="auto"/>
                <w:sz w:val="21"/>
                <w:szCs w:val="21"/>
                <w:lang w:bidi="ar"/>
              </w:rPr>
              <w:t>定额</w:t>
            </w:r>
          </w:p>
        </w:tc>
        <w:tc>
          <w:tcPr>
            <w:tcW w:w="1081" w:type="pct"/>
            <w:tcBorders>
              <w:tl2br w:val="nil"/>
              <w:tr2bl w:val="nil"/>
            </w:tcBorders>
            <w:shd w:val="clear" w:color="auto" w:fill="auto"/>
            <w:vAlign w:val="center"/>
          </w:tcPr>
          <w:p w14:paraId="2F8ECB95">
            <w:pPr>
              <w:widowControl/>
              <w:spacing w:line="240" w:lineRule="auto"/>
              <w:ind w:firstLine="0" w:firstLineChars="0"/>
              <w:jc w:val="center"/>
              <w:textAlignment w:val="center"/>
              <w:rPr>
                <w:color w:val="auto"/>
                <w:sz w:val="21"/>
                <w:szCs w:val="21"/>
                <w:lang w:bidi="ar"/>
              </w:rPr>
            </w:pPr>
            <w:r>
              <w:rPr>
                <w:color w:val="auto"/>
                <w:sz w:val="21"/>
                <w:szCs w:val="21"/>
                <w:lang w:bidi="ar"/>
              </w:rPr>
              <w:t>主要产品或行业名称</w:t>
            </w:r>
          </w:p>
        </w:tc>
        <w:tc>
          <w:tcPr>
            <w:tcW w:w="580" w:type="pct"/>
            <w:gridSpan w:val="2"/>
            <w:tcBorders>
              <w:tl2br w:val="nil"/>
              <w:tr2bl w:val="nil"/>
            </w:tcBorders>
            <w:shd w:val="clear" w:color="auto" w:fill="auto"/>
            <w:vAlign w:val="center"/>
          </w:tcPr>
          <w:p w14:paraId="7BB3227B">
            <w:pPr>
              <w:widowControl/>
              <w:spacing w:line="240" w:lineRule="auto"/>
              <w:ind w:firstLine="0" w:firstLineChars="0"/>
              <w:jc w:val="center"/>
              <w:textAlignment w:val="center"/>
              <w:rPr>
                <w:color w:val="auto"/>
                <w:sz w:val="21"/>
                <w:szCs w:val="21"/>
                <w:lang w:bidi="ar"/>
              </w:rPr>
            </w:pPr>
            <w:r>
              <w:rPr>
                <w:color w:val="auto"/>
                <w:sz w:val="21"/>
                <w:szCs w:val="21"/>
                <w:lang w:bidi="ar"/>
              </w:rPr>
              <w:t>万元地区生产总值用水量（m³）</w:t>
            </w:r>
          </w:p>
        </w:tc>
        <w:tc>
          <w:tcPr>
            <w:tcW w:w="582" w:type="pct"/>
            <w:gridSpan w:val="3"/>
            <w:tcBorders>
              <w:tl2br w:val="nil"/>
              <w:tr2bl w:val="nil"/>
            </w:tcBorders>
            <w:shd w:val="clear" w:color="auto" w:fill="auto"/>
            <w:vAlign w:val="center"/>
          </w:tcPr>
          <w:p w14:paraId="3DE747E5">
            <w:pPr>
              <w:widowControl/>
              <w:spacing w:line="240" w:lineRule="auto"/>
              <w:ind w:firstLine="0" w:firstLineChars="0"/>
              <w:jc w:val="center"/>
              <w:textAlignment w:val="center"/>
              <w:rPr>
                <w:color w:val="auto"/>
                <w:sz w:val="21"/>
                <w:szCs w:val="21"/>
                <w:lang w:bidi="ar"/>
              </w:rPr>
            </w:pPr>
            <w:r>
              <w:rPr>
                <w:color w:val="auto"/>
                <w:sz w:val="21"/>
                <w:szCs w:val="21"/>
                <w:lang w:bidi="ar"/>
              </w:rPr>
              <w:t>万元工业增加值用水量（m³）</w:t>
            </w:r>
          </w:p>
        </w:tc>
        <w:tc>
          <w:tcPr>
            <w:tcW w:w="588" w:type="pct"/>
            <w:gridSpan w:val="3"/>
            <w:tcBorders>
              <w:tl2br w:val="nil"/>
              <w:tr2bl w:val="nil"/>
            </w:tcBorders>
            <w:shd w:val="clear" w:color="auto" w:fill="auto"/>
            <w:vAlign w:val="center"/>
          </w:tcPr>
          <w:p w14:paraId="75FF232A">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城镇居民生活人均日用水量</w:t>
            </w:r>
            <w:r>
              <w:rPr>
                <w:color w:val="auto"/>
                <w:sz w:val="21"/>
                <w:szCs w:val="21"/>
                <w:lang w:bidi="ar"/>
              </w:rPr>
              <w:t>（</w:t>
            </w:r>
            <w:r>
              <w:rPr>
                <w:rFonts w:hint="eastAsia"/>
                <w:color w:val="auto"/>
                <w:sz w:val="21"/>
                <w:szCs w:val="21"/>
                <w:lang w:bidi="ar"/>
              </w:rPr>
              <w:t>L</w:t>
            </w:r>
            <w:r>
              <w:rPr>
                <w:color w:val="auto"/>
                <w:sz w:val="21"/>
                <w:szCs w:val="21"/>
                <w:lang w:bidi="ar"/>
              </w:rPr>
              <w:t>）</w:t>
            </w:r>
          </w:p>
        </w:tc>
        <w:tc>
          <w:tcPr>
            <w:tcW w:w="575" w:type="pct"/>
            <w:gridSpan w:val="2"/>
            <w:tcBorders>
              <w:tl2br w:val="nil"/>
              <w:tr2bl w:val="nil"/>
            </w:tcBorders>
            <w:shd w:val="clear" w:color="auto" w:fill="auto"/>
            <w:vAlign w:val="center"/>
          </w:tcPr>
          <w:p w14:paraId="14558292">
            <w:pPr>
              <w:widowControl/>
              <w:spacing w:line="240" w:lineRule="auto"/>
              <w:ind w:firstLine="0" w:firstLineChars="0"/>
              <w:jc w:val="center"/>
              <w:textAlignment w:val="center"/>
              <w:rPr>
                <w:color w:val="auto"/>
                <w:sz w:val="21"/>
                <w:szCs w:val="21"/>
                <w:lang w:bidi="ar"/>
              </w:rPr>
            </w:pPr>
          </w:p>
        </w:tc>
        <w:tc>
          <w:tcPr>
            <w:tcW w:w="686" w:type="pct"/>
            <w:gridSpan w:val="3"/>
            <w:tcBorders>
              <w:tl2br w:val="nil"/>
              <w:tr2bl w:val="nil"/>
            </w:tcBorders>
            <w:shd w:val="clear" w:color="auto" w:fill="auto"/>
            <w:vAlign w:val="center"/>
          </w:tcPr>
          <w:p w14:paraId="45D91A6C">
            <w:pPr>
              <w:widowControl/>
              <w:spacing w:line="240" w:lineRule="auto"/>
              <w:ind w:firstLine="0" w:firstLineChars="0"/>
              <w:jc w:val="center"/>
              <w:textAlignment w:val="center"/>
              <w:rPr>
                <w:color w:val="auto"/>
                <w:sz w:val="21"/>
                <w:szCs w:val="21"/>
                <w:lang w:bidi="ar"/>
              </w:rPr>
            </w:pPr>
          </w:p>
        </w:tc>
        <w:tc>
          <w:tcPr>
            <w:tcW w:w="499" w:type="pct"/>
            <w:tcBorders>
              <w:tl2br w:val="nil"/>
              <w:tr2bl w:val="nil"/>
            </w:tcBorders>
            <w:shd w:val="clear" w:color="auto" w:fill="auto"/>
            <w:vAlign w:val="center"/>
          </w:tcPr>
          <w:p w14:paraId="4B3F4B9D">
            <w:pPr>
              <w:widowControl/>
              <w:spacing w:line="240" w:lineRule="auto"/>
              <w:ind w:firstLine="0" w:firstLineChars="0"/>
              <w:jc w:val="center"/>
              <w:textAlignment w:val="center"/>
              <w:rPr>
                <w:color w:val="auto"/>
                <w:sz w:val="21"/>
                <w:szCs w:val="21"/>
                <w:lang w:bidi="ar"/>
              </w:rPr>
            </w:pPr>
          </w:p>
        </w:tc>
      </w:tr>
      <w:tr w14:paraId="6C1F2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2E1CB67E">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3B180163">
            <w:pPr>
              <w:widowControl/>
              <w:spacing w:line="240" w:lineRule="auto"/>
              <w:ind w:firstLine="0" w:firstLineChars="0"/>
              <w:jc w:val="center"/>
              <w:textAlignment w:val="center"/>
              <w:rPr>
                <w:color w:val="auto"/>
                <w:sz w:val="21"/>
                <w:szCs w:val="21"/>
                <w:lang w:bidi="ar"/>
              </w:rPr>
            </w:pPr>
            <w:r>
              <w:rPr>
                <w:color w:val="auto"/>
                <w:sz w:val="21"/>
                <w:szCs w:val="21"/>
                <w:lang w:bidi="ar"/>
              </w:rPr>
              <w:t>现状水平年</w:t>
            </w:r>
          </w:p>
        </w:tc>
        <w:tc>
          <w:tcPr>
            <w:tcW w:w="580" w:type="pct"/>
            <w:gridSpan w:val="2"/>
            <w:tcBorders>
              <w:tl2br w:val="nil"/>
              <w:tr2bl w:val="nil"/>
            </w:tcBorders>
            <w:shd w:val="clear" w:color="auto" w:fill="auto"/>
            <w:vAlign w:val="center"/>
          </w:tcPr>
          <w:p w14:paraId="069CB14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9.1</w:t>
            </w:r>
          </w:p>
        </w:tc>
        <w:tc>
          <w:tcPr>
            <w:tcW w:w="582" w:type="pct"/>
            <w:gridSpan w:val="3"/>
            <w:tcBorders>
              <w:tl2br w:val="nil"/>
              <w:tr2bl w:val="nil"/>
            </w:tcBorders>
            <w:shd w:val="clear" w:color="auto" w:fill="auto"/>
            <w:vAlign w:val="center"/>
          </w:tcPr>
          <w:p w14:paraId="1C58E6F3">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20</w:t>
            </w:r>
          </w:p>
        </w:tc>
        <w:tc>
          <w:tcPr>
            <w:tcW w:w="588" w:type="pct"/>
            <w:gridSpan w:val="3"/>
            <w:tcBorders>
              <w:tl2br w:val="nil"/>
              <w:tr2bl w:val="nil"/>
            </w:tcBorders>
            <w:shd w:val="clear" w:color="auto" w:fill="auto"/>
            <w:vAlign w:val="center"/>
          </w:tcPr>
          <w:p w14:paraId="7401AC1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161~208</w:t>
            </w:r>
          </w:p>
        </w:tc>
        <w:tc>
          <w:tcPr>
            <w:tcW w:w="575" w:type="pct"/>
            <w:gridSpan w:val="2"/>
            <w:tcBorders>
              <w:tl2br w:val="nil"/>
              <w:tr2bl w:val="nil"/>
            </w:tcBorders>
            <w:shd w:val="clear" w:color="auto" w:fill="auto"/>
            <w:vAlign w:val="center"/>
          </w:tcPr>
          <w:p w14:paraId="4D745EEA">
            <w:pPr>
              <w:widowControl/>
              <w:spacing w:line="240" w:lineRule="auto"/>
              <w:ind w:firstLine="0" w:firstLineChars="0"/>
              <w:jc w:val="center"/>
              <w:textAlignment w:val="center"/>
              <w:rPr>
                <w:color w:val="auto"/>
                <w:sz w:val="21"/>
                <w:szCs w:val="21"/>
                <w:lang w:bidi="ar"/>
              </w:rPr>
            </w:pPr>
          </w:p>
        </w:tc>
        <w:tc>
          <w:tcPr>
            <w:tcW w:w="686" w:type="pct"/>
            <w:gridSpan w:val="3"/>
            <w:tcBorders>
              <w:tl2br w:val="nil"/>
              <w:tr2bl w:val="nil"/>
            </w:tcBorders>
            <w:shd w:val="clear" w:color="auto" w:fill="auto"/>
            <w:vAlign w:val="center"/>
          </w:tcPr>
          <w:p w14:paraId="67235272">
            <w:pPr>
              <w:widowControl/>
              <w:spacing w:line="240" w:lineRule="auto"/>
              <w:ind w:firstLine="0" w:firstLineChars="0"/>
              <w:jc w:val="center"/>
              <w:textAlignment w:val="center"/>
              <w:rPr>
                <w:color w:val="auto"/>
                <w:sz w:val="21"/>
                <w:szCs w:val="21"/>
                <w:lang w:bidi="ar"/>
              </w:rPr>
            </w:pPr>
          </w:p>
        </w:tc>
        <w:tc>
          <w:tcPr>
            <w:tcW w:w="499" w:type="pct"/>
            <w:tcBorders>
              <w:tl2br w:val="nil"/>
              <w:tr2bl w:val="nil"/>
            </w:tcBorders>
            <w:shd w:val="clear" w:color="auto" w:fill="auto"/>
            <w:vAlign w:val="center"/>
          </w:tcPr>
          <w:p w14:paraId="29784FD5">
            <w:pPr>
              <w:widowControl/>
              <w:spacing w:line="240" w:lineRule="auto"/>
              <w:ind w:firstLine="0" w:firstLineChars="0"/>
              <w:jc w:val="center"/>
              <w:textAlignment w:val="center"/>
              <w:rPr>
                <w:color w:val="auto"/>
                <w:sz w:val="21"/>
                <w:szCs w:val="21"/>
                <w:lang w:bidi="ar"/>
              </w:rPr>
            </w:pPr>
          </w:p>
        </w:tc>
      </w:tr>
      <w:tr w14:paraId="27B0F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4E6D0830">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6993ED3B">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tc>
        <w:tc>
          <w:tcPr>
            <w:tcW w:w="580" w:type="pct"/>
            <w:gridSpan w:val="2"/>
            <w:tcBorders>
              <w:tl2br w:val="nil"/>
              <w:tr2bl w:val="nil"/>
            </w:tcBorders>
            <w:shd w:val="clear" w:color="auto" w:fill="auto"/>
            <w:vAlign w:val="center"/>
          </w:tcPr>
          <w:p w14:paraId="29195606">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9.0</w:t>
            </w:r>
          </w:p>
        </w:tc>
        <w:tc>
          <w:tcPr>
            <w:tcW w:w="582" w:type="pct"/>
            <w:gridSpan w:val="3"/>
            <w:tcBorders>
              <w:tl2br w:val="nil"/>
              <w:tr2bl w:val="nil"/>
            </w:tcBorders>
            <w:shd w:val="clear" w:color="auto" w:fill="auto"/>
            <w:vAlign w:val="center"/>
          </w:tcPr>
          <w:p w14:paraId="34DB868D">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19</w:t>
            </w:r>
          </w:p>
        </w:tc>
        <w:tc>
          <w:tcPr>
            <w:tcW w:w="588" w:type="pct"/>
            <w:gridSpan w:val="3"/>
            <w:tcBorders>
              <w:tl2br w:val="nil"/>
              <w:tr2bl w:val="nil"/>
            </w:tcBorders>
            <w:shd w:val="clear" w:color="auto" w:fill="auto"/>
            <w:vAlign w:val="center"/>
          </w:tcPr>
          <w:p w14:paraId="3B4D2D95">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150</w:t>
            </w:r>
          </w:p>
        </w:tc>
        <w:tc>
          <w:tcPr>
            <w:tcW w:w="575" w:type="pct"/>
            <w:gridSpan w:val="2"/>
            <w:tcBorders>
              <w:tl2br w:val="nil"/>
              <w:tr2bl w:val="nil"/>
            </w:tcBorders>
            <w:shd w:val="clear" w:color="auto" w:fill="auto"/>
            <w:vAlign w:val="center"/>
          </w:tcPr>
          <w:p w14:paraId="325AE462">
            <w:pPr>
              <w:widowControl/>
              <w:spacing w:line="240" w:lineRule="auto"/>
              <w:ind w:firstLine="0" w:firstLineChars="0"/>
              <w:jc w:val="center"/>
              <w:textAlignment w:val="center"/>
              <w:rPr>
                <w:color w:val="auto"/>
                <w:sz w:val="21"/>
                <w:szCs w:val="21"/>
                <w:lang w:bidi="ar"/>
              </w:rPr>
            </w:pPr>
          </w:p>
        </w:tc>
        <w:tc>
          <w:tcPr>
            <w:tcW w:w="686" w:type="pct"/>
            <w:gridSpan w:val="3"/>
            <w:tcBorders>
              <w:tl2br w:val="nil"/>
              <w:tr2bl w:val="nil"/>
            </w:tcBorders>
            <w:shd w:val="clear" w:color="auto" w:fill="auto"/>
            <w:vAlign w:val="center"/>
          </w:tcPr>
          <w:p w14:paraId="7633F672">
            <w:pPr>
              <w:widowControl/>
              <w:spacing w:line="240" w:lineRule="auto"/>
              <w:ind w:firstLine="0" w:firstLineChars="0"/>
              <w:jc w:val="center"/>
              <w:textAlignment w:val="center"/>
              <w:rPr>
                <w:color w:val="auto"/>
                <w:sz w:val="21"/>
                <w:szCs w:val="21"/>
                <w:lang w:bidi="ar"/>
              </w:rPr>
            </w:pPr>
          </w:p>
        </w:tc>
        <w:tc>
          <w:tcPr>
            <w:tcW w:w="499" w:type="pct"/>
            <w:tcBorders>
              <w:tl2br w:val="nil"/>
              <w:tr2bl w:val="nil"/>
            </w:tcBorders>
            <w:shd w:val="clear" w:color="auto" w:fill="auto"/>
            <w:vAlign w:val="center"/>
          </w:tcPr>
          <w:p w14:paraId="770E5D2B">
            <w:pPr>
              <w:widowControl/>
              <w:spacing w:line="240" w:lineRule="auto"/>
              <w:ind w:firstLine="0" w:firstLineChars="0"/>
              <w:jc w:val="center"/>
              <w:textAlignment w:val="center"/>
              <w:rPr>
                <w:color w:val="auto"/>
                <w:sz w:val="21"/>
                <w:szCs w:val="21"/>
                <w:lang w:bidi="ar"/>
              </w:rPr>
            </w:pPr>
          </w:p>
        </w:tc>
      </w:tr>
      <w:tr w14:paraId="3E35C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556AD2CE">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680E12D5">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tc>
        <w:tc>
          <w:tcPr>
            <w:tcW w:w="580" w:type="pct"/>
            <w:gridSpan w:val="2"/>
            <w:tcBorders>
              <w:tl2br w:val="nil"/>
              <w:tr2bl w:val="nil"/>
            </w:tcBorders>
            <w:shd w:val="clear" w:color="auto" w:fill="auto"/>
            <w:vAlign w:val="center"/>
          </w:tcPr>
          <w:p w14:paraId="4302711E">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305617DE">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1EA52205">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38655E2C">
            <w:pPr>
              <w:widowControl/>
              <w:spacing w:line="240" w:lineRule="auto"/>
              <w:ind w:firstLine="0" w:firstLineChars="0"/>
              <w:jc w:val="center"/>
              <w:textAlignment w:val="center"/>
              <w:rPr>
                <w:color w:val="auto"/>
                <w:sz w:val="21"/>
                <w:szCs w:val="21"/>
                <w:lang w:bidi="ar"/>
              </w:rPr>
            </w:pPr>
          </w:p>
        </w:tc>
        <w:tc>
          <w:tcPr>
            <w:tcW w:w="686" w:type="pct"/>
            <w:gridSpan w:val="3"/>
            <w:tcBorders>
              <w:tl2br w:val="nil"/>
              <w:tr2bl w:val="nil"/>
            </w:tcBorders>
            <w:shd w:val="clear" w:color="auto" w:fill="auto"/>
            <w:vAlign w:val="center"/>
          </w:tcPr>
          <w:p w14:paraId="59D6EED5">
            <w:pPr>
              <w:widowControl/>
              <w:spacing w:line="240" w:lineRule="auto"/>
              <w:ind w:firstLine="0" w:firstLineChars="0"/>
              <w:jc w:val="center"/>
              <w:textAlignment w:val="center"/>
              <w:rPr>
                <w:color w:val="auto"/>
                <w:sz w:val="21"/>
                <w:szCs w:val="21"/>
                <w:lang w:bidi="ar"/>
              </w:rPr>
            </w:pPr>
          </w:p>
        </w:tc>
        <w:tc>
          <w:tcPr>
            <w:tcW w:w="499" w:type="pct"/>
            <w:tcBorders>
              <w:tl2br w:val="nil"/>
              <w:tr2bl w:val="nil"/>
            </w:tcBorders>
            <w:shd w:val="clear" w:color="auto" w:fill="auto"/>
            <w:vAlign w:val="center"/>
          </w:tcPr>
          <w:p w14:paraId="2F6B26C9">
            <w:pPr>
              <w:widowControl/>
              <w:spacing w:line="240" w:lineRule="auto"/>
              <w:ind w:firstLine="0" w:firstLineChars="0"/>
              <w:jc w:val="center"/>
              <w:textAlignment w:val="center"/>
              <w:rPr>
                <w:color w:val="auto"/>
                <w:sz w:val="21"/>
                <w:szCs w:val="21"/>
                <w:lang w:bidi="ar"/>
              </w:rPr>
            </w:pPr>
          </w:p>
        </w:tc>
      </w:tr>
      <w:tr w14:paraId="591A9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73DAD46C">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2196A78F">
            <w:pPr>
              <w:widowControl/>
              <w:spacing w:line="240" w:lineRule="auto"/>
              <w:ind w:firstLine="0" w:firstLineChars="0"/>
              <w:jc w:val="center"/>
              <w:textAlignment w:val="center"/>
              <w:rPr>
                <w:color w:val="auto"/>
                <w:sz w:val="21"/>
                <w:szCs w:val="21"/>
                <w:lang w:bidi="ar"/>
              </w:rPr>
            </w:pPr>
            <w:r>
              <w:rPr>
                <w:color w:val="auto"/>
                <w:sz w:val="21"/>
                <w:szCs w:val="21"/>
                <w:lang w:bidi="ar"/>
              </w:rPr>
              <w:t>国家或省级管控要求</w:t>
            </w:r>
          </w:p>
        </w:tc>
        <w:tc>
          <w:tcPr>
            <w:tcW w:w="580" w:type="pct"/>
            <w:gridSpan w:val="2"/>
            <w:tcBorders>
              <w:tl2br w:val="nil"/>
              <w:tr2bl w:val="nil"/>
            </w:tcBorders>
            <w:shd w:val="clear" w:color="auto" w:fill="auto"/>
            <w:vAlign w:val="center"/>
          </w:tcPr>
          <w:p w14:paraId="7C29DD96">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6FC1F5A8">
            <w:pPr>
              <w:widowControl/>
              <w:spacing w:line="240" w:lineRule="auto"/>
              <w:ind w:firstLine="0" w:firstLineChars="0"/>
              <w:jc w:val="center"/>
              <w:textAlignment w:val="center"/>
              <w:rPr>
                <w:color w:val="auto"/>
                <w:sz w:val="21"/>
                <w:szCs w:val="21"/>
                <w:lang w:bidi="ar"/>
              </w:rPr>
            </w:pPr>
          </w:p>
        </w:tc>
        <w:tc>
          <w:tcPr>
            <w:tcW w:w="588" w:type="pct"/>
            <w:gridSpan w:val="3"/>
            <w:tcBorders>
              <w:tl2br w:val="nil"/>
              <w:tr2bl w:val="nil"/>
            </w:tcBorders>
            <w:shd w:val="clear" w:color="auto" w:fill="auto"/>
            <w:vAlign w:val="center"/>
          </w:tcPr>
          <w:p w14:paraId="2C5F61AE">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2321684D">
            <w:pPr>
              <w:widowControl/>
              <w:spacing w:line="240" w:lineRule="auto"/>
              <w:ind w:firstLine="0" w:firstLineChars="0"/>
              <w:jc w:val="center"/>
              <w:textAlignment w:val="center"/>
              <w:rPr>
                <w:color w:val="auto"/>
                <w:sz w:val="21"/>
                <w:szCs w:val="21"/>
                <w:lang w:bidi="ar"/>
              </w:rPr>
            </w:pPr>
          </w:p>
        </w:tc>
        <w:tc>
          <w:tcPr>
            <w:tcW w:w="686" w:type="pct"/>
            <w:gridSpan w:val="3"/>
            <w:tcBorders>
              <w:tl2br w:val="nil"/>
              <w:tr2bl w:val="nil"/>
            </w:tcBorders>
            <w:shd w:val="clear" w:color="auto" w:fill="auto"/>
            <w:vAlign w:val="center"/>
          </w:tcPr>
          <w:p w14:paraId="10F0837D">
            <w:pPr>
              <w:widowControl/>
              <w:spacing w:line="240" w:lineRule="auto"/>
              <w:ind w:firstLine="0" w:firstLineChars="0"/>
              <w:jc w:val="center"/>
              <w:textAlignment w:val="center"/>
              <w:rPr>
                <w:color w:val="auto"/>
                <w:sz w:val="21"/>
                <w:szCs w:val="21"/>
                <w:lang w:bidi="ar"/>
              </w:rPr>
            </w:pPr>
          </w:p>
        </w:tc>
        <w:tc>
          <w:tcPr>
            <w:tcW w:w="499" w:type="pct"/>
            <w:tcBorders>
              <w:tl2br w:val="nil"/>
              <w:tr2bl w:val="nil"/>
            </w:tcBorders>
            <w:shd w:val="clear" w:color="auto" w:fill="auto"/>
            <w:vAlign w:val="center"/>
          </w:tcPr>
          <w:p w14:paraId="741D7553">
            <w:pPr>
              <w:widowControl/>
              <w:spacing w:line="240" w:lineRule="auto"/>
              <w:ind w:firstLine="0" w:firstLineChars="0"/>
              <w:jc w:val="center"/>
              <w:textAlignment w:val="center"/>
              <w:rPr>
                <w:color w:val="auto"/>
                <w:sz w:val="21"/>
                <w:szCs w:val="21"/>
                <w:lang w:bidi="ar"/>
              </w:rPr>
            </w:pPr>
          </w:p>
        </w:tc>
      </w:tr>
      <w:tr w14:paraId="58223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17182866">
            <w:pPr>
              <w:widowControl/>
              <w:spacing w:line="240" w:lineRule="auto"/>
              <w:ind w:firstLine="0" w:firstLineChars="0"/>
              <w:jc w:val="center"/>
              <w:textAlignment w:val="center"/>
              <w:rPr>
                <w:color w:val="auto"/>
                <w:sz w:val="21"/>
                <w:szCs w:val="21"/>
                <w:lang w:bidi="ar"/>
              </w:rPr>
            </w:pPr>
            <w:r>
              <w:rPr>
                <w:color w:val="auto"/>
                <w:sz w:val="21"/>
                <w:szCs w:val="21"/>
                <w:lang w:bidi="ar"/>
              </w:rPr>
              <w:t>五、用水总量控制</w:t>
            </w:r>
          </w:p>
        </w:tc>
        <w:tc>
          <w:tcPr>
            <w:tcW w:w="1081" w:type="pct"/>
            <w:tcBorders>
              <w:tl2br w:val="nil"/>
              <w:tr2bl w:val="nil"/>
            </w:tcBorders>
            <w:shd w:val="clear" w:color="auto" w:fill="auto"/>
            <w:vAlign w:val="center"/>
          </w:tcPr>
          <w:p w14:paraId="06CB0709">
            <w:pPr>
              <w:widowControl/>
              <w:spacing w:line="240" w:lineRule="auto"/>
              <w:ind w:firstLine="0" w:firstLineChars="0"/>
              <w:jc w:val="center"/>
              <w:textAlignment w:val="center"/>
              <w:rPr>
                <w:color w:val="auto"/>
                <w:sz w:val="21"/>
                <w:szCs w:val="21"/>
                <w:lang w:bidi="ar"/>
              </w:rPr>
            </w:pPr>
            <w:r>
              <w:rPr>
                <w:color w:val="auto"/>
                <w:sz w:val="21"/>
                <w:szCs w:val="21"/>
                <w:lang w:bidi="ar"/>
              </w:rPr>
              <w:t>指标名称</w:t>
            </w:r>
          </w:p>
        </w:tc>
        <w:tc>
          <w:tcPr>
            <w:tcW w:w="580" w:type="pct"/>
            <w:gridSpan w:val="2"/>
            <w:tcBorders>
              <w:tl2br w:val="nil"/>
              <w:tr2bl w:val="nil"/>
            </w:tcBorders>
            <w:shd w:val="clear" w:color="auto" w:fill="auto"/>
            <w:vAlign w:val="center"/>
          </w:tcPr>
          <w:p w14:paraId="20A16518">
            <w:pPr>
              <w:widowControl/>
              <w:spacing w:line="240" w:lineRule="auto"/>
              <w:ind w:firstLine="0" w:firstLineChars="0"/>
              <w:jc w:val="center"/>
              <w:textAlignment w:val="center"/>
              <w:rPr>
                <w:color w:val="auto"/>
                <w:sz w:val="21"/>
                <w:szCs w:val="21"/>
                <w:lang w:bidi="ar"/>
              </w:rPr>
            </w:pPr>
            <w:r>
              <w:rPr>
                <w:color w:val="auto"/>
                <w:sz w:val="21"/>
                <w:szCs w:val="21"/>
                <w:lang w:bidi="ar"/>
              </w:rPr>
              <w:t>现状水平年</w:t>
            </w:r>
          </w:p>
        </w:tc>
        <w:tc>
          <w:tcPr>
            <w:tcW w:w="582" w:type="pct"/>
            <w:gridSpan w:val="3"/>
            <w:tcBorders>
              <w:tl2br w:val="nil"/>
              <w:tr2bl w:val="nil"/>
            </w:tcBorders>
            <w:shd w:val="clear" w:color="auto" w:fill="auto"/>
            <w:vAlign w:val="center"/>
          </w:tcPr>
          <w:p w14:paraId="2575116C">
            <w:pPr>
              <w:widowControl/>
              <w:spacing w:line="240" w:lineRule="auto"/>
              <w:ind w:firstLine="0" w:firstLineChars="0"/>
              <w:jc w:val="center"/>
              <w:textAlignment w:val="center"/>
              <w:rPr>
                <w:color w:val="auto"/>
                <w:sz w:val="21"/>
                <w:szCs w:val="21"/>
                <w:lang w:bidi="ar"/>
              </w:rPr>
            </w:pPr>
            <w:r>
              <w:rPr>
                <w:color w:val="auto"/>
                <w:sz w:val="21"/>
                <w:szCs w:val="21"/>
                <w:lang w:bidi="ar"/>
              </w:rPr>
              <w:t>现状水平年</w:t>
            </w:r>
          </w:p>
          <w:p w14:paraId="2FB92CC0">
            <w:pPr>
              <w:widowControl/>
              <w:spacing w:line="240" w:lineRule="auto"/>
              <w:ind w:firstLine="0" w:firstLineChars="0"/>
              <w:jc w:val="center"/>
              <w:textAlignment w:val="center"/>
              <w:rPr>
                <w:color w:val="auto"/>
                <w:sz w:val="21"/>
                <w:szCs w:val="21"/>
                <w:lang w:bidi="ar"/>
              </w:rPr>
            </w:pPr>
            <w:r>
              <w:rPr>
                <w:color w:val="auto"/>
                <w:sz w:val="21"/>
                <w:szCs w:val="21"/>
                <w:lang w:bidi="ar"/>
              </w:rPr>
              <w:t>控制指标</w:t>
            </w:r>
          </w:p>
        </w:tc>
        <w:tc>
          <w:tcPr>
            <w:tcW w:w="588" w:type="pct"/>
            <w:gridSpan w:val="3"/>
            <w:tcBorders>
              <w:tl2br w:val="nil"/>
              <w:tr2bl w:val="nil"/>
            </w:tcBorders>
            <w:shd w:val="clear" w:color="auto" w:fill="auto"/>
            <w:vAlign w:val="center"/>
          </w:tcPr>
          <w:p w14:paraId="67209249">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p w14:paraId="2A8034C4">
            <w:pPr>
              <w:widowControl/>
              <w:spacing w:line="240" w:lineRule="auto"/>
              <w:ind w:firstLine="0" w:firstLineChars="0"/>
              <w:jc w:val="center"/>
              <w:textAlignment w:val="center"/>
              <w:rPr>
                <w:color w:val="auto"/>
                <w:sz w:val="21"/>
                <w:szCs w:val="21"/>
                <w:lang w:bidi="ar"/>
              </w:rPr>
            </w:pPr>
            <w:r>
              <w:rPr>
                <w:color w:val="auto"/>
                <w:sz w:val="21"/>
                <w:szCs w:val="21"/>
                <w:lang w:bidi="ar"/>
              </w:rPr>
              <w:t>指标值</w:t>
            </w:r>
          </w:p>
        </w:tc>
        <w:tc>
          <w:tcPr>
            <w:tcW w:w="575" w:type="pct"/>
            <w:gridSpan w:val="2"/>
            <w:tcBorders>
              <w:tl2br w:val="nil"/>
              <w:tr2bl w:val="nil"/>
            </w:tcBorders>
            <w:shd w:val="clear" w:color="auto" w:fill="auto"/>
            <w:vAlign w:val="center"/>
          </w:tcPr>
          <w:p w14:paraId="15BE4A74">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p w14:paraId="3CD01085">
            <w:pPr>
              <w:widowControl/>
              <w:spacing w:line="240" w:lineRule="auto"/>
              <w:ind w:firstLine="0" w:firstLineChars="0"/>
              <w:jc w:val="center"/>
              <w:textAlignment w:val="center"/>
              <w:rPr>
                <w:color w:val="auto"/>
                <w:sz w:val="21"/>
                <w:szCs w:val="21"/>
                <w:lang w:bidi="ar"/>
              </w:rPr>
            </w:pPr>
            <w:r>
              <w:rPr>
                <w:color w:val="auto"/>
                <w:sz w:val="21"/>
                <w:szCs w:val="21"/>
                <w:lang w:bidi="ar"/>
              </w:rPr>
              <w:t>控制指标</w:t>
            </w:r>
          </w:p>
        </w:tc>
        <w:tc>
          <w:tcPr>
            <w:tcW w:w="686" w:type="pct"/>
            <w:gridSpan w:val="3"/>
            <w:tcBorders>
              <w:tl2br w:val="nil"/>
              <w:tr2bl w:val="nil"/>
            </w:tcBorders>
            <w:shd w:val="clear" w:color="auto" w:fill="auto"/>
            <w:vAlign w:val="center"/>
          </w:tcPr>
          <w:p w14:paraId="38B69799">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p w14:paraId="19B38D51">
            <w:pPr>
              <w:widowControl/>
              <w:spacing w:line="240" w:lineRule="auto"/>
              <w:ind w:firstLine="0" w:firstLineChars="0"/>
              <w:jc w:val="center"/>
              <w:textAlignment w:val="center"/>
              <w:rPr>
                <w:color w:val="auto"/>
                <w:sz w:val="21"/>
                <w:szCs w:val="21"/>
                <w:lang w:bidi="ar"/>
              </w:rPr>
            </w:pPr>
            <w:r>
              <w:rPr>
                <w:color w:val="auto"/>
                <w:sz w:val="21"/>
                <w:szCs w:val="21"/>
                <w:lang w:bidi="ar"/>
              </w:rPr>
              <w:t>指标值</w:t>
            </w:r>
          </w:p>
        </w:tc>
        <w:tc>
          <w:tcPr>
            <w:tcW w:w="499" w:type="pct"/>
            <w:tcBorders>
              <w:tl2br w:val="nil"/>
              <w:tr2bl w:val="nil"/>
            </w:tcBorders>
            <w:shd w:val="clear" w:color="auto" w:fill="auto"/>
            <w:vAlign w:val="center"/>
          </w:tcPr>
          <w:p w14:paraId="7D4CB72C">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规划水平年2控制指标</w:t>
            </w:r>
          </w:p>
        </w:tc>
      </w:tr>
      <w:tr w14:paraId="73406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53B3670E">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5BA737F6">
            <w:pPr>
              <w:widowControl/>
              <w:spacing w:line="240" w:lineRule="auto"/>
              <w:ind w:firstLine="0" w:firstLineChars="0"/>
              <w:jc w:val="center"/>
              <w:textAlignment w:val="center"/>
              <w:rPr>
                <w:color w:val="auto"/>
                <w:sz w:val="21"/>
                <w:szCs w:val="21"/>
                <w:lang w:bidi="ar"/>
              </w:rPr>
            </w:pPr>
            <w:r>
              <w:rPr>
                <w:color w:val="auto"/>
                <w:sz w:val="21"/>
                <w:szCs w:val="21"/>
                <w:lang w:bidi="ar"/>
              </w:rPr>
              <w:t>用水总量（万m³）</w:t>
            </w:r>
          </w:p>
        </w:tc>
        <w:tc>
          <w:tcPr>
            <w:tcW w:w="580" w:type="pct"/>
            <w:gridSpan w:val="2"/>
            <w:tcBorders>
              <w:tl2br w:val="nil"/>
              <w:tr2bl w:val="nil"/>
            </w:tcBorders>
            <w:shd w:val="clear" w:color="auto" w:fill="auto"/>
            <w:vAlign w:val="center"/>
          </w:tcPr>
          <w:p w14:paraId="5AA2C0E1">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23365</w:t>
            </w:r>
          </w:p>
        </w:tc>
        <w:tc>
          <w:tcPr>
            <w:tcW w:w="582" w:type="pct"/>
            <w:gridSpan w:val="3"/>
            <w:tcBorders>
              <w:tl2br w:val="nil"/>
              <w:tr2bl w:val="nil"/>
            </w:tcBorders>
            <w:shd w:val="clear" w:color="auto" w:fill="auto"/>
            <w:vAlign w:val="center"/>
          </w:tcPr>
          <w:p w14:paraId="7408431C">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24700</w:t>
            </w:r>
          </w:p>
        </w:tc>
        <w:tc>
          <w:tcPr>
            <w:tcW w:w="588" w:type="pct"/>
            <w:gridSpan w:val="3"/>
            <w:tcBorders>
              <w:tl2br w:val="nil"/>
              <w:tr2bl w:val="nil"/>
            </w:tcBorders>
            <w:shd w:val="clear" w:color="auto" w:fill="auto"/>
            <w:vAlign w:val="center"/>
          </w:tcPr>
          <w:p w14:paraId="6B33B9D3">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27586</w:t>
            </w:r>
          </w:p>
        </w:tc>
        <w:tc>
          <w:tcPr>
            <w:tcW w:w="575" w:type="pct"/>
            <w:gridSpan w:val="2"/>
            <w:tcBorders>
              <w:tl2br w:val="nil"/>
              <w:tr2bl w:val="nil"/>
            </w:tcBorders>
            <w:shd w:val="clear" w:color="auto" w:fill="auto"/>
            <w:vAlign w:val="center"/>
          </w:tcPr>
          <w:p w14:paraId="0C46AAC4">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27650</w:t>
            </w:r>
          </w:p>
        </w:tc>
        <w:tc>
          <w:tcPr>
            <w:tcW w:w="686" w:type="pct"/>
            <w:gridSpan w:val="3"/>
            <w:tcBorders>
              <w:tl2br w:val="nil"/>
              <w:tr2bl w:val="nil"/>
            </w:tcBorders>
            <w:shd w:val="clear" w:color="auto" w:fill="auto"/>
            <w:vAlign w:val="center"/>
          </w:tcPr>
          <w:p w14:paraId="1BE8D5CA">
            <w:pPr>
              <w:widowControl/>
              <w:spacing w:line="240" w:lineRule="auto"/>
              <w:ind w:firstLine="0" w:firstLineChars="0"/>
              <w:jc w:val="center"/>
              <w:textAlignment w:val="center"/>
              <w:rPr>
                <w:color w:val="auto"/>
                <w:sz w:val="21"/>
                <w:szCs w:val="21"/>
                <w:lang w:bidi="ar"/>
              </w:rPr>
            </w:pPr>
          </w:p>
        </w:tc>
        <w:tc>
          <w:tcPr>
            <w:tcW w:w="499" w:type="pct"/>
            <w:tcBorders>
              <w:tl2br w:val="nil"/>
              <w:tr2bl w:val="nil"/>
            </w:tcBorders>
            <w:shd w:val="clear" w:color="auto" w:fill="auto"/>
            <w:vAlign w:val="center"/>
          </w:tcPr>
          <w:p w14:paraId="5A53D1F8">
            <w:pPr>
              <w:widowControl/>
              <w:spacing w:line="240" w:lineRule="auto"/>
              <w:ind w:firstLine="0" w:firstLineChars="0"/>
              <w:jc w:val="center"/>
              <w:textAlignment w:val="center"/>
              <w:rPr>
                <w:color w:val="auto"/>
                <w:sz w:val="21"/>
                <w:szCs w:val="21"/>
                <w:lang w:bidi="ar"/>
              </w:rPr>
            </w:pPr>
          </w:p>
        </w:tc>
      </w:tr>
      <w:tr w14:paraId="25E68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3C2D4480">
            <w:pPr>
              <w:widowControl/>
              <w:spacing w:line="240" w:lineRule="auto"/>
              <w:ind w:firstLine="0" w:firstLineChars="0"/>
              <w:jc w:val="center"/>
              <w:textAlignment w:val="center"/>
              <w:rPr>
                <w:color w:val="auto"/>
                <w:sz w:val="21"/>
                <w:szCs w:val="21"/>
                <w:lang w:bidi="ar"/>
              </w:rPr>
            </w:pPr>
            <w:r>
              <w:rPr>
                <w:color w:val="auto"/>
                <w:sz w:val="21"/>
                <w:szCs w:val="21"/>
                <w:lang w:bidi="ar"/>
              </w:rPr>
              <w:t>六、节水供水潜力</w:t>
            </w:r>
          </w:p>
        </w:tc>
        <w:tc>
          <w:tcPr>
            <w:tcW w:w="1081" w:type="pct"/>
            <w:tcBorders>
              <w:tl2br w:val="nil"/>
              <w:tr2bl w:val="nil"/>
            </w:tcBorders>
            <w:shd w:val="clear" w:color="auto" w:fill="auto"/>
            <w:vAlign w:val="center"/>
          </w:tcPr>
          <w:p w14:paraId="75BA6888">
            <w:pPr>
              <w:widowControl/>
              <w:spacing w:line="240" w:lineRule="auto"/>
              <w:ind w:firstLine="0" w:firstLineChars="0"/>
              <w:jc w:val="center"/>
              <w:textAlignment w:val="center"/>
              <w:rPr>
                <w:color w:val="auto"/>
                <w:sz w:val="21"/>
                <w:szCs w:val="21"/>
                <w:lang w:bidi="ar"/>
              </w:rPr>
            </w:pPr>
          </w:p>
        </w:tc>
        <w:tc>
          <w:tcPr>
            <w:tcW w:w="1751" w:type="pct"/>
            <w:gridSpan w:val="8"/>
            <w:tcBorders>
              <w:tl2br w:val="nil"/>
              <w:tr2bl w:val="nil"/>
            </w:tcBorders>
            <w:shd w:val="clear" w:color="auto" w:fill="auto"/>
            <w:vAlign w:val="center"/>
          </w:tcPr>
          <w:p w14:paraId="1FE91319">
            <w:pPr>
              <w:widowControl/>
              <w:spacing w:line="240" w:lineRule="auto"/>
              <w:ind w:firstLine="0" w:firstLineChars="0"/>
              <w:jc w:val="center"/>
              <w:textAlignment w:val="center"/>
              <w:rPr>
                <w:color w:val="auto"/>
                <w:sz w:val="21"/>
                <w:szCs w:val="21"/>
                <w:lang w:bidi="ar"/>
              </w:rPr>
            </w:pPr>
            <w:r>
              <w:rPr>
                <w:color w:val="auto"/>
                <w:sz w:val="21"/>
                <w:szCs w:val="21"/>
                <w:lang w:bidi="ar"/>
              </w:rPr>
              <w:t>用水端节水潜力（万m³）</w:t>
            </w:r>
          </w:p>
        </w:tc>
        <w:tc>
          <w:tcPr>
            <w:tcW w:w="1762" w:type="pct"/>
            <w:gridSpan w:val="6"/>
            <w:tcBorders>
              <w:tl2br w:val="nil"/>
              <w:tr2bl w:val="nil"/>
            </w:tcBorders>
            <w:shd w:val="clear" w:color="auto" w:fill="auto"/>
            <w:vAlign w:val="center"/>
          </w:tcPr>
          <w:p w14:paraId="3E400C6F">
            <w:pPr>
              <w:widowControl/>
              <w:spacing w:line="240" w:lineRule="auto"/>
              <w:ind w:firstLine="0" w:firstLineChars="0"/>
              <w:jc w:val="center"/>
              <w:textAlignment w:val="center"/>
              <w:rPr>
                <w:color w:val="auto"/>
                <w:sz w:val="21"/>
                <w:szCs w:val="21"/>
                <w:lang w:bidi="ar"/>
              </w:rPr>
            </w:pPr>
            <w:r>
              <w:rPr>
                <w:color w:val="auto"/>
                <w:sz w:val="21"/>
                <w:szCs w:val="21"/>
                <w:lang w:bidi="ar"/>
              </w:rPr>
              <w:t>供水端挖潜增供（万m³）</w:t>
            </w:r>
          </w:p>
        </w:tc>
      </w:tr>
      <w:tr w14:paraId="1383F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5A17517B">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3C2B258D">
            <w:pPr>
              <w:widowControl/>
              <w:spacing w:line="240" w:lineRule="auto"/>
              <w:ind w:firstLine="0" w:firstLineChars="0"/>
              <w:jc w:val="center"/>
              <w:textAlignment w:val="center"/>
              <w:rPr>
                <w:color w:val="auto"/>
                <w:sz w:val="21"/>
                <w:szCs w:val="21"/>
                <w:lang w:bidi="ar"/>
              </w:rPr>
            </w:pPr>
          </w:p>
        </w:tc>
        <w:tc>
          <w:tcPr>
            <w:tcW w:w="435" w:type="pct"/>
            <w:tcBorders>
              <w:tl2br w:val="nil"/>
              <w:tr2bl w:val="nil"/>
            </w:tcBorders>
            <w:shd w:val="clear" w:color="auto" w:fill="auto"/>
            <w:vAlign w:val="center"/>
          </w:tcPr>
          <w:p w14:paraId="21CD9324">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c>
          <w:tcPr>
            <w:tcW w:w="436" w:type="pct"/>
            <w:gridSpan w:val="3"/>
            <w:tcBorders>
              <w:tl2br w:val="nil"/>
              <w:tr2bl w:val="nil"/>
            </w:tcBorders>
            <w:shd w:val="clear" w:color="auto" w:fill="auto"/>
            <w:vAlign w:val="center"/>
          </w:tcPr>
          <w:p w14:paraId="44FEABD0">
            <w:pPr>
              <w:widowControl/>
              <w:spacing w:line="240" w:lineRule="auto"/>
              <w:ind w:firstLine="0" w:firstLineChars="0"/>
              <w:jc w:val="center"/>
              <w:textAlignment w:val="center"/>
              <w:rPr>
                <w:color w:val="auto"/>
                <w:sz w:val="21"/>
                <w:szCs w:val="21"/>
                <w:lang w:bidi="ar"/>
              </w:rPr>
            </w:pPr>
            <w:r>
              <w:rPr>
                <w:color w:val="auto"/>
                <w:sz w:val="21"/>
                <w:szCs w:val="21"/>
                <w:lang w:bidi="ar"/>
              </w:rPr>
              <w:t>农业</w:t>
            </w:r>
          </w:p>
        </w:tc>
        <w:tc>
          <w:tcPr>
            <w:tcW w:w="437" w:type="pct"/>
            <w:gridSpan w:val="3"/>
            <w:tcBorders>
              <w:tl2br w:val="nil"/>
              <w:tr2bl w:val="nil"/>
            </w:tcBorders>
            <w:shd w:val="clear" w:color="auto" w:fill="auto"/>
            <w:vAlign w:val="center"/>
          </w:tcPr>
          <w:p w14:paraId="4F53FD20">
            <w:pPr>
              <w:widowControl/>
              <w:spacing w:line="240" w:lineRule="auto"/>
              <w:ind w:firstLine="0" w:firstLineChars="0"/>
              <w:jc w:val="center"/>
              <w:textAlignment w:val="center"/>
              <w:rPr>
                <w:color w:val="auto"/>
                <w:sz w:val="21"/>
                <w:szCs w:val="21"/>
                <w:lang w:bidi="ar"/>
              </w:rPr>
            </w:pPr>
            <w:r>
              <w:rPr>
                <w:color w:val="auto"/>
                <w:sz w:val="21"/>
                <w:szCs w:val="21"/>
                <w:lang w:bidi="ar"/>
              </w:rPr>
              <w:t>工业</w:t>
            </w:r>
          </w:p>
        </w:tc>
        <w:tc>
          <w:tcPr>
            <w:tcW w:w="442" w:type="pct"/>
            <w:tcBorders>
              <w:tl2br w:val="nil"/>
              <w:tr2bl w:val="nil"/>
            </w:tcBorders>
            <w:shd w:val="clear" w:color="auto" w:fill="auto"/>
            <w:vAlign w:val="center"/>
          </w:tcPr>
          <w:p w14:paraId="6BD8917E">
            <w:pPr>
              <w:widowControl/>
              <w:spacing w:line="240" w:lineRule="auto"/>
              <w:ind w:firstLine="0" w:firstLineChars="0"/>
              <w:jc w:val="center"/>
              <w:textAlignment w:val="center"/>
              <w:rPr>
                <w:color w:val="auto"/>
                <w:sz w:val="21"/>
                <w:szCs w:val="21"/>
                <w:lang w:bidi="ar"/>
              </w:rPr>
            </w:pPr>
            <w:r>
              <w:rPr>
                <w:color w:val="auto"/>
                <w:sz w:val="21"/>
                <w:szCs w:val="21"/>
                <w:lang w:bidi="ar"/>
              </w:rPr>
              <w:t>生活</w:t>
            </w:r>
          </w:p>
        </w:tc>
        <w:tc>
          <w:tcPr>
            <w:tcW w:w="514" w:type="pct"/>
            <w:tcBorders>
              <w:tl2br w:val="nil"/>
              <w:tr2bl w:val="nil"/>
            </w:tcBorders>
            <w:shd w:val="clear" w:color="auto" w:fill="auto"/>
            <w:vAlign w:val="center"/>
          </w:tcPr>
          <w:p w14:paraId="38D03D61">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c>
          <w:tcPr>
            <w:tcW w:w="594" w:type="pct"/>
            <w:gridSpan w:val="2"/>
            <w:tcBorders>
              <w:tl2br w:val="nil"/>
              <w:tr2bl w:val="nil"/>
            </w:tcBorders>
            <w:shd w:val="clear" w:color="auto" w:fill="auto"/>
            <w:vAlign w:val="center"/>
          </w:tcPr>
          <w:p w14:paraId="57EC111C">
            <w:pPr>
              <w:widowControl/>
              <w:spacing w:line="240" w:lineRule="auto"/>
              <w:ind w:firstLine="0" w:firstLineChars="0"/>
              <w:jc w:val="center"/>
              <w:textAlignment w:val="center"/>
              <w:rPr>
                <w:color w:val="auto"/>
                <w:sz w:val="21"/>
                <w:szCs w:val="21"/>
                <w:lang w:bidi="ar"/>
              </w:rPr>
            </w:pPr>
            <w:r>
              <w:rPr>
                <w:color w:val="auto"/>
                <w:sz w:val="21"/>
                <w:szCs w:val="21"/>
                <w:lang w:bidi="ar"/>
              </w:rPr>
              <w:t>供水系统提升</w:t>
            </w:r>
          </w:p>
        </w:tc>
        <w:tc>
          <w:tcPr>
            <w:tcW w:w="653" w:type="pct"/>
            <w:gridSpan w:val="3"/>
            <w:tcBorders>
              <w:tl2br w:val="nil"/>
              <w:tr2bl w:val="nil"/>
            </w:tcBorders>
            <w:shd w:val="clear" w:color="auto" w:fill="auto"/>
            <w:vAlign w:val="center"/>
          </w:tcPr>
          <w:p w14:paraId="531D15B8">
            <w:pPr>
              <w:widowControl/>
              <w:spacing w:line="240" w:lineRule="auto"/>
              <w:ind w:firstLine="0" w:firstLineChars="0"/>
              <w:jc w:val="center"/>
              <w:textAlignment w:val="center"/>
              <w:rPr>
                <w:color w:val="auto"/>
                <w:sz w:val="21"/>
                <w:szCs w:val="21"/>
                <w:lang w:bidi="ar"/>
              </w:rPr>
            </w:pPr>
            <w:r>
              <w:rPr>
                <w:color w:val="auto"/>
                <w:sz w:val="21"/>
                <w:szCs w:val="21"/>
                <w:lang w:bidi="ar"/>
              </w:rPr>
              <w:t>非常规水源利用</w:t>
            </w:r>
          </w:p>
        </w:tc>
      </w:tr>
      <w:tr w14:paraId="16E4B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5A74566B">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4120251D">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tc>
        <w:tc>
          <w:tcPr>
            <w:tcW w:w="435" w:type="pct"/>
            <w:tcBorders>
              <w:tl2br w:val="nil"/>
              <w:tr2bl w:val="nil"/>
            </w:tcBorders>
            <w:shd w:val="clear" w:color="auto" w:fill="auto"/>
            <w:vAlign w:val="center"/>
          </w:tcPr>
          <w:p w14:paraId="299165A2">
            <w:pPr>
              <w:widowControl/>
              <w:spacing w:line="240" w:lineRule="auto"/>
              <w:ind w:firstLine="0" w:firstLineChars="0"/>
              <w:jc w:val="center"/>
              <w:textAlignment w:val="center"/>
              <w:rPr>
                <w:color w:val="auto"/>
                <w:sz w:val="21"/>
                <w:szCs w:val="21"/>
                <w:lang w:bidi="ar"/>
              </w:rPr>
            </w:pPr>
            <w:r>
              <w:rPr>
                <w:color w:val="auto"/>
                <w:sz w:val="21"/>
                <w:szCs w:val="21"/>
                <w:lang w:bidi="ar"/>
              </w:rPr>
              <w:t>93.0</w:t>
            </w:r>
            <w:r>
              <w:rPr>
                <w:rFonts w:hint="eastAsia"/>
                <w:color w:val="auto"/>
                <w:sz w:val="21"/>
                <w:szCs w:val="21"/>
                <w:lang w:bidi="ar"/>
              </w:rPr>
              <w:t>1</w:t>
            </w:r>
          </w:p>
        </w:tc>
        <w:tc>
          <w:tcPr>
            <w:tcW w:w="436" w:type="pct"/>
            <w:gridSpan w:val="3"/>
            <w:tcBorders>
              <w:tl2br w:val="nil"/>
              <w:tr2bl w:val="nil"/>
            </w:tcBorders>
            <w:shd w:val="clear" w:color="auto" w:fill="auto"/>
            <w:vAlign w:val="center"/>
          </w:tcPr>
          <w:p w14:paraId="666A31DD">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w:t>
            </w:r>
          </w:p>
        </w:tc>
        <w:tc>
          <w:tcPr>
            <w:tcW w:w="437" w:type="pct"/>
            <w:gridSpan w:val="3"/>
            <w:tcBorders>
              <w:tl2br w:val="nil"/>
              <w:tr2bl w:val="nil"/>
            </w:tcBorders>
            <w:shd w:val="clear" w:color="auto" w:fill="auto"/>
            <w:vAlign w:val="center"/>
          </w:tcPr>
          <w:p w14:paraId="67D7ACC8">
            <w:pPr>
              <w:widowControl/>
              <w:spacing w:line="240" w:lineRule="auto"/>
              <w:ind w:firstLine="0" w:firstLineChars="0"/>
              <w:jc w:val="center"/>
              <w:textAlignment w:val="center"/>
              <w:rPr>
                <w:color w:val="auto"/>
                <w:sz w:val="21"/>
                <w:szCs w:val="21"/>
                <w:lang w:bidi="ar"/>
              </w:rPr>
            </w:pPr>
            <w:r>
              <w:rPr>
                <w:color w:val="auto"/>
                <w:sz w:val="21"/>
                <w:szCs w:val="21"/>
                <w:lang w:bidi="ar"/>
              </w:rPr>
              <w:t>67.80</w:t>
            </w:r>
          </w:p>
        </w:tc>
        <w:tc>
          <w:tcPr>
            <w:tcW w:w="442" w:type="pct"/>
            <w:tcBorders>
              <w:tl2br w:val="nil"/>
              <w:tr2bl w:val="nil"/>
            </w:tcBorders>
            <w:shd w:val="clear" w:color="auto" w:fill="auto"/>
            <w:vAlign w:val="center"/>
          </w:tcPr>
          <w:p w14:paraId="7EC62D7E">
            <w:pPr>
              <w:widowControl/>
              <w:spacing w:line="240" w:lineRule="auto"/>
              <w:ind w:firstLine="0" w:firstLineChars="0"/>
              <w:jc w:val="center"/>
              <w:textAlignment w:val="center"/>
              <w:rPr>
                <w:color w:val="auto"/>
                <w:sz w:val="21"/>
                <w:szCs w:val="21"/>
                <w:lang w:bidi="ar"/>
              </w:rPr>
            </w:pPr>
            <w:r>
              <w:rPr>
                <w:color w:val="auto"/>
                <w:sz w:val="21"/>
                <w:szCs w:val="21"/>
                <w:lang w:bidi="ar"/>
              </w:rPr>
              <w:t>25.21</w:t>
            </w:r>
          </w:p>
        </w:tc>
        <w:tc>
          <w:tcPr>
            <w:tcW w:w="514" w:type="pct"/>
            <w:tcBorders>
              <w:tl2br w:val="nil"/>
              <w:tr2bl w:val="nil"/>
            </w:tcBorders>
            <w:shd w:val="clear" w:color="auto" w:fill="auto"/>
            <w:vAlign w:val="center"/>
          </w:tcPr>
          <w:p w14:paraId="16BCE11C">
            <w:pPr>
              <w:widowControl/>
              <w:spacing w:line="240" w:lineRule="auto"/>
              <w:ind w:firstLine="0" w:firstLineChars="0"/>
              <w:jc w:val="center"/>
              <w:textAlignment w:val="center"/>
              <w:rPr>
                <w:color w:val="auto"/>
                <w:sz w:val="21"/>
                <w:szCs w:val="21"/>
                <w:lang w:bidi="ar"/>
              </w:rPr>
            </w:pPr>
          </w:p>
        </w:tc>
        <w:tc>
          <w:tcPr>
            <w:tcW w:w="594" w:type="pct"/>
            <w:gridSpan w:val="2"/>
            <w:tcBorders>
              <w:tl2br w:val="nil"/>
              <w:tr2bl w:val="nil"/>
            </w:tcBorders>
            <w:shd w:val="clear" w:color="auto" w:fill="auto"/>
            <w:vAlign w:val="center"/>
          </w:tcPr>
          <w:p w14:paraId="16B4743F">
            <w:pPr>
              <w:widowControl/>
              <w:spacing w:line="240" w:lineRule="auto"/>
              <w:ind w:firstLine="0" w:firstLineChars="0"/>
              <w:jc w:val="center"/>
              <w:textAlignment w:val="center"/>
              <w:rPr>
                <w:color w:val="auto"/>
                <w:sz w:val="21"/>
                <w:szCs w:val="21"/>
                <w:lang w:bidi="ar"/>
              </w:rPr>
            </w:pPr>
          </w:p>
        </w:tc>
        <w:tc>
          <w:tcPr>
            <w:tcW w:w="653" w:type="pct"/>
            <w:gridSpan w:val="3"/>
            <w:tcBorders>
              <w:tl2br w:val="nil"/>
              <w:tr2bl w:val="nil"/>
            </w:tcBorders>
            <w:shd w:val="clear" w:color="auto" w:fill="auto"/>
            <w:vAlign w:val="center"/>
          </w:tcPr>
          <w:p w14:paraId="6DB555A5">
            <w:pPr>
              <w:widowControl/>
              <w:spacing w:line="240" w:lineRule="auto"/>
              <w:ind w:firstLine="0" w:firstLineChars="0"/>
              <w:jc w:val="center"/>
              <w:textAlignment w:val="center"/>
              <w:rPr>
                <w:color w:val="auto"/>
                <w:sz w:val="21"/>
                <w:szCs w:val="21"/>
                <w:lang w:bidi="ar"/>
              </w:rPr>
            </w:pPr>
          </w:p>
        </w:tc>
      </w:tr>
      <w:tr w14:paraId="11DC7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22F37ADF">
            <w:pPr>
              <w:widowControl/>
              <w:spacing w:line="240" w:lineRule="auto"/>
              <w:ind w:firstLine="0" w:firstLineChars="0"/>
              <w:jc w:val="center"/>
              <w:textAlignment w:val="center"/>
              <w:rPr>
                <w:color w:val="auto"/>
                <w:sz w:val="21"/>
                <w:szCs w:val="21"/>
                <w:lang w:bidi="ar"/>
              </w:rPr>
            </w:pPr>
          </w:p>
        </w:tc>
        <w:tc>
          <w:tcPr>
            <w:tcW w:w="1081" w:type="pct"/>
            <w:tcBorders>
              <w:tl2br w:val="nil"/>
              <w:tr2bl w:val="nil"/>
            </w:tcBorders>
            <w:shd w:val="clear" w:color="auto" w:fill="auto"/>
            <w:vAlign w:val="center"/>
          </w:tcPr>
          <w:p w14:paraId="32B3CC6E">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tc>
        <w:tc>
          <w:tcPr>
            <w:tcW w:w="435" w:type="pct"/>
            <w:tcBorders>
              <w:tl2br w:val="nil"/>
              <w:tr2bl w:val="nil"/>
            </w:tcBorders>
            <w:shd w:val="clear" w:color="auto" w:fill="auto"/>
            <w:vAlign w:val="center"/>
          </w:tcPr>
          <w:p w14:paraId="33E543D4">
            <w:pPr>
              <w:widowControl/>
              <w:spacing w:line="240" w:lineRule="auto"/>
              <w:ind w:firstLine="0" w:firstLineChars="0"/>
              <w:jc w:val="center"/>
              <w:textAlignment w:val="center"/>
              <w:rPr>
                <w:color w:val="auto"/>
                <w:sz w:val="21"/>
                <w:szCs w:val="21"/>
                <w:lang w:bidi="ar"/>
              </w:rPr>
            </w:pPr>
          </w:p>
        </w:tc>
        <w:tc>
          <w:tcPr>
            <w:tcW w:w="436" w:type="pct"/>
            <w:gridSpan w:val="3"/>
            <w:tcBorders>
              <w:tl2br w:val="nil"/>
              <w:tr2bl w:val="nil"/>
            </w:tcBorders>
            <w:shd w:val="clear" w:color="auto" w:fill="auto"/>
            <w:vAlign w:val="center"/>
          </w:tcPr>
          <w:p w14:paraId="333D6201">
            <w:pPr>
              <w:widowControl/>
              <w:spacing w:line="240" w:lineRule="auto"/>
              <w:ind w:firstLine="0" w:firstLineChars="0"/>
              <w:jc w:val="center"/>
              <w:textAlignment w:val="center"/>
              <w:rPr>
                <w:color w:val="auto"/>
                <w:sz w:val="21"/>
                <w:szCs w:val="21"/>
                <w:lang w:bidi="ar"/>
              </w:rPr>
            </w:pPr>
          </w:p>
        </w:tc>
        <w:tc>
          <w:tcPr>
            <w:tcW w:w="437" w:type="pct"/>
            <w:gridSpan w:val="3"/>
            <w:tcBorders>
              <w:tl2br w:val="nil"/>
              <w:tr2bl w:val="nil"/>
            </w:tcBorders>
            <w:shd w:val="clear" w:color="auto" w:fill="auto"/>
            <w:vAlign w:val="center"/>
          </w:tcPr>
          <w:p w14:paraId="329BE611">
            <w:pPr>
              <w:widowControl/>
              <w:spacing w:line="240" w:lineRule="auto"/>
              <w:ind w:firstLine="0" w:firstLineChars="0"/>
              <w:jc w:val="center"/>
              <w:textAlignment w:val="center"/>
              <w:rPr>
                <w:color w:val="auto"/>
                <w:sz w:val="21"/>
                <w:szCs w:val="21"/>
                <w:lang w:bidi="ar"/>
              </w:rPr>
            </w:pPr>
          </w:p>
        </w:tc>
        <w:tc>
          <w:tcPr>
            <w:tcW w:w="442" w:type="pct"/>
            <w:tcBorders>
              <w:tl2br w:val="nil"/>
              <w:tr2bl w:val="nil"/>
            </w:tcBorders>
            <w:shd w:val="clear" w:color="auto" w:fill="auto"/>
            <w:vAlign w:val="center"/>
          </w:tcPr>
          <w:p w14:paraId="5AE1BD50">
            <w:pPr>
              <w:widowControl/>
              <w:spacing w:line="240" w:lineRule="auto"/>
              <w:ind w:firstLine="0" w:firstLineChars="0"/>
              <w:jc w:val="center"/>
              <w:textAlignment w:val="center"/>
              <w:rPr>
                <w:color w:val="auto"/>
                <w:sz w:val="21"/>
                <w:szCs w:val="21"/>
                <w:lang w:bidi="ar"/>
              </w:rPr>
            </w:pPr>
          </w:p>
        </w:tc>
        <w:tc>
          <w:tcPr>
            <w:tcW w:w="514" w:type="pct"/>
            <w:tcBorders>
              <w:tl2br w:val="nil"/>
              <w:tr2bl w:val="nil"/>
            </w:tcBorders>
            <w:shd w:val="clear" w:color="auto" w:fill="auto"/>
            <w:vAlign w:val="center"/>
          </w:tcPr>
          <w:p w14:paraId="5004FACF">
            <w:pPr>
              <w:widowControl/>
              <w:spacing w:line="240" w:lineRule="auto"/>
              <w:ind w:firstLine="0" w:firstLineChars="0"/>
              <w:jc w:val="center"/>
              <w:textAlignment w:val="center"/>
              <w:rPr>
                <w:color w:val="auto"/>
                <w:sz w:val="21"/>
                <w:szCs w:val="21"/>
                <w:lang w:bidi="ar"/>
              </w:rPr>
            </w:pPr>
          </w:p>
        </w:tc>
        <w:tc>
          <w:tcPr>
            <w:tcW w:w="594" w:type="pct"/>
            <w:gridSpan w:val="2"/>
            <w:tcBorders>
              <w:tl2br w:val="nil"/>
              <w:tr2bl w:val="nil"/>
            </w:tcBorders>
            <w:shd w:val="clear" w:color="auto" w:fill="auto"/>
            <w:vAlign w:val="center"/>
          </w:tcPr>
          <w:p w14:paraId="000043D7">
            <w:pPr>
              <w:widowControl/>
              <w:spacing w:line="240" w:lineRule="auto"/>
              <w:ind w:firstLine="0" w:firstLineChars="0"/>
              <w:jc w:val="center"/>
              <w:textAlignment w:val="center"/>
              <w:rPr>
                <w:color w:val="auto"/>
                <w:sz w:val="21"/>
                <w:szCs w:val="21"/>
                <w:lang w:bidi="ar"/>
              </w:rPr>
            </w:pPr>
          </w:p>
        </w:tc>
        <w:tc>
          <w:tcPr>
            <w:tcW w:w="653" w:type="pct"/>
            <w:gridSpan w:val="3"/>
            <w:tcBorders>
              <w:tl2br w:val="nil"/>
              <w:tr2bl w:val="nil"/>
            </w:tcBorders>
            <w:shd w:val="clear" w:color="auto" w:fill="auto"/>
            <w:vAlign w:val="center"/>
          </w:tcPr>
          <w:p w14:paraId="1B1840C0">
            <w:pPr>
              <w:widowControl/>
              <w:spacing w:line="240" w:lineRule="auto"/>
              <w:ind w:firstLine="0" w:firstLineChars="0"/>
              <w:jc w:val="center"/>
              <w:textAlignment w:val="center"/>
              <w:rPr>
                <w:color w:val="auto"/>
                <w:sz w:val="21"/>
                <w:szCs w:val="21"/>
                <w:lang w:bidi="ar"/>
              </w:rPr>
            </w:pPr>
          </w:p>
        </w:tc>
      </w:tr>
      <w:tr w14:paraId="4298C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restart"/>
            <w:tcBorders>
              <w:tl2br w:val="nil"/>
              <w:tr2bl w:val="nil"/>
            </w:tcBorders>
            <w:shd w:val="clear" w:color="auto" w:fill="auto"/>
            <w:vAlign w:val="center"/>
          </w:tcPr>
          <w:p w14:paraId="10F2682E">
            <w:pPr>
              <w:widowControl/>
              <w:spacing w:line="240" w:lineRule="auto"/>
              <w:ind w:firstLine="0" w:firstLineChars="0"/>
              <w:jc w:val="center"/>
              <w:textAlignment w:val="center"/>
              <w:rPr>
                <w:color w:val="auto"/>
                <w:sz w:val="21"/>
                <w:szCs w:val="21"/>
                <w:lang w:bidi="ar"/>
              </w:rPr>
            </w:pPr>
            <w:r>
              <w:rPr>
                <w:color w:val="auto"/>
                <w:sz w:val="21"/>
                <w:szCs w:val="21"/>
                <w:lang w:bidi="ar"/>
              </w:rPr>
              <w:t>七、取用水规划</w:t>
            </w:r>
          </w:p>
        </w:tc>
        <w:tc>
          <w:tcPr>
            <w:tcW w:w="1081" w:type="pct"/>
            <w:vMerge w:val="restart"/>
            <w:tcBorders>
              <w:tl2br w:val="nil"/>
              <w:tr2bl w:val="nil"/>
            </w:tcBorders>
            <w:shd w:val="clear" w:color="auto" w:fill="auto"/>
            <w:vAlign w:val="center"/>
          </w:tcPr>
          <w:p w14:paraId="28C80D1C">
            <w:pPr>
              <w:widowControl/>
              <w:spacing w:line="240" w:lineRule="auto"/>
              <w:ind w:firstLine="0" w:firstLineChars="0"/>
              <w:jc w:val="center"/>
              <w:textAlignment w:val="center"/>
              <w:rPr>
                <w:color w:val="auto"/>
                <w:sz w:val="21"/>
                <w:szCs w:val="21"/>
                <w:lang w:bidi="ar"/>
              </w:rPr>
            </w:pPr>
            <w:r>
              <w:rPr>
                <w:color w:val="auto"/>
                <w:sz w:val="21"/>
                <w:szCs w:val="21"/>
                <w:lang w:bidi="ar"/>
              </w:rPr>
              <w:t>新增取用水量（万m³）</w:t>
            </w:r>
          </w:p>
        </w:tc>
        <w:tc>
          <w:tcPr>
            <w:tcW w:w="582" w:type="pct"/>
            <w:gridSpan w:val="3"/>
            <w:tcBorders>
              <w:tl2br w:val="nil"/>
              <w:tr2bl w:val="nil"/>
            </w:tcBorders>
            <w:shd w:val="clear" w:color="auto" w:fill="auto"/>
            <w:vAlign w:val="center"/>
          </w:tcPr>
          <w:p w14:paraId="068CF92D">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tc>
        <w:tc>
          <w:tcPr>
            <w:tcW w:w="583" w:type="pct"/>
            <w:gridSpan w:val="3"/>
            <w:tcBorders>
              <w:tl2br w:val="nil"/>
              <w:tr2bl w:val="nil"/>
            </w:tcBorders>
            <w:shd w:val="clear" w:color="auto" w:fill="auto"/>
            <w:vAlign w:val="center"/>
          </w:tcPr>
          <w:p w14:paraId="01DA18F5">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tc>
        <w:tc>
          <w:tcPr>
            <w:tcW w:w="585" w:type="pct"/>
            <w:gridSpan w:val="2"/>
            <w:vMerge w:val="restart"/>
            <w:tcBorders>
              <w:tl2br w:val="nil"/>
              <w:tr2bl w:val="nil"/>
            </w:tcBorders>
            <w:shd w:val="clear" w:color="auto" w:fill="auto"/>
            <w:vAlign w:val="center"/>
          </w:tcPr>
          <w:p w14:paraId="168CC579">
            <w:pPr>
              <w:widowControl/>
              <w:spacing w:line="240" w:lineRule="auto"/>
              <w:ind w:firstLine="0" w:firstLineChars="0"/>
              <w:jc w:val="center"/>
              <w:textAlignment w:val="center"/>
              <w:rPr>
                <w:color w:val="auto"/>
                <w:sz w:val="21"/>
                <w:szCs w:val="21"/>
                <w:lang w:bidi="ar"/>
              </w:rPr>
            </w:pPr>
            <w:r>
              <w:rPr>
                <w:color w:val="auto"/>
                <w:sz w:val="21"/>
                <w:szCs w:val="21"/>
                <w:lang w:bidi="ar"/>
              </w:rPr>
              <w:t>取用水规模</w:t>
            </w:r>
          </w:p>
          <w:p w14:paraId="676F54E1">
            <w:pPr>
              <w:widowControl/>
              <w:spacing w:line="240" w:lineRule="auto"/>
              <w:ind w:firstLine="0" w:firstLineChars="0"/>
              <w:jc w:val="center"/>
              <w:textAlignment w:val="center"/>
              <w:rPr>
                <w:color w:val="auto"/>
                <w:sz w:val="21"/>
                <w:szCs w:val="21"/>
                <w:lang w:bidi="ar"/>
              </w:rPr>
            </w:pPr>
            <w:r>
              <w:rPr>
                <w:color w:val="auto"/>
                <w:sz w:val="21"/>
                <w:szCs w:val="21"/>
                <w:lang w:bidi="ar"/>
              </w:rPr>
              <w:t>（万m³）</w:t>
            </w:r>
          </w:p>
        </w:tc>
        <w:tc>
          <w:tcPr>
            <w:tcW w:w="575" w:type="pct"/>
            <w:gridSpan w:val="2"/>
            <w:tcBorders>
              <w:tl2br w:val="nil"/>
              <w:tr2bl w:val="nil"/>
            </w:tcBorders>
            <w:shd w:val="clear" w:color="auto" w:fill="auto"/>
            <w:vAlign w:val="center"/>
          </w:tcPr>
          <w:p w14:paraId="37BABF96">
            <w:pPr>
              <w:widowControl/>
              <w:spacing w:line="240" w:lineRule="auto"/>
              <w:ind w:firstLine="0" w:firstLineChars="0"/>
              <w:jc w:val="center"/>
              <w:textAlignment w:val="center"/>
              <w:rPr>
                <w:color w:val="auto"/>
                <w:sz w:val="21"/>
                <w:szCs w:val="21"/>
                <w:lang w:bidi="ar"/>
              </w:rPr>
            </w:pPr>
            <w:r>
              <w:rPr>
                <w:color w:val="auto"/>
                <w:sz w:val="21"/>
                <w:szCs w:val="21"/>
                <w:lang w:bidi="ar"/>
              </w:rPr>
              <w:t>现状水平年</w:t>
            </w:r>
          </w:p>
        </w:tc>
        <w:tc>
          <w:tcPr>
            <w:tcW w:w="593" w:type="pct"/>
            <w:gridSpan w:val="2"/>
            <w:tcBorders>
              <w:tl2br w:val="nil"/>
              <w:tr2bl w:val="nil"/>
            </w:tcBorders>
            <w:shd w:val="clear" w:color="auto" w:fill="auto"/>
            <w:vAlign w:val="center"/>
          </w:tcPr>
          <w:p w14:paraId="6624891B">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规划水平年1</w:t>
            </w:r>
          </w:p>
        </w:tc>
        <w:tc>
          <w:tcPr>
            <w:tcW w:w="593" w:type="pct"/>
            <w:gridSpan w:val="2"/>
            <w:tcBorders>
              <w:tl2br w:val="nil"/>
              <w:tr2bl w:val="nil"/>
            </w:tcBorders>
            <w:shd w:val="clear" w:color="auto" w:fill="auto"/>
            <w:vAlign w:val="center"/>
          </w:tcPr>
          <w:p w14:paraId="169E0FA9">
            <w:pPr>
              <w:widowControl/>
              <w:spacing w:line="240" w:lineRule="auto"/>
              <w:ind w:firstLine="0" w:firstLineChars="0"/>
              <w:jc w:val="center"/>
              <w:textAlignment w:val="center"/>
              <w:rPr>
                <w:color w:val="auto"/>
                <w:sz w:val="21"/>
                <w:szCs w:val="21"/>
                <w:lang w:bidi="ar"/>
              </w:rPr>
            </w:pPr>
            <w:r>
              <w:rPr>
                <w:color w:val="auto"/>
                <w:sz w:val="21"/>
                <w:szCs w:val="21"/>
                <w:lang w:bidi="ar"/>
              </w:rPr>
              <w:t>规划水平年2</w:t>
            </w:r>
          </w:p>
        </w:tc>
      </w:tr>
      <w:tr w14:paraId="1005B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4" w:type="pct"/>
            <w:vMerge w:val="continue"/>
            <w:tcBorders>
              <w:tl2br w:val="nil"/>
              <w:tr2bl w:val="nil"/>
            </w:tcBorders>
            <w:shd w:val="clear" w:color="auto" w:fill="auto"/>
            <w:vAlign w:val="center"/>
          </w:tcPr>
          <w:p w14:paraId="4AAA32FD">
            <w:pPr>
              <w:widowControl/>
              <w:spacing w:line="240" w:lineRule="auto"/>
              <w:ind w:firstLine="0" w:firstLineChars="0"/>
              <w:jc w:val="center"/>
              <w:textAlignment w:val="center"/>
              <w:rPr>
                <w:color w:val="auto"/>
                <w:sz w:val="21"/>
                <w:szCs w:val="21"/>
                <w:lang w:bidi="ar"/>
              </w:rPr>
            </w:pPr>
          </w:p>
        </w:tc>
        <w:tc>
          <w:tcPr>
            <w:tcW w:w="1081" w:type="pct"/>
            <w:vMerge w:val="continue"/>
            <w:tcBorders>
              <w:tl2br w:val="nil"/>
              <w:tr2bl w:val="nil"/>
            </w:tcBorders>
            <w:shd w:val="clear" w:color="auto" w:fill="auto"/>
            <w:vAlign w:val="center"/>
          </w:tcPr>
          <w:p w14:paraId="0B9ED884">
            <w:pPr>
              <w:widowControl/>
              <w:spacing w:line="240" w:lineRule="auto"/>
              <w:ind w:firstLine="0" w:firstLineChars="0"/>
              <w:jc w:val="center"/>
              <w:textAlignment w:val="center"/>
              <w:rPr>
                <w:color w:val="auto"/>
                <w:sz w:val="21"/>
                <w:szCs w:val="21"/>
                <w:lang w:bidi="ar"/>
              </w:rPr>
            </w:pPr>
          </w:p>
        </w:tc>
        <w:tc>
          <w:tcPr>
            <w:tcW w:w="582" w:type="pct"/>
            <w:gridSpan w:val="3"/>
            <w:tcBorders>
              <w:tl2br w:val="nil"/>
              <w:tr2bl w:val="nil"/>
            </w:tcBorders>
            <w:shd w:val="clear" w:color="auto" w:fill="auto"/>
            <w:vAlign w:val="center"/>
          </w:tcPr>
          <w:p w14:paraId="5935BEBD">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1031.04</w:t>
            </w:r>
          </w:p>
        </w:tc>
        <w:tc>
          <w:tcPr>
            <w:tcW w:w="583" w:type="pct"/>
            <w:gridSpan w:val="3"/>
            <w:tcBorders>
              <w:tl2br w:val="nil"/>
              <w:tr2bl w:val="nil"/>
            </w:tcBorders>
            <w:shd w:val="clear" w:color="auto" w:fill="auto"/>
            <w:vAlign w:val="center"/>
          </w:tcPr>
          <w:p w14:paraId="6A7624BF">
            <w:pPr>
              <w:widowControl/>
              <w:spacing w:line="240" w:lineRule="auto"/>
              <w:ind w:firstLine="0" w:firstLineChars="0"/>
              <w:jc w:val="center"/>
              <w:textAlignment w:val="center"/>
              <w:rPr>
                <w:color w:val="auto"/>
                <w:sz w:val="21"/>
                <w:szCs w:val="21"/>
                <w:lang w:bidi="ar"/>
              </w:rPr>
            </w:pPr>
          </w:p>
        </w:tc>
        <w:tc>
          <w:tcPr>
            <w:tcW w:w="585" w:type="pct"/>
            <w:gridSpan w:val="2"/>
            <w:vMerge w:val="continue"/>
            <w:tcBorders>
              <w:tl2br w:val="nil"/>
              <w:tr2bl w:val="nil"/>
            </w:tcBorders>
            <w:shd w:val="clear" w:color="auto" w:fill="auto"/>
            <w:vAlign w:val="center"/>
          </w:tcPr>
          <w:p w14:paraId="2F9D8891">
            <w:pPr>
              <w:widowControl/>
              <w:spacing w:line="240" w:lineRule="auto"/>
              <w:ind w:firstLine="0" w:firstLineChars="0"/>
              <w:jc w:val="center"/>
              <w:textAlignment w:val="center"/>
              <w:rPr>
                <w:color w:val="auto"/>
                <w:sz w:val="21"/>
                <w:szCs w:val="21"/>
                <w:lang w:bidi="ar"/>
              </w:rPr>
            </w:pPr>
          </w:p>
        </w:tc>
        <w:tc>
          <w:tcPr>
            <w:tcW w:w="575" w:type="pct"/>
            <w:gridSpan w:val="2"/>
            <w:tcBorders>
              <w:tl2br w:val="nil"/>
              <w:tr2bl w:val="nil"/>
            </w:tcBorders>
            <w:shd w:val="clear" w:color="auto" w:fill="auto"/>
            <w:vAlign w:val="center"/>
          </w:tcPr>
          <w:p w14:paraId="72A639C9">
            <w:pPr>
              <w:widowControl/>
              <w:spacing w:line="240" w:lineRule="auto"/>
              <w:ind w:firstLine="0" w:firstLineChars="0"/>
              <w:jc w:val="center"/>
              <w:textAlignment w:val="center"/>
              <w:rPr>
                <w:color w:val="auto"/>
                <w:sz w:val="21"/>
                <w:szCs w:val="21"/>
                <w:lang w:bidi="ar"/>
              </w:rPr>
            </w:pPr>
            <w:r>
              <w:rPr>
                <w:color w:val="auto"/>
                <w:sz w:val="21"/>
                <w:szCs w:val="21"/>
                <w:lang w:bidi="ar"/>
              </w:rPr>
              <w:t>2654.01</w:t>
            </w:r>
          </w:p>
        </w:tc>
        <w:tc>
          <w:tcPr>
            <w:tcW w:w="593" w:type="pct"/>
            <w:gridSpan w:val="2"/>
            <w:tcBorders>
              <w:tl2br w:val="nil"/>
              <w:tr2bl w:val="nil"/>
            </w:tcBorders>
            <w:shd w:val="clear" w:color="auto" w:fill="auto"/>
            <w:vAlign w:val="center"/>
          </w:tcPr>
          <w:p w14:paraId="0E5D3DCF">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3685.95</w:t>
            </w:r>
          </w:p>
        </w:tc>
        <w:tc>
          <w:tcPr>
            <w:tcW w:w="593" w:type="pct"/>
            <w:gridSpan w:val="2"/>
            <w:tcBorders>
              <w:tl2br w:val="nil"/>
              <w:tr2bl w:val="nil"/>
            </w:tcBorders>
            <w:shd w:val="clear" w:color="auto" w:fill="auto"/>
            <w:vAlign w:val="center"/>
          </w:tcPr>
          <w:p w14:paraId="79334A25">
            <w:pPr>
              <w:widowControl/>
              <w:spacing w:line="240" w:lineRule="auto"/>
              <w:ind w:firstLine="0" w:firstLineChars="0"/>
              <w:jc w:val="center"/>
              <w:textAlignment w:val="center"/>
              <w:rPr>
                <w:color w:val="auto"/>
                <w:sz w:val="21"/>
                <w:szCs w:val="21"/>
                <w:lang w:bidi="ar"/>
              </w:rPr>
            </w:pPr>
          </w:p>
        </w:tc>
      </w:tr>
    </w:tbl>
    <w:p w14:paraId="19774BD0">
      <w:pPr>
        <w:pStyle w:val="44"/>
        <w:jc w:val="left"/>
        <w:rPr>
          <w:color w:val="auto"/>
        </w:rPr>
      </w:pPr>
      <w:r>
        <w:rPr>
          <w:color w:val="auto"/>
        </w:rPr>
        <w:t>填表说明：非水利建设项目在第“二”栏只填写规划水平年需水量、第“三”栏主要填写自选指标、第“六”栏不填写。</w:t>
      </w:r>
    </w:p>
    <w:p w14:paraId="478D2702">
      <w:pPr>
        <w:pStyle w:val="11"/>
        <w:ind w:firstLine="480"/>
        <w:rPr>
          <w:color w:val="auto"/>
        </w:rPr>
        <w:sectPr>
          <w:pgSz w:w="16838" w:h="11905" w:orient="landscape"/>
          <w:pgMar w:top="1587" w:right="1417" w:bottom="1417" w:left="1417" w:header="850" w:footer="992" w:gutter="0"/>
          <w:cols w:space="0" w:num="1"/>
          <w:docGrid w:type="lines" w:linePitch="333" w:charSpace="0"/>
        </w:sectPr>
      </w:pPr>
    </w:p>
    <w:p w14:paraId="7BC4DD96">
      <w:pPr>
        <w:pStyle w:val="3"/>
        <w:numPr>
          <w:ilvl w:val="0"/>
          <w:numId w:val="0"/>
        </w:numPr>
        <w:spacing w:before="333" w:after="333"/>
        <w:rPr>
          <w:color w:val="auto"/>
        </w:rPr>
      </w:pPr>
      <w:bookmarkStart w:id="60" w:name="_Toc2494"/>
      <w:r>
        <w:rPr>
          <w:color w:val="auto"/>
        </w:rPr>
        <w:t>6区域水资源配置方案</w:t>
      </w:r>
      <w:bookmarkEnd w:id="49"/>
      <w:bookmarkEnd w:id="60"/>
    </w:p>
    <w:p w14:paraId="422080A5">
      <w:pPr>
        <w:pStyle w:val="4"/>
        <w:numPr>
          <w:ilvl w:val="1"/>
          <w:numId w:val="0"/>
        </w:numPr>
        <w:spacing w:before="166" w:after="166"/>
        <w:rPr>
          <w:color w:val="auto"/>
        </w:rPr>
      </w:pPr>
      <w:bookmarkStart w:id="61" w:name="_Toc18368"/>
      <w:bookmarkStart w:id="62" w:name="_Toc31337"/>
      <w:r>
        <w:rPr>
          <w:color w:val="auto"/>
        </w:rPr>
        <w:t>6.1区域现状水资源配置情况</w:t>
      </w:r>
      <w:bookmarkEnd w:id="61"/>
      <w:bookmarkEnd w:id="62"/>
    </w:p>
    <w:p w14:paraId="75A374C0">
      <w:pPr>
        <w:ind w:firstLine="480"/>
        <w:rPr>
          <w:color w:val="auto"/>
        </w:rPr>
      </w:pPr>
      <w:r>
        <w:rPr>
          <w:color w:val="auto"/>
        </w:rPr>
        <w:t>根据园区水资源配置总体方案，园区现状主要由和尚山水厂、丰收坝水厂、西彭水厂。其中和尚山水厂向九龙工业园区A区供水，丰收坝水厂向九龙工业园区B区供水，西彭水厂向九龙工业园区C区供水。</w:t>
      </w:r>
    </w:p>
    <w:p w14:paraId="7BA659B1">
      <w:pPr>
        <w:ind w:firstLine="480"/>
        <w:rPr>
          <w:color w:val="auto"/>
        </w:rPr>
      </w:pPr>
      <w:bookmarkStart w:id="63" w:name="_Toc31871"/>
      <w:r>
        <w:rPr>
          <w:color w:val="auto"/>
        </w:rPr>
        <w:t>（1）和尚山水厂</w:t>
      </w:r>
      <w:bookmarkEnd w:id="63"/>
    </w:p>
    <w:p w14:paraId="0EE2A87C">
      <w:pPr>
        <w:ind w:firstLine="480"/>
        <w:rPr>
          <w:color w:val="auto"/>
        </w:rPr>
      </w:pPr>
      <w:r>
        <w:rPr>
          <w:color w:val="auto"/>
        </w:rPr>
        <w:t>重庆市自来水有限公司和尚山水厂兴建于1988年10月，扩建于2018年，现供水规模为35万m³/d</w:t>
      </w:r>
      <w:r>
        <w:rPr>
          <w:b/>
          <w:bCs/>
          <w:color w:val="auto"/>
        </w:rPr>
        <w:t>。</w:t>
      </w:r>
      <w:r>
        <w:rPr>
          <w:color w:val="auto"/>
        </w:rPr>
        <w:t>该厂位于重庆市九龙坡区杨家坪天宝路，以长江水作源水，水源地位于九龙坡区九龙滩，占地面积158.6亩，其中净水场占地92亩，供水范围为杨家坪、谢家湾、石坪桥、黄桷坪、石桥铺、渝州路街道、九龙街道。水厂工艺流程为：长江源水→取水泵房（干井卧式泵立装）→格网配水井→斜管平流预沉池→斜管沉淀池→“V”型滤池→清水池→二级泵房→城市管网→三级加压→四级加压。主要向重庆市主城区中部片区大杨石组团、渝中组团供应城镇居民生活用水和部分一般工业用水。</w:t>
      </w:r>
    </w:p>
    <w:p w14:paraId="3427915B">
      <w:pPr>
        <w:pStyle w:val="11"/>
        <w:ind w:firstLine="480"/>
        <w:rPr>
          <w:b/>
          <w:bCs/>
          <w:color w:val="auto"/>
        </w:rPr>
      </w:pPr>
      <w:r>
        <w:rPr>
          <w:color w:val="auto"/>
        </w:rPr>
        <w:t>根据水厂提供资料，</w:t>
      </w:r>
      <w:r>
        <w:rPr>
          <w:b/>
          <w:bCs/>
          <w:color w:val="auto"/>
        </w:rPr>
        <w:t>和尚山水厂2020年供九龙坡区的水量为9000万</w:t>
      </w:r>
      <w:r>
        <w:rPr>
          <w:color w:val="auto"/>
        </w:rPr>
        <w:t>m</w:t>
      </w:r>
      <w:r>
        <w:rPr>
          <w:color w:val="auto"/>
          <w:vertAlign w:val="superscript"/>
        </w:rPr>
        <w:t>3</w:t>
      </w:r>
      <w:r>
        <w:rPr>
          <w:b/>
          <w:bCs/>
          <w:color w:val="auto"/>
        </w:rPr>
        <w:t>，九龙工业园区A区2020年用水量为545.59万m</w:t>
      </w:r>
      <w:r>
        <w:rPr>
          <w:b/>
          <w:bCs/>
          <w:color w:val="auto"/>
          <w:vertAlign w:val="superscript"/>
        </w:rPr>
        <w:t>3</w:t>
      </w:r>
      <w:r>
        <w:rPr>
          <w:b/>
          <w:bCs/>
          <w:color w:val="auto"/>
        </w:rPr>
        <w:t>，占比6.06%。</w:t>
      </w:r>
    </w:p>
    <w:p w14:paraId="7881F17F">
      <w:pPr>
        <w:ind w:firstLine="480"/>
        <w:rPr>
          <w:color w:val="auto"/>
        </w:rPr>
      </w:pPr>
      <w:bookmarkStart w:id="64" w:name="_Toc3881"/>
      <w:r>
        <w:rPr>
          <w:color w:val="auto"/>
        </w:rPr>
        <w:t>（2）丰收坝水厂</w:t>
      </w:r>
      <w:bookmarkEnd w:id="64"/>
    </w:p>
    <w:p w14:paraId="74A09641">
      <w:pPr>
        <w:ind w:firstLine="480"/>
        <w:rPr>
          <w:color w:val="auto"/>
        </w:rPr>
      </w:pPr>
      <w:r>
        <w:rPr>
          <w:color w:val="auto"/>
        </w:rPr>
        <w:t>丰收坝水厂位于大渡口区跳蹬镇石盘村，丰收坝水厂现状规模30万m</w:t>
      </w:r>
      <w:r>
        <w:rPr>
          <w:color w:val="auto"/>
          <w:vertAlign w:val="superscript"/>
        </w:rPr>
        <w:t>3</w:t>
      </w:r>
      <w:r>
        <w:rPr>
          <w:color w:val="auto"/>
        </w:rPr>
        <w:t>/d，以长江为水源，取水点设在石盘村上游150m处，通过位于江心的取水头部经引水隧洞自流至取水泵房后提升至配水井。丰收坝水厂现状总用地面积148.16亩，一期用地面积132.67亩，二期用地面积15.49亩。丰收坝水厂采用“机械混合＋预沉池＋斜管二沉池＋气水反冲洗V型滤池＋消毒”的工艺。丰收坝水厂在九龙坡区的供水范围为华岩镇、中梁山街道、九龙工业园C区（巴福）、巴国城。</w:t>
      </w:r>
    </w:p>
    <w:p w14:paraId="7DC212FF">
      <w:pPr>
        <w:ind w:firstLine="480"/>
        <w:rPr>
          <w:color w:val="auto"/>
        </w:rPr>
      </w:pPr>
      <w:r>
        <w:rPr>
          <w:color w:val="auto"/>
        </w:rPr>
        <w:t>根据水厂提供资料，丰收坝水厂2020年供九龙坡区的水量为1825万m</w:t>
      </w:r>
      <w:r>
        <w:rPr>
          <w:color w:val="auto"/>
          <w:vertAlign w:val="superscript"/>
        </w:rPr>
        <w:t>3</w:t>
      </w:r>
      <w:r>
        <w:rPr>
          <w:color w:val="auto"/>
        </w:rPr>
        <w:t>，九龙工业园区B区2020年用水量为1284.66万m</w:t>
      </w:r>
      <w:r>
        <w:rPr>
          <w:color w:val="auto"/>
          <w:vertAlign w:val="superscript"/>
        </w:rPr>
        <w:t>3</w:t>
      </w:r>
      <w:r>
        <w:rPr>
          <w:color w:val="auto"/>
        </w:rPr>
        <w:t>，占比70.39%。</w:t>
      </w:r>
    </w:p>
    <w:p w14:paraId="34B66644">
      <w:pPr>
        <w:ind w:firstLine="480"/>
        <w:rPr>
          <w:color w:val="auto"/>
        </w:rPr>
      </w:pPr>
      <w:bookmarkStart w:id="65" w:name="_Toc30202"/>
      <w:r>
        <w:rPr>
          <w:color w:val="auto"/>
        </w:rPr>
        <w:t>（3）西彭水厂</w:t>
      </w:r>
      <w:bookmarkEnd w:id="65"/>
    </w:p>
    <w:p w14:paraId="55914892">
      <w:pPr>
        <w:ind w:firstLine="480"/>
        <w:rPr>
          <w:color w:val="auto"/>
        </w:rPr>
      </w:pPr>
      <w:r>
        <w:rPr>
          <w:color w:val="auto"/>
        </w:rPr>
        <w:t>西彭水厂位于重庆市九龙坡区西彭镇双岗村，现状最大供水能力为5万m</w:t>
      </w:r>
      <w:r>
        <w:rPr>
          <w:color w:val="auto"/>
          <w:vertAlign w:val="superscript"/>
        </w:rPr>
        <w:t>3</w:t>
      </w:r>
      <w:r>
        <w:rPr>
          <w:color w:val="auto"/>
        </w:rPr>
        <w:t>/d，总占地面积约19.6亩；供水范围为：西彭镇、陶家镇、巴福镇、石板镇等生活及工业供水，西彭水厂采用一次处理后的原水经可调式静态混合器混合后，进入栅网絮凝－斜管（斜板）沉淀池沉淀后，采用V型滤池过滤，液氯消毒的工艺流程，既能保证供水水质，又能达到所需要的规模。</w:t>
      </w:r>
    </w:p>
    <w:p w14:paraId="7741267C">
      <w:pPr>
        <w:pStyle w:val="11"/>
        <w:ind w:firstLine="480"/>
        <w:rPr>
          <w:color w:val="auto"/>
        </w:rPr>
      </w:pPr>
      <w:r>
        <w:rPr>
          <w:color w:val="auto"/>
        </w:rPr>
        <w:t>根据水厂提供资料，西彭水厂2020年供九龙坡区的水量为1616万m</w:t>
      </w:r>
      <w:r>
        <w:rPr>
          <w:color w:val="auto"/>
          <w:vertAlign w:val="superscript"/>
        </w:rPr>
        <w:t>3</w:t>
      </w:r>
      <w:r>
        <w:rPr>
          <w:color w:val="auto"/>
        </w:rPr>
        <w:t>，九龙工业园区C区2020年用水量为823.77万m</w:t>
      </w:r>
      <w:r>
        <w:rPr>
          <w:color w:val="auto"/>
          <w:vertAlign w:val="superscript"/>
        </w:rPr>
        <w:t>3</w:t>
      </w:r>
      <w:r>
        <w:rPr>
          <w:color w:val="auto"/>
        </w:rPr>
        <w:t>，占比50.98%</w:t>
      </w:r>
      <w:r>
        <w:rPr>
          <w:b/>
          <w:bCs/>
          <w:color w:val="auto"/>
        </w:rPr>
        <w:t>。</w:t>
      </w:r>
    </w:p>
    <w:p w14:paraId="5F829437">
      <w:pPr>
        <w:pStyle w:val="4"/>
        <w:numPr>
          <w:ilvl w:val="1"/>
          <w:numId w:val="0"/>
        </w:numPr>
        <w:spacing w:before="166" w:after="166"/>
        <w:rPr>
          <w:color w:val="auto"/>
        </w:rPr>
      </w:pPr>
      <w:bookmarkStart w:id="66" w:name="_Toc14549"/>
      <w:bookmarkStart w:id="67" w:name="_Toc23488"/>
      <w:r>
        <w:rPr>
          <w:color w:val="auto"/>
        </w:rPr>
        <w:t>6.2区域水资源配置方案</w:t>
      </w:r>
      <w:bookmarkEnd w:id="66"/>
      <w:bookmarkEnd w:id="67"/>
    </w:p>
    <w:p w14:paraId="79A57CDF">
      <w:pPr>
        <w:ind w:firstLine="480"/>
        <w:rPr>
          <w:color w:val="auto"/>
        </w:rPr>
      </w:pPr>
      <w:r>
        <w:rPr>
          <w:color w:val="auto"/>
        </w:rPr>
        <w:t>按照《重庆市城乡总体规划（2007～2020）》（2011年修订，2014年深化），城市空间结构为“一城六片、多中心组团式”。都市区由中部、北部、南部、西部、东部六大片区组成，中心城区包括中部、北部、南部片区。以片区为格局有机组织城市人口和功能，各片区具有相当的人口规模，城市功能完善，既相对独立，又彼此联系，相互协调发展。</w:t>
      </w:r>
    </w:p>
    <w:p w14:paraId="1F96792C">
      <w:pPr>
        <w:ind w:firstLine="480"/>
        <w:rPr>
          <w:color w:val="auto"/>
        </w:rPr>
      </w:pPr>
      <w:r>
        <w:rPr>
          <w:color w:val="auto"/>
        </w:rPr>
        <w:t>根据重庆市主城空间结构图，本次评价范围内的九龙工业园区A区、B区分别位于中部片区的大杨石组团、大渡口组团，C区位于西部片区的西彭组团。</w:t>
      </w:r>
    </w:p>
    <w:p w14:paraId="441EA8DE">
      <w:pPr>
        <w:spacing w:line="360" w:lineRule="auto"/>
        <w:ind w:firstLine="0" w:firstLineChars="0"/>
        <w:jc w:val="center"/>
        <w:rPr>
          <w:color w:val="auto"/>
        </w:rPr>
      </w:pPr>
      <w:r>
        <w:rPr>
          <w:color w:val="auto"/>
        </w:rPr>
        <w:drawing>
          <wp:inline distT="0" distB="0" distL="114300" distR="114300">
            <wp:extent cx="3702685" cy="4482465"/>
            <wp:effectExtent l="9525" t="9525" r="21590" b="22860"/>
            <wp:docPr id="2" name="图片 4" descr="01-区位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01-区位关系图"/>
                    <pic:cNvPicPr>
                      <a:picLocks noChangeAspect="1"/>
                    </pic:cNvPicPr>
                  </pic:nvPicPr>
                  <pic:blipFill>
                    <a:blip r:embed="rId21"/>
                    <a:srcRect t="6070"/>
                    <a:stretch>
                      <a:fillRect/>
                    </a:stretch>
                  </pic:blipFill>
                  <pic:spPr>
                    <a:xfrm>
                      <a:off x="0" y="0"/>
                      <a:ext cx="3702685" cy="4482465"/>
                    </a:xfrm>
                    <a:prstGeom prst="rect">
                      <a:avLst/>
                    </a:prstGeom>
                    <a:noFill/>
                    <a:ln>
                      <a:solidFill>
                        <a:schemeClr val="tx1"/>
                      </a:solidFill>
                    </a:ln>
                  </pic:spPr>
                </pic:pic>
              </a:graphicData>
            </a:graphic>
          </wp:inline>
        </w:drawing>
      </w:r>
    </w:p>
    <w:p w14:paraId="0D851FB9">
      <w:pPr>
        <w:spacing w:line="560" w:lineRule="exact"/>
        <w:ind w:firstLine="482"/>
        <w:jc w:val="center"/>
        <w:rPr>
          <w:b/>
          <w:color w:val="auto"/>
        </w:rPr>
      </w:pPr>
      <w:r>
        <w:rPr>
          <w:b/>
          <w:color w:val="auto"/>
        </w:rPr>
        <w:t>图6.2-1 主城区空间结构图</w:t>
      </w:r>
    </w:p>
    <w:p w14:paraId="059005BF">
      <w:pPr>
        <w:pStyle w:val="5"/>
        <w:numPr>
          <w:ilvl w:val="0"/>
          <w:numId w:val="0"/>
        </w:numPr>
        <w:spacing w:before="166" w:after="166"/>
        <w:rPr>
          <w:color w:val="auto"/>
        </w:rPr>
      </w:pPr>
      <w:r>
        <w:rPr>
          <w:color w:val="auto"/>
        </w:rPr>
        <w:t>6.2.1中部片区水厂配置</w:t>
      </w:r>
    </w:p>
    <w:p w14:paraId="2AC3F199">
      <w:pPr>
        <w:ind w:firstLine="480"/>
        <w:rPr>
          <w:color w:val="auto"/>
        </w:rPr>
      </w:pPr>
      <w:r>
        <w:rPr>
          <w:color w:val="auto"/>
        </w:rPr>
        <w:t>中部片区范围为中梁山以东、铜锣山以西，长江和嘉陵江环抱的区域，包含渝中组团、大杨石组团、沙坪坝组团、大渡口组团、歌乐山－中梁功能区。</w:t>
      </w:r>
    </w:p>
    <w:p w14:paraId="7BCF6A16">
      <w:pPr>
        <w:ind w:firstLine="480"/>
        <w:rPr>
          <w:color w:val="auto"/>
        </w:rPr>
      </w:pPr>
      <w:r>
        <w:rPr>
          <w:color w:val="auto"/>
        </w:rPr>
        <w:t>渝中组团：为两江交汇的半岛地区。市级行政办公所在地，市级商业中心；解放碑地区是城市中心的重要组成部分，主要承担中央商务区的商贸功能和部分商务功能；朝天门是水上客运中心。</w:t>
      </w:r>
    </w:p>
    <w:p w14:paraId="411493EB">
      <w:pPr>
        <w:ind w:firstLine="480"/>
        <w:rPr>
          <w:color w:val="auto"/>
        </w:rPr>
      </w:pPr>
      <w:r>
        <w:rPr>
          <w:color w:val="auto"/>
        </w:rPr>
        <w:t>大杨石组团：由杨家坪、大坪、石桥铺等地区组成。杨家坪是城市副中心；袁家岗是市级体育中心；石桥铺地区是国家级高新技术开发区所在地重点发展高新技术产业和高端商务商贸、电子商务、文化创意产业。</w:t>
      </w:r>
    </w:p>
    <w:p w14:paraId="2EED9F49">
      <w:pPr>
        <w:ind w:firstLine="480"/>
        <w:rPr>
          <w:color w:val="auto"/>
        </w:rPr>
      </w:pPr>
      <w:r>
        <w:rPr>
          <w:color w:val="auto"/>
        </w:rPr>
        <w:t>沙坪坝组团：由沙坪坝、上桥、双碑、井口等地区组成。沙坪坝是城市副中心；市级科教文化中心。</w:t>
      </w:r>
    </w:p>
    <w:p w14:paraId="5CBB532D">
      <w:pPr>
        <w:ind w:firstLine="480"/>
        <w:rPr>
          <w:color w:val="auto"/>
        </w:rPr>
      </w:pPr>
      <w:r>
        <w:rPr>
          <w:color w:val="auto"/>
        </w:rPr>
        <w:t>大渡口组团：由新山村、九宫庙、建胜、中梁山、跳蹬等地区组成。重钢搬迁后原址分担杨家坪城市副中心部分职能，重点发展文化娱乐、工业旅游、商务、商贸功能；中梁山、跳蹬、建胜是现代制造业基地之一；回坝地区为物流基地；金鳖寺、白居寺、钓鱼嘴及滨江地带为城市南部的生态旅游休闲区。</w:t>
      </w:r>
    </w:p>
    <w:p w14:paraId="74A1D3C0">
      <w:pPr>
        <w:spacing w:line="500" w:lineRule="exact"/>
        <w:ind w:firstLine="480"/>
        <w:rPr>
          <w:b/>
          <w:bCs/>
          <w:color w:val="auto"/>
        </w:rPr>
      </w:pPr>
      <w:r>
        <w:rPr>
          <w:color w:val="auto"/>
        </w:rPr>
        <w:t>根据《重庆市主城区水厂布局规划调整方案》，至2025年，汉渝路、黄沙溪两座水厂关闭，井口水厂扩建至40万m</w:t>
      </w:r>
      <w:r>
        <w:rPr>
          <w:color w:val="auto"/>
          <w:vertAlign w:val="superscript"/>
        </w:rPr>
        <w:t>3</w:t>
      </w:r>
      <w:r>
        <w:rPr>
          <w:color w:val="auto"/>
        </w:rPr>
        <w:t>/d，其中向中部片区外的西永组团，青凤组团，回龙坝片区分别调水11.5万m</w:t>
      </w:r>
      <w:r>
        <w:rPr>
          <w:color w:val="auto"/>
          <w:vertAlign w:val="superscript"/>
        </w:rPr>
        <w:t>3</w:t>
      </w:r>
      <w:r>
        <w:rPr>
          <w:color w:val="auto"/>
        </w:rPr>
        <w:t>/d、5万m</w:t>
      </w:r>
      <w:r>
        <w:rPr>
          <w:color w:val="auto"/>
          <w:vertAlign w:val="superscript"/>
        </w:rPr>
        <w:t>3</w:t>
      </w:r>
      <w:r>
        <w:rPr>
          <w:color w:val="auto"/>
        </w:rPr>
        <w:t>/d、5万m</w:t>
      </w:r>
      <w:r>
        <w:rPr>
          <w:color w:val="auto"/>
          <w:vertAlign w:val="superscript"/>
        </w:rPr>
        <w:t>3</w:t>
      </w:r>
      <w:r>
        <w:rPr>
          <w:color w:val="auto"/>
        </w:rPr>
        <w:t>/d，总计调出水量21.5万m</w:t>
      </w:r>
      <w:r>
        <w:rPr>
          <w:color w:val="auto"/>
          <w:vertAlign w:val="superscript"/>
        </w:rPr>
        <w:t>3</w:t>
      </w:r>
      <w:r>
        <w:rPr>
          <w:color w:val="auto"/>
        </w:rPr>
        <w:t>/d；丰收坝水厂扩建至40万m</w:t>
      </w:r>
      <w:r>
        <w:rPr>
          <w:color w:val="auto"/>
          <w:vertAlign w:val="superscript"/>
        </w:rPr>
        <w:t>3</w:t>
      </w:r>
      <w:r>
        <w:rPr>
          <w:color w:val="auto"/>
        </w:rPr>
        <w:t>/d；和尚山水厂扩建至35万m</w:t>
      </w:r>
      <w:r>
        <w:rPr>
          <w:color w:val="auto"/>
          <w:vertAlign w:val="superscript"/>
        </w:rPr>
        <w:t>3</w:t>
      </w:r>
      <w:r>
        <w:rPr>
          <w:color w:val="auto"/>
        </w:rPr>
        <w:t>/d；</w:t>
      </w:r>
      <w:r>
        <w:rPr>
          <w:b/>
          <w:bCs/>
          <w:color w:val="auto"/>
        </w:rPr>
        <w:t>中部片区总处理规模达到1</w:t>
      </w:r>
      <w:r>
        <w:rPr>
          <w:rFonts w:hint="eastAsia"/>
          <w:b/>
          <w:bCs/>
          <w:color w:val="auto"/>
        </w:rPr>
        <w:t>2</w:t>
      </w:r>
      <w:r>
        <w:rPr>
          <w:b/>
          <w:bCs/>
          <w:color w:val="auto"/>
        </w:rPr>
        <w:t>3.5万m</w:t>
      </w:r>
      <w:r>
        <w:rPr>
          <w:b/>
          <w:bCs/>
          <w:color w:val="auto"/>
          <w:vertAlign w:val="superscript"/>
        </w:rPr>
        <w:t>3</w:t>
      </w:r>
      <w:r>
        <w:rPr>
          <w:b/>
          <w:bCs/>
          <w:color w:val="auto"/>
        </w:rPr>
        <w:t>/d，可以满足中部片区最高日需水量为113.2万m</w:t>
      </w:r>
      <w:r>
        <w:rPr>
          <w:b/>
          <w:bCs/>
          <w:color w:val="auto"/>
          <w:vertAlign w:val="superscript"/>
        </w:rPr>
        <w:t>3</w:t>
      </w:r>
      <w:r>
        <w:rPr>
          <w:b/>
          <w:bCs/>
          <w:color w:val="auto"/>
        </w:rPr>
        <w:t>/d的供水要求。</w:t>
      </w:r>
    </w:p>
    <w:p w14:paraId="6F2C691C">
      <w:pPr>
        <w:pStyle w:val="62"/>
        <w:ind w:firstLine="0"/>
        <w:jc w:val="both"/>
        <w:rPr>
          <w:color w:val="auto"/>
          <w:sz w:val="24"/>
          <w:lang w:val="zh-CN"/>
        </w:rPr>
      </w:pPr>
      <w:r>
        <w:rPr>
          <w:rFonts w:eastAsia="宋体"/>
          <w:color w:val="auto"/>
          <w:sz w:val="24"/>
          <w:szCs w:val="24"/>
        </w:rPr>
        <w:t xml:space="preserve">表6.2-1              </w:t>
      </w:r>
      <w:r>
        <w:rPr>
          <w:color w:val="auto"/>
          <w:sz w:val="24"/>
          <w:lang w:val="zh-CN"/>
        </w:rPr>
        <w:t>中部片区水厂处理规模及建设规划表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9"/>
        <w:gridCol w:w="2470"/>
        <w:gridCol w:w="1799"/>
        <w:gridCol w:w="1799"/>
        <w:gridCol w:w="1796"/>
      </w:tblGrid>
      <w:tr w14:paraId="6DDAC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85" w:type="pct"/>
            <w:vMerge w:val="restart"/>
            <w:vAlign w:val="center"/>
          </w:tcPr>
          <w:p w14:paraId="071D4DFD">
            <w:pPr>
              <w:autoSpaceDE w:val="0"/>
              <w:autoSpaceDN w:val="0"/>
              <w:spacing w:line="360" w:lineRule="exact"/>
              <w:ind w:firstLine="0" w:firstLineChars="0"/>
              <w:jc w:val="center"/>
              <w:rPr>
                <w:color w:val="auto"/>
                <w:sz w:val="21"/>
                <w:szCs w:val="21"/>
              </w:rPr>
            </w:pPr>
            <w:r>
              <w:rPr>
                <w:color w:val="auto"/>
                <w:sz w:val="21"/>
                <w:szCs w:val="21"/>
              </w:rPr>
              <w:t>序号</w:t>
            </w:r>
          </w:p>
        </w:tc>
        <w:tc>
          <w:tcPr>
            <w:tcW w:w="1354" w:type="pct"/>
            <w:vMerge w:val="restart"/>
            <w:vAlign w:val="center"/>
          </w:tcPr>
          <w:p w14:paraId="2B9D9C29">
            <w:pPr>
              <w:autoSpaceDE w:val="0"/>
              <w:autoSpaceDN w:val="0"/>
              <w:spacing w:line="360" w:lineRule="exact"/>
              <w:ind w:firstLine="0" w:firstLineChars="0"/>
              <w:jc w:val="center"/>
              <w:rPr>
                <w:color w:val="auto"/>
                <w:sz w:val="21"/>
                <w:szCs w:val="21"/>
              </w:rPr>
            </w:pPr>
            <w:r>
              <w:rPr>
                <w:color w:val="auto"/>
                <w:sz w:val="21"/>
                <w:szCs w:val="21"/>
              </w:rPr>
              <w:t>水厂名称</w:t>
            </w:r>
          </w:p>
        </w:tc>
        <w:tc>
          <w:tcPr>
            <w:tcW w:w="2959" w:type="pct"/>
            <w:gridSpan w:val="3"/>
            <w:tcBorders>
              <w:left w:val="single" w:color="auto" w:sz="4" w:space="0"/>
            </w:tcBorders>
            <w:vAlign w:val="center"/>
          </w:tcPr>
          <w:p w14:paraId="03F9B472">
            <w:pPr>
              <w:autoSpaceDE w:val="0"/>
              <w:autoSpaceDN w:val="0"/>
              <w:spacing w:line="360" w:lineRule="exact"/>
              <w:ind w:firstLine="0" w:firstLineChars="0"/>
              <w:jc w:val="center"/>
              <w:rPr>
                <w:color w:val="auto"/>
                <w:sz w:val="21"/>
                <w:szCs w:val="21"/>
              </w:rPr>
            </w:pPr>
            <w:r>
              <w:rPr>
                <w:color w:val="auto"/>
                <w:sz w:val="21"/>
                <w:szCs w:val="21"/>
              </w:rPr>
              <w:t>规划2025年</w:t>
            </w:r>
          </w:p>
        </w:tc>
      </w:tr>
      <w:tr w14:paraId="3756F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85" w:type="pct"/>
            <w:vMerge w:val="continue"/>
            <w:vAlign w:val="center"/>
          </w:tcPr>
          <w:p w14:paraId="0D23F7AC">
            <w:pPr>
              <w:autoSpaceDE w:val="0"/>
              <w:autoSpaceDN w:val="0"/>
              <w:spacing w:line="360" w:lineRule="exact"/>
              <w:ind w:firstLine="0" w:firstLineChars="0"/>
              <w:jc w:val="center"/>
              <w:rPr>
                <w:color w:val="auto"/>
                <w:sz w:val="21"/>
                <w:szCs w:val="21"/>
              </w:rPr>
            </w:pPr>
          </w:p>
        </w:tc>
        <w:tc>
          <w:tcPr>
            <w:tcW w:w="1354" w:type="pct"/>
            <w:vMerge w:val="continue"/>
            <w:vAlign w:val="center"/>
          </w:tcPr>
          <w:p w14:paraId="5E65F7C2">
            <w:pPr>
              <w:autoSpaceDE w:val="0"/>
              <w:autoSpaceDN w:val="0"/>
              <w:spacing w:line="360" w:lineRule="exact"/>
              <w:ind w:firstLine="0" w:firstLineChars="0"/>
              <w:jc w:val="center"/>
              <w:rPr>
                <w:color w:val="auto"/>
                <w:sz w:val="21"/>
                <w:szCs w:val="21"/>
              </w:rPr>
            </w:pPr>
          </w:p>
        </w:tc>
        <w:tc>
          <w:tcPr>
            <w:tcW w:w="987" w:type="pct"/>
            <w:tcBorders>
              <w:left w:val="single" w:color="auto" w:sz="4" w:space="0"/>
            </w:tcBorders>
            <w:vAlign w:val="center"/>
          </w:tcPr>
          <w:p w14:paraId="24825BF1">
            <w:pPr>
              <w:autoSpaceDE w:val="0"/>
              <w:autoSpaceDN w:val="0"/>
              <w:spacing w:line="360" w:lineRule="exact"/>
              <w:ind w:firstLine="0" w:firstLineChars="0"/>
              <w:jc w:val="center"/>
              <w:rPr>
                <w:color w:val="auto"/>
                <w:sz w:val="21"/>
                <w:szCs w:val="21"/>
              </w:rPr>
            </w:pPr>
            <w:r>
              <w:rPr>
                <w:color w:val="auto"/>
                <w:sz w:val="21"/>
                <w:szCs w:val="21"/>
              </w:rPr>
              <w:t>处理规模</w:t>
            </w:r>
          </w:p>
        </w:tc>
        <w:tc>
          <w:tcPr>
            <w:tcW w:w="987" w:type="pct"/>
            <w:vAlign w:val="center"/>
          </w:tcPr>
          <w:p w14:paraId="12235766">
            <w:pPr>
              <w:autoSpaceDE w:val="0"/>
              <w:autoSpaceDN w:val="0"/>
              <w:spacing w:line="360" w:lineRule="exact"/>
              <w:ind w:firstLine="0" w:firstLineChars="0"/>
              <w:jc w:val="center"/>
              <w:rPr>
                <w:color w:val="auto"/>
                <w:sz w:val="21"/>
                <w:szCs w:val="21"/>
              </w:rPr>
            </w:pPr>
            <w:r>
              <w:rPr>
                <w:color w:val="auto"/>
                <w:sz w:val="21"/>
                <w:szCs w:val="21"/>
              </w:rPr>
              <w:t>外调水量</w:t>
            </w:r>
          </w:p>
        </w:tc>
        <w:tc>
          <w:tcPr>
            <w:tcW w:w="983" w:type="pct"/>
            <w:vAlign w:val="center"/>
          </w:tcPr>
          <w:p w14:paraId="11BCA384">
            <w:pPr>
              <w:autoSpaceDE w:val="0"/>
              <w:autoSpaceDN w:val="0"/>
              <w:spacing w:line="360" w:lineRule="exact"/>
              <w:ind w:firstLine="0" w:firstLineChars="0"/>
              <w:jc w:val="center"/>
              <w:rPr>
                <w:color w:val="auto"/>
                <w:sz w:val="21"/>
                <w:szCs w:val="21"/>
              </w:rPr>
            </w:pPr>
            <w:r>
              <w:rPr>
                <w:color w:val="auto"/>
                <w:sz w:val="21"/>
                <w:szCs w:val="21"/>
              </w:rPr>
              <w:t>中部片区供水规模</w:t>
            </w:r>
          </w:p>
        </w:tc>
      </w:tr>
      <w:tr w14:paraId="44C03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3CCA7E05">
            <w:pPr>
              <w:autoSpaceDE w:val="0"/>
              <w:autoSpaceDN w:val="0"/>
              <w:spacing w:line="360" w:lineRule="exact"/>
              <w:ind w:firstLine="0" w:firstLineChars="0"/>
              <w:jc w:val="center"/>
              <w:rPr>
                <w:color w:val="auto"/>
                <w:sz w:val="21"/>
                <w:szCs w:val="21"/>
              </w:rPr>
            </w:pPr>
            <w:r>
              <w:rPr>
                <w:color w:val="auto"/>
                <w:sz w:val="21"/>
                <w:szCs w:val="21"/>
              </w:rPr>
              <w:t>1</w:t>
            </w:r>
          </w:p>
        </w:tc>
        <w:tc>
          <w:tcPr>
            <w:tcW w:w="1354" w:type="pct"/>
            <w:vAlign w:val="center"/>
          </w:tcPr>
          <w:p w14:paraId="33AC7E9E">
            <w:pPr>
              <w:autoSpaceDE w:val="0"/>
              <w:autoSpaceDN w:val="0"/>
              <w:spacing w:line="360" w:lineRule="exact"/>
              <w:ind w:firstLine="0" w:firstLineChars="0"/>
              <w:jc w:val="center"/>
              <w:rPr>
                <w:color w:val="auto"/>
                <w:sz w:val="21"/>
                <w:szCs w:val="21"/>
              </w:rPr>
            </w:pPr>
            <w:r>
              <w:rPr>
                <w:color w:val="auto"/>
                <w:sz w:val="21"/>
                <w:szCs w:val="21"/>
              </w:rPr>
              <w:t>井口水厂</w:t>
            </w:r>
          </w:p>
        </w:tc>
        <w:tc>
          <w:tcPr>
            <w:tcW w:w="987" w:type="pct"/>
            <w:vAlign w:val="center"/>
          </w:tcPr>
          <w:p w14:paraId="6380E292">
            <w:pPr>
              <w:autoSpaceDE w:val="0"/>
              <w:autoSpaceDN w:val="0"/>
              <w:spacing w:line="360" w:lineRule="exact"/>
              <w:ind w:firstLine="0" w:firstLineChars="0"/>
              <w:jc w:val="center"/>
              <w:rPr>
                <w:color w:val="auto"/>
                <w:sz w:val="21"/>
                <w:szCs w:val="21"/>
              </w:rPr>
            </w:pPr>
            <w:r>
              <w:rPr>
                <w:color w:val="auto"/>
                <w:sz w:val="21"/>
                <w:szCs w:val="21"/>
              </w:rPr>
              <w:t>40</w:t>
            </w:r>
          </w:p>
        </w:tc>
        <w:tc>
          <w:tcPr>
            <w:tcW w:w="987" w:type="pct"/>
            <w:vAlign w:val="center"/>
          </w:tcPr>
          <w:p w14:paraId="52A91D82">
            <w:pPr>
              <w:autoSpaceDE w:val="0"/>
              <w:autoSpaceDN w:val="0"/>
              <w:spacing w:line="360" w:lineRule="exact"/>
              <w:ind w:firstLine="0" w:firstLineChars="0"/>
              <w:jc w:val="center"/>
              <w:rPr>
                <w:color w:val="auto"/>
                <w:sz w:val="21"/>
                <w:szCs w:val="21"/>
              </w:rPr>
            </w:pPr>
            <w:r>
              <w:rPr>
                <w:color w:val="auto"/>
                <w:sz w:val="21"/>
                <w:szCs w:val="21"/>
              </w:rPr>
              <w:t>21.5</w:t>
            </w:r>
          </w:p>
        </w:tc>
        <w:tc>
          <w:tcPr>
            <w:tcW w:w="983" w:type="pct"/>
            <w:vAlign w:val="center"/>
          </w:tcPr>
          <w:p w14:paraId="09782920">
            <w:pPr>
              <w:autoSpaceDE w:val="0"/>
              <w:autoSpaceDN w:val="0"/>
              <w:spacing w:line="360" w:lineRule="exact"/>
              <w:ind w:firstLine="0" w:firstLineChars="0"/>
              <w:jc w:val="center"/>
              <w:rPr>
                <w:color w:val="auto"/>
                <w:sz w:val="21"/>
                <w:szCs w:val="21"/>
              </w:rPr>
            </w:pPr>
            <w:r>
              <w:rPr>
                <w:color w:val="auto"/>
                <w:sz w:val="21"/>
                <w:szCs w:val="21"/>
              </w:rPr>
              <w:t>18.5</w:t>
            </w:r>
          </w:p>
        </w:tc>
      </w:tr>
      <w:tr w14:paraId="3C02F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721BCE1E">
            <w:pPr>
              <w:autoSpaceDE w:val="0"/>
              <w:autoSpaceDN w:val="0"/>
              <w:spacing w:line="360" w:lineRule="exact"/>
              <w:ind w:firstLine="0" w:firstLineChars="0"/>
              <w:jc w:val="center"/>
              <w:rPr>
                <w:color w:val="auto"/>
                <w:sz w:val="21"/>
                <w:szCs w:val="21"/>
              </w:rPr>
            </w:pPr>
            <w:r>
              <w:rPr>
                <w:color w:val="auto"/>
                <w:sz w:val="21"/>
                <w:szCs w:val="21"/>
              </w:rPr>
              <w:t>2</w:t>
            </w:r>
          </w:p>
        </w:tc>
        <w:tc>
          <w:tcPr>
            <w:tcW w:w="1354" w:type="pct"/>
            <w:vAlign w:val="center"/>
          </w:tcPr>
          <w:p w14:paraId="6DC805EE">
            <w:pPr>
              <w:autoSpaceDE w:val="0"/>
              <w:autoSpaceDN w:val="0"/>
              <w:spacing w:line="360" w:lineRule="exact"/>
              <w:ind w:firstLine="0" w:firstLineChars="0"/>
              <w:jc w:val="center"/>
              <w:rPr>
                <w:color w:val="auto"/>
                <w:sz w:val="21"/>
                <w:szCs w:val="21"/>
              </w:rPr>
            </w:pPr>
            <w:r>
              <w:rPr>
                <w:color w:val="auto"/>
                <w:sz w:val="21"/>
                <w:szCs w:val="21"/>
              </w:rPr>
              <w:t>丰收坝水厂</w:t>
            </w:r>
          </w:p>
        </w:tc>
        <w:tc>
          <w:tcPr>
            <w:tcW w:w="987" w:type="pct"/>
            <w:vAlign w:val="center"/>
          </w:tcPr>
          <w:p w14:paraId="535FDAA1">
            <w:pPr>
              <w:autoSpaceDE w:val="0"/>
              <w:autoSpaceDN w:val="0"/>
              <w:spacing w:line="360" w:lineRule="exact"/>
              <w:ind w:firstLine="0" w:firstLineChars="0"/>
              <w:jc w:val="center"/>
              <w:rPr>
                <w:color w:val="auto"/>
                <w:sz w:val="21"/>
                <w:szCs w:val="21"/>
              </w:rPr>
            </w:pPr>
            <w:r>
              <w:rPr>
                <w:color w:val="auto"/>
                <w:sz w:val="21"/>
                <w:szCs w:val="21"/>
              </w:rPr>
              <w:t>40</w:t>
            </w:r>
          </w:p>
        </w:tc>
        <w:tc>
          <w:tcPr>
            <w:tcW w:w="987" w:type="pct"/>
            <w:vAlign w:val="center"/>
          </w:tcPr>
          <w:p w14:paraId="48515B67">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644DE6F6">
            <w:pPr>
              <w:autoSpaceDE w:val="0"/>
              <w:autoSpaceDN w:val="0"/>
              <w:spacing w:line="360" w:lineRule="exact"/>
              <w:ind w:firstLine="0" w:firstLineChars="0"/>
              <w:jc w:val="center"/>
              <w:rPr>
                <w:color w:val="auto"/>
                <w:sz w:val="21"/>
                <w:szCs w:val="21"/>
              </w:rPr>
            </w:pPr>
            <w:r>
              <w:rPr>
                <w:color w:val="auto"/>
                <w:sz w:val="21"/>
                <w:szCs w:val="21"/>
              </w:rPr>
              <w:t>40</w:t>
            </w:r>
          </w:p>
        </w:tc>
      </w:tr>
      <w:tr w14:paraId="400A9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2DBB50AA">
            <w:pPr>
              <w:autoSpaceDE w:val="0"/>
              <w:autoSpaceDN w:val="0"/>
              <w:spacing w:line="360" w:lineRule="exact"/>
              <w:ind w:firstLine="0" w:firstLineChars="0"/>
              <w:jc w:val="center"/>
              <w:rPr>
                <w:color w:val="auto"/>
                <w:sz w:val="21"/>
                <w:szCs w:val="21"/>
              </w:rPr>
            </w:pPr>
            <w:r>
              <w:rPr>
                <w:color w:val="auto"/>
                <w:sz w:val="21"/>
                <w:szCs w:val="21"/>
              </w:rPr>
              <w:t>3</w:t>
            </w:r>
          </w:p>
        </w:tc>
        <w:tc>
          <w:tcPr>
            <w:tcW w:w="1354" w:type="pct"/>
            <w:vAlign w:val="center"/>
          </w:tcPr>
          <w:p w14:paraId="05D1C99E">
            <w:pPr>
              <w:autoSpaceDE w:val="0"/>
              <w:autoSpaceDN w:val="0"/>
              <w:spacing w:line="360" w:lineRule="exact"/>
              <w:ind w:firstLine="0" w:firstLineChars="0"/>
              <w:jc w:val="center"/>
              <w:rPr>
                <w:color w:val="auto"/>
                <w:sz w:val="21"/>
                <w:szCs w:val="21"/>
              </w:rPr>
            </w:pPr>
            <w:r>
              <w:rPr>
                <w:color w:val="auto"/>
                <w:sz w:val="21"/>
                <w:szCs w:val="21"/>
              </w:rPr>
              <w:t>和尚山水厂</w:t>
            </w:r>
          </w:p>
        </w:tc>
        <w:tc>
          <w:tcPr>
            <w:tcW w:w="987" w:type="pct"/>
            <w:vAlign w:val="center"/>
          </w:tcPr>
          <w:p w14:paraId="5853866A">
            <w:pPr>
              <w:autoSpaceDE w:val="0"/>
              <w:autoSpaceDN w:val="0"/>
              <w:spacing w:line="360" w:lineRule="exact"/>
              <w:ind w:firstLine="0" w:firstLineChars="0"/>
              <w:jc w:val="center"/>
              <w:rPr>
                <w:color w:val="auto"/>
                <w:sz w:val="21"/>
                <w:szCs w:val="21"/>
              </w:rPr>
            </w:pPr>
            <w:r>
              <w:rPr>
                <w:color w:val="auto"/>
                <w:sz w:val="21"/>
                <w:szCs w:val="21"/>
              </w:rPr>
              <w:t>35</w:t>
            </w:r>
          </w:p>
        </w:tc>
        <w:tc>
          <w:tcPr>
            <w:tcW w:w="987" w:type="pct"/>
            <w:vAlign w:val="center"/>
          </w:tcPr>
          <w:p w14:paraId="47C496BB">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62FBD0A6">
            <w:pPr>
              <w:autoSpaceDE w:val="0"/>
              <w:autoSpaceDN w:val="0"/>
              <w:spacing w:line="360" w:lineRule="exact"/>
              <w:ind w:firstLine="0" w:firstLineChars="0"/>
              <w:jc w:val="center"/>
              <w:rPr>
                <w:color w:val="auto"/>
                <w:sz w:val="21"/>
                <w:szCs w:val="21"/>
              </w:rPr>
            </w:pPr>
            <w:r>
              <w:rPr>
                <w:color w:val="auto"/>
                <w:sz w:val="21"/>
                <w:szCs w:val="21"/>
              </w:rPr>
              <w:t>35</w:t>
            </w:r>
          </w:p>
        </w:tc>
      </w:tr>
      <w:tr w14:paraId="3FE66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31788290">
            <w:pPr>
              <w:autoSpaceDE w:val="0"/>
              <w:autoSpaceDN w:val="0"/>
              <w:spacing w:line="360" w:lineRule="exact"/>
              <w:ind w:firstLine="0" w:firstLineChars="0"/>
              <w:jc w:val="center"/>
              <w:rPr>
                <w:color w:val="auto"/>
                <w:sz w:val="21"/>
                <w:szCs w:val="21"/>
              </w:rPr>
            </w:pPr>
            <w:r>
              <w:rPr>
                <w:color w:val="auto"/>
                <w:sz w:val="21"/>
                <w:szCs w:val="21"/>
              </w:rPr>
              <w:t>4</w:t>
            </w:r>
          </w:p>
        </w:tc>
        <w:tc>
          <w:tcPr>
            <w:tcW w:w="1354" w:type="pct"/>
            <w:vAlign w:val="center"/>
          </w:tcPr>
          <w:p w14:paraId="6B7F8798">
            <w:pPr>
              <w:autoSpaceDE w:val="0"/>
              <w:autoSpaceDN w:val="0"/>
              <w:spacing w:line="360" w:lineRule="exact"/>
              <w:ind w:firstLine="0" w:firstLineChars="0"/>
              <w:jc w:val="center"/>
              <w:rPr>
                <w:color w:val="auto"/>
                <w:sz w:val="21"/>
                <w:szCs w:val="21"/>
              </w:rPr>
            </w:pPr>
            <w:r>
              <w:rPr>
                <w:color w:val="auto"/>
                <w:sz w:val="21"/>
                <w:szCs w:val="21"/>
              </w:rPr>
              <w:t>高家花园水厂</w:t>
            </w:r>
          </w:p>
        </w:tc>
        <w:tc>
          <w:tcPr>
            <w:tcW w:w="987" w:type="pct"/>
            <w:vAlign w:val="center"/>
          </w:tcPr>
          <w:p w14:paraId="3A1B1002">
            <w:pPr>
              <w:autoSpaceDE w:val="0"/>
              <w:autoSpaceDN w:val="0"/>
              <w:spacing w:line="360" w:lineRule="exact"/>
              <w:ind w:firstLine="0" w:firstLineChars="0"/>
              <w:jc w:val="center"/>
              <w:rPr>
                <w:color w:val="auto"/>
                <w:sz w:val="21"/>
                <w:szCs w:val="21"/>
              </w:rPr>
            </w:pPr>
            <w:r>
              <w:rPr>
                <w:color w:val="auto"/>
                <w:sz w:val="21"/>
                <w:szCs w:val="21"/>
              </w:rPr>
              <w:t>20</w:t>
            </w:r>
          </w:p>
        </w:tc>
        <w:tc>
          <w:tcPr>
            <w:tcW w:w="987" w:type="pct"/>
            <w:vAlign w:val="center"/>
          </w:tcPr>
          <w:p w14:paraId="4C071680">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5B5A0014">
            <w:pPr>
              <w:autoSpaceDE w:val="0"/>
              <w:autoSpaceDN w:val="0"/>
              <w:spacing w:line="360" w:lineRule="exact"/>
              <w:ind w:firstLine="0" w:firstLineChars="0"/>
              <w:jc w:val="center"/>
              <w:rPr>
                <w:color w:val="auto"/>
                <w:sz w:val="21"/>
                <w:szCs w:val="21"/>
              </w:rPr>
            </w:pPr>
            <w:r>
              <w:rPr>
                <w:color w:val="auto"/>
                <w:sz w:val="21"/>
                <w:szCs w:val="21"/>
              </w:rPr>
              <w:t>20</w:t>
            </w:r>
          </w:p>
        </w:tc>
      </w:tr>
      <w:tr w14:paraId="03162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278CD31F">
            <w:pPr>
              <w:autoSpaceDE w:val="0"/>
              <w:autoSpaceDN w:val="0"/>
              <w:spacing w:line="360" w:lineRule="exact"/>
              <w:ind w:firstLine="0" w:firstLineChars="0"/>
              <w:jc w:val="center"/>
              <w:rPr>
                <w:color w:val="auto"/>
                <w:sz w:val="21"/>
                <w:szCs w:val="21"/>
              </w:rPr>
            </w:pPr>
            <w:r>
              <w:rPr>
                <w:color w:val="auto"/>
                <w:sz w:val="21"/>
                <w:szCs w:val="21"/>
              </w:rPr>
              <w:t>5</w:t>
            </w:r>
          </w:p>
        </w:tc>
        <w:tc>
          <w:tcPr>
            <w:tcW w:w="1354" w:type="pct"/>
            <w:vAlign w:val="center"/>
          </w:tcPr>
          <w:p w14:paraId="40BCA2B7">
            <w:pPr>
              <w:autoSpaceDE w:val="0"/>
              <w:autoSpaceDN w:val="0"/>
              <w:spacing w:line="360" w:lineRule="exact"/>
              <w:ind w:firstLine="0" w:firstLineChars="0"/>
              <w:jc w:val="center"/>
              <w:rPr>
                <w:color w:val="auto"/>
                <w:sz w:val="21"/>
                <w:szCs w:val="21"/>
              </w:rPr>
            </w:pPr>
            <w:r>
              <w:rPr>
                <w:color w:val="auto"/>
                <w:sz w:val="21"/>
                <w:szCs w:val="21"/>
              </w:rPr>
              <w:t>大溪沟水厂</w:t>
            </w:r>
          </w:p>
        </w:tc>
        <w:tc>
          <w:tcPr>
            <w:tcW w:w="987" w:type="pct"/>
            <w:vAlign w:val="center"/>
          </w:tcPr>
          <w:p w14:paraId="46B235BB">
            <w:pPr>
              <w:autoSpaceDE w:val="0"/>
              <w:autoSpaceDN w:val="0"/>
              <w:spacing w:line="360" w:lineRule="exact"/>
              <w:ind w:firstLine="0" w:firstLineChars="0"/>
              <w:jc w:val="center"/>
              <w:rPr>
                <w:color w:val="auto"/>
                <w:sz w:val="21"/>
                <w:szCs w:val="21"/>
              </w:rPr>
            </w:pPr>
            <w:r>
              <w:rPr>
                <w:color w:val="auto"/>
                <w:sz w:val="21"/>
                <w:szCs w:val="21"/>
              </w:rPr>
              <w:t>6</w:t>
            </w:r>
          </w:p>
        </w:tc>
        <w:tc>
          <w:tcPr>
            <w:tcW w:w="987" w:type="pct"/>
            <w:vAlign w:val="center"/>
          </w:tcPr>
          <w:p w14:paraId="6B5CCFFB">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4E751297">
            <w:pPr>
              <w:autoSpaceDE w:val="0"/>
              <w:autoSpaceDN w:val="0"/>
              <w:spacing w:line="360" w:lineRule="exact"/>
              <w:ind w:firstLine="0" w:firstLineChars="0"/>
              <w:jc w:val="center"/>
              <w:rPr>
                <w:color w:val="auto"/>
                <w:sz w:val="21"/>
                <w:szCs w:val="21"/>
              </w:rPr>
            </w:pPr>
            <w:r>
              <w:rPr>
                <w:color w:val="auto"/>
                <w:sz w:val="21"/>
                <w:szCs w:val="21"/>
              </w:rPr>
              <w:t>6</w:t>
            </w:r>
          </w:p>
        </w:tc>
      </w:tr>
      <w:tr w14:paraId="37A15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7B3ABAF3">
            <w:pPr>
              <w:autoSpaceDE w:val="0"/>
              <w:autoSpaceDN w:val="0"/>
              <w:spacing w:line="360" w:lineRule="exact"/>
              <w:ind w:firstLine="0" w:firstLineChars="0"/>
              <w:jc w:val="center"/>
              <w:rPr>
                <w:color w:val="auto"/>
                <w:sz w:val="21"/>
                <w:szCs w:val="21"/>
              </w:rPr>
            </w:pPr>
            <w:r>
              <w:rPr>
                <w:color w:val="auto"/>
                <w:sz w:val="21"/>
                <w:szCs w:val="21"/>
              </w:rPr>
              <w:t>6</w:t>
            </w:r>
          </w:p>
        </w:tc>
        <w:tc>
          <w:tcPr>
            <w:tcW w:w="1354" w:type="pct"/>
            <w:vAlign w:val="center"/>
          </w:tcPr>
          <w:p w14:paraId="3304B34E">
            <w:pPr>
              <w:autoSpaceDE w:val="0"/>
              <w:autoSpaceDN w:val="0"/>
              <w:spacing w:line="360" w:lineRule="exact"/>
              <w:ind w:firstLine="0" w:firstLineChars="0"/>
              <w:jc w:val="center"/>
              <w:rPr>
                <w:color w:val="auto"/>
                <w:sz w:val="21"/>
                <w:szCs w:val="21"/>
              </w:rPr>
            </w:pPr>
            <w:r>
              <w:rPr>
                <w:color w:val="auto"/>
                <w:sz w:val="21"/>
                <w:szCs w:val="21"/>
              </w:rPr>
              <w:t>打枪坝水厂</w:t>
            </w:r>
          </w:p>
        </w:tc>
        <w:tc>
          <w:tcPr>
            <w:tcW w:w="987" w:type="pct"/>
            <w:vAlign w:val="center"/>
          </w:tcPr>
          <w:p w14:paraId="0E85CA75">
            <w:pPr>
              <w:autoSpaceDE w:val="0"/>
              <w:autoSpaceDN w:val="0"/>
              <w:spacing w:line="360" w:lineRule="exact"/>
              <w:ind w:firstLine="0" w:firstLineChars="0"/>
              <w:jc w:val="center"/>
              <w:rPr>
                <w:color w:val="auto"/>
                <w:sz w:val="21"/>
                <w:szCs w:val="21"/>
              </w:rPr>
            </w:pPr>
            <w:r>
              <w:rPr>
                <w:color w:val="auto"/>
                <w:sz w:val="21"/>
                <w:szCs w:val="21"/>
              </w:rPr>
              <w:t>4</w:t>
            </w:r>
          </w:p>
        </w:tc>
        <w:tc>
          <w:tcPr>
            <w:tcW w:w="987" w:type="pct"/>
            <w:vAlign w:val="center"/>
          </w:tcPr>
          <w:p w14:paraId="7012AD3C">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68C3D501">
            <w:pPr>
              <w:autoSpaceDE w:val="0"/>
              <w:autoSpaceDN w:val="0"/>
              <w:spacing w:line="360" w:lineRule="exact"/>
              <w:ind w:firstLine="0" w:firstLineChars="0"/>
              <w:jc w:val="center"/>
              <w:rPr>
                <w:color w:val="auto"/>
                <w:sz w:val="21"/>
                <w:szCs w:val="21"/>
              </w:rPr>
            </w:pPr>
            <w:r>
              <w:rPr>
                <w:color w:val="auto"/>
                <w:sz w:val="21"/>
                <w:szCs w:val="21"/>
              </w:rPr>
              <w:t>4</w:t>
            </w:r>
          </w:p>
        </w:tc>
      </w:tr>
      <w:tr w14:paraId="0A25C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4591D4CD">
            <w:pPr>
              <w:autoSpaceDE w:val="0"/>
              <w:autoSpaceDN w:val="0"/>
              <w:spacing w:line="360" w:lineRule="exact"/>
              <w:ind w:firstLine="0" w:firstLineChars="0"/>
              <w:jc w:val="center"/>
              <w:rPr>
                <w:color w:val="auto"/>
                <w:sz w:val="21"/>
                <w:szCs w:val="21"/>
              </w:rPr>
            </w:pPr>
            <w:r>
              <w:rPr>
                <w:color w:val="auto"/>
                <w:sz w:val="21"/>
                <w:szCs w:val="21"/>
              </w:rPr>
              <w:t>7</w:t>
            </w:r>
          </w:p>
        </w:tc>
        <w:tc>
          <w:tcPr>
            <w:tcW w:w="1354" w:type="pct"/>
            <w:vAlign w:val="center"/>
          </w:tcPr>
          <w:p w14:paraId="05EF6F1C">
            <w:pPr>
              <w:autoSpaceDE w:val="0"/>
              <w:autoSpaceDN w:val="0"/>
              <w:spacing w:line="360" w:lineRule="exact"/>
              <w:ind w:firstLine="0" w:firstLineChars="0"/>
              <w:jc w:val="center"/>
              <w:rPr>
                <w:color w:val="auto"/>
                <w:sz w:val="21"/>
                <w:szCs w:val="21"/>
              </w:rPr>
            </w:pPr>
            <w:r>
              <w:rPr>
                <w:color w:val="auto"/>
                <w:sz w:val="21"/>
                <w:szCs w:val="21"/>
              </w:rPr>
              <w:t>汉渝路水厂</w:t>
            </w:r>
          </w:p>
        </w:tc>
        <w:tc>
          <w:tcPr>
            <w:tcW w:w="987" w:type="pct"/>
            <w:vAlign w:val="center"/>
          </w:tcPr>
          <w:p w14:paraId="4622F8A4">
            <w:pPr>
              <w:autoSpaceDE w:val="0"/>
              <w:autoSpaceDN w:val="0"/>
              <w:spacing w:line="360" w:lineRule="exact"/>
              <w:ind w:firstLine="0" w:firstLineChars="0"/>
              <w:jc w:val="center"/>
              <w:rPr>
                <w:color w:val="auto"/>
                <w:sz w:val="21"/>
                <w:szCs w:val="21"/>
              </w:rPr>
            </w:pPr>
            <w:r>
              <w:rPr>
                <w:color w:val="auto"/>
                <w:sz w:val="21"/>
                <w:szCs w:val="21"/>
              </w:rPr>
              <w:t>0</w:t>
            </w:r>
          </w:p>
        </w:tc>
        <w:tc>
          <w:tcPr>
            <w:tcW w:w="987" w:type="pct"/>
            <w:vAlign w:val="center"/>
          </w:tcPr>
          <w:p w14:paraId="7F97ACAE">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6F8BB0A7">
            <w:pPr>
              <w:autoSpaceDE w:val="0"/>
              <w:autoSpaceDN w:val="0"/>
              <w:spacing w:line="360" w:lineRule="exact"/>
              <w:ind w:firstLine="0" w:firstLineChars="0"/>
              <w:jc w:val="center"/>
              <w:rPr>
                <w:color w:val="auto"/>
                <w:sz w:val="21"/>
                <w:szCs w:val="21"/>
              </w:rPr>
            </w:pPr>
            <w:r>
              <w:rPr>
                <w:color w:val="auto"/>
                <w:sz w:val="21"/>
                <w:szCs w:val="21"/>
              </w:rPr>
              <w:t>0</w:t>
            </w:r>
          </w:p>
        </w:tc>
      </w:tr>
      <w:tr w14:paraId="47156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pct"/>
            <w:vAlign w:val="center"/>
          </w:tcPr>
          <w:p w14:paraId="2934B70A">
            <w:pPr>
              <w:autoSpaceDE w:val="0"/>
              <w:autoSpaceDN w:val="0"/>
              <w:spacing w:line="360" w:lineRule="exact"/>
              <w:ind w:firstLine="0" w:firstLineChars="0"/>
              <w:jc w:val="center"/>
              <w:rPr>
                <w:color w:val="auto"/>
                <w:sz w:val="21"/>
                <w:szCs w:val="21"/>
              </w:rPr>
            </w:pPr>
            <w:r>
              <w:rPr>
                <w:color w:val="auto"/>
                <w:sz w:val="21"/>
                <w:szCs w:val="21"/>
              </w:rPr>
              <w:t>8</w:t>
            </w:r>
          </w:p>
        </w:tc>
        <w:tc>
          <w:tcPr>
            <w:tcW w:w="1354" w:type="pct"/>
            <w:vAlign w:val="center"/>
          </w:tcPr>
          <w:p w14:paraId="53BD7C9A">
            <w:pPr>
              <w:autoSpaceDE w:val="0"/>
              <w:autoSpaceDN w:val="0"/>
              <w:spacing w:line="360" w:lineRule="exact"/>
              <w:ind w:firstLine="0" w:firstLineChars="0"/>
              <w:jc w:val="center"/>
              <w:rPr>
                <w:color w:val="auto"/>
                <w:sz w:val="21"/>
                <w:szCs w:val="21"/>
              </w:rPr>
            </w:pPr>
            <w:r>
              <w:rPr>
                <w:color w:val="auto"/>
                <w:sz w:val="21"/>
                <w:szCs w:val="21"/>
              </w:rPr>
              <w:t>黄沙溪水厂</w:t>
            </w:r>
          </w:p>
        </w:tc>
        <w:tc>
          <w:tcPr>
            <w:tcW w:w="987" w:type="pct"/>
            <w:vAlign w:val="center"/>
          </w:tcPr>
          <w:p w14:paraId="35F9851E">
            <w:pPr>
              <w:autoSpaceDE w:val="0"/>
              <w:autoSpaceDN w:val="0"/>
              <w:spacing w:line="360" w:lineRule="exact"/>
              <w:ind w:firstLine="0" w:firstLineChars="0"/>
              <w:jc w:val="center"/>
              <w:rPr>
                <w:color w:val="auto"/>
                <w:sz w:val="21"/>
                <w:szCs w:val="21"/>
              </w:rPr>
            </w:pPr>
            <w:r>
              <w:rPr>
                <w:color w:val="auto"/>
                <w:sz w:val="21"/>
                <w:szCs w:val="21"/>
              </w:rPr>
              <w:t>0</w:t>
            </w:r>
          </w:p>
        </w:tc>
        <w:tc>
          <w:tcPr>
            <w:tcW w:w="987" w:type="pct"/>
            <w:vAlign w:val="center"/>
          </w:tcPr>
          <w:p w14:paraId="3F0A2798">
            <w:pPr>
              <w:autoSpaceDE w:val="0"/>
              <w:autoSpaceDN w:val="0"/>
              <w:spacing w:line="360" w:lineRule="exact"/>
              <w:ind w:firstLine="0" w:firstLineChars="0"/>
              <w:jc w:val="center"/>
              <w:rPr>
                <w:color w:val="auto"/>
                <w:sz w:val="21"/>
                <w:szCs w:val="21"/>
              </w:rPr>
            </w:pPr>
            <w:r>
              <w:rPr>
                <w:color w:val="auto"/>
                <w:sz w:val="21"/>
                <w:szCs w:val="21"/>
              </w:rPr>
              <w:t>0</w:t>
            </w:r>
          </w:p>
        </w:tc>
        <w:tc>
          <w:tcPr>
            <w:tcW w:w="983" w:type="pct"/>
            <w:vAlign w:val="center"/>
          </w:tcPr>
          <w:p w14:paraId="3C61B986">
            <w:pPr>
              <w:autoSpaceDE w:val="0"/>
              <w:autoSpaceDN w:val="0"/>
              <w:spacing w:line="360" w:lineRule="exact"/>
              <w:ind w:firstLine="0" w:firstLineChars="0"/>
              <w:jc w:val="center"/>
              <w:rPr>
                <w:color w:val="auto"/>
                <w:sz w:val="21"/>
                <w:szCs w:val="21"/>
              </w:rPr>
            </w:pPr>
            <w:r>
              <w:rPr>
                <w:color w:val="auto"/>
                <w:sz w:val="21"/>
                <w:szCs w:val="21"/>
              </w:rPr>
              <w:t>0</w:t>
            </w:r>
          </w:p>
        </w:tc>
      </w:tr>
      <w:tr w14:paraId="1A1C0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0" w:type="pct"/>
            <w:gridSpan w:val="2"/>
            <w:vAlign w:val="center"/>
          </w:tcPr>
          <w:p w14:paraId="1755B66F">
            <w:pPr>
              <w:autoSpaceDE w:val="0"/>
              <w:autoSpaceDN w:val="0"/>
              <w:spacing w:line="360" w:lineRule="exact"/>
              <w:ind w:firstLine="0" w:firstLineChars="0"/>
              <w:jc w:val="center"/>
              <w:rPr>
                <w:color w:val="auto"/>
                <w:sz w:val="21"/>
                <w:szCs w:val="21"/>
              </w:rPr>
            </w:pPr>
            <w:r>
              <w:rPr>
                <w:color w:val="auto"/>
                <w:sz w:val="21"/>
                <w:szCs w:val="21"/>
              </w:rPr>
              <w:t>合计</w:t>
            </w:r>
          </w:p>
        </w:tc>
        <w:tc>
          <w:tcPr>
            <w:tcW w:w="987" w:type="pct"/>
            <w:vAlign w:val="center"/>
          </w:tcPr>
          <w:p w14:paraId="6525B06D">
            <w:pPr>
              <w:autoSpaceDE w:val="0"/>
              <w:autoSpaceDN w:val="0"/>
              <w:spacing w:line="360" w:lineRule="exact"/>
              <w:ind w:firstLine="0" w:firstLineChars="0"/>
              <w:jc w:val="center"/>
              <w:rPr>
                <w:color w:val="auto"/>
                <w:sz w:val="21"/>
                <w:szCs w:val="21"/>
              </w:rPr>
            </w:pPr>
            <w:r>
              <w:rPr>
                <w:color w:val="auto"/>
                <w:sz w:val="21"/>
                <w:szCs w:val="21"/>
              </w:rPr>
              <w:t>145</w:t>
            </w:r>
          </w:p>
        </w:tc>
        <w:tc>
          <w:tcPr>
            <w:tcW w:w="987" w:type="pct"/>
            <w:vAlign w:val="center"/>
          </w:tcPr>
          <w:p w14:paraId="072D95FF">
            <w:pPr>
              <w:autoSpaceDE w:val="0"/>
              <w:autoSpaceDN w:val="0"/>
              <w:spacing w:line="360" w:lineRule="exact"/>
              <w:ind w:firstLine="0" w:firstLineChars="0"/>
              <w:jc w:val="center"/>
              <w:rPr>
                <w:color w:val="auto"/>
                <w:sz w:val="21"/>
                <w:szCs w:val="21"/>
              </w:rPr>
            </w:pPr>
            <w:r>
              <w:rPr>
                <w:color w:val="auto"/>
                <w:sz w:val="21"/>
                <w:szCs w:val="21"/>
              </w:rPr>
              <w:t>21.5</w:t>
            </w:r>
          </w:p>
        </w:tc>
        <w:tc>
          <w:tcPr>
            <w:tcW w:w="983" w:type="pct"/>
            <w:vAlign w:val="center"/>
          </w:tcPr>
          <w:p w14:paraId="4E70A534">
            <w:pPr>
              <w:autoSpaceDE w:val="0"/>
              <w:autoSpaceDN w:val="0"/>
              <w:spacing w:line="360" w:lineRule="exact"/>
              <w:ind w:firstLine="0" w:firstLineChars="0"/>
              <w:jc w:val="center"/>
              <w:rPr>
                <w:color w:val="auto"/>
                <w:sz w:val="21"/>
                <w:szCs w:val="21"/>
              </w:rPr>
            </w:pPr>
            <w:r>
              <w:rPr>
                <w:color w:val="auto"/>
                <w:sz w:val="21"/>
                <w:szCs w:val="21"/>
              </w:rPr>
              <w:t>123.5</w:t>
            </w:r>
          </w:p>
        </w:tc>
      </w:tr>
    </w:tbl>
    <w:p w14:paraId="4178A5B0">
      <w:pPr>
        <w:pStyle w:val="5"/>
        <w:numPr>
          <w:ilvl w:val="0"/>
          <w:numId w:val="0"/>
        </w:numPr>
        <w:spacing w:before="166" w:after="166"/>
        <w:rPr>
          <w:color w:val="auto"/>
        </w:rPr>
      </w:pPr>
      <w:r>
        <w:rPr>
          <w:color w:val="auto"/>
        </w:rPr>
        <w:t>6.2.2西部片区水厂配置</w:t>
      </w:r>
    </w:p>
    <w:p w14:paraId="44380822">
      <w:pPr>
        <w:spacing w:line="560" w:lineRule="exact"/>
        <w:ind w:firstLine="480"/>
        <w:rPr>
          <w:color w:val="auto"/>
        </w:rPr>
      </w:pPr>
      <w:r>
        <w:rPr>
          <w:color w:val="auto"/>
        </w:rPr>
        <w:t>西部片区范围：缙云山与中梁山之间的区域，包含西永组团、北碚组团、西彭组团、走马功能区。</w:t>
      </w:r>
    </w:p>
    <w:p w14:paraId="24280D8B">
      <w:pPr>
        <w:spacing w:line="560" w:lineRule="exact"/>
        <w:ind w:firstLine="480"/>
        <w:rPr>
          <w:color w:val="auto"/>
        </w:rPr>
      </w:pPr>
      <w:r>
        <w:rPr>
          <w:color w:val="auto"/>
        </w:rPr>
        <w:t>西彭组团：由西彭、陶家、巴福、石板、铜罐驿等地区组成。主要的工业发展区，现代制造业基地之一，铝加工基地。积极培育陶家城市副中心。</w:t>
      </w:r>
    </w:p>
    <w:p w14:paraId="136BC211">
      <w:pPr>
        <w:spacing w:line="500" w:lineRule="exact"/>
        <w:ind w:firstLine="480"/>
        <w:rPr>
          <w:b/>
          <w:bCs/>
          <w:color w:val="auto"/>
        </w:rPr>
      </w:pPr>
      <w:r>
        <w:rPr>
          <w:color w:val="auto"/>
        </w:rPr>
        <w:t>根据《重庆市主城区水厂布局规划调整方案》，至2025年</w:t>
      </w:r>
      <w:r>
        <w:rPr>
          <w:rFonts w:hint="eastAsia"/>
          <w:color w:val="auto"/>
        </w:rPr>
        <w:t>西</w:t>
      </w:r>
      <w:r>
        <w:rPr>
          <w:b/>
          <w:bCs/>
          <w:color w:val="auto"/>
        </w:rPr>
        <w:t>部片区</w:t>
      </w:r>
      <w:r>
        <w:rPr>
          <w:rFonts w:hint="eastAsia"/>
          <w:b/>
          <w:bCs/>
          <w:color w:val="auto"/>
        </w:rPr>
        <w:t>水厂</w:t>
      </w:r>
      <w:r>
        <w:rPr>
          <w:b/>
          <w:bCs/>
          <w:color w:val="auto"/>
        </w:rPr>
        <w:t>总处理规模达到</w:t>
      </w:r>
      <w:r>
        <w:rPr>
          <w:rFonts w:hint="eastAsia"/>
          <w:b/>
          <w:bCs/>
          <w:color w:val="auto"/>
        </w:rPr>
        <w:t>80</w:t>
      </w:r>
      <w:r>
        <w:rPr>
          <w:b/>
          <w:bCs/>
          <w:color w:val="auto"/>
        </w:rPr>
        <w:t>万m</w:t>
      </w:r>
      <w:r>
        <w:rPr>
          <w:b/>
          <w:bCs/>
          <w:color w:val="auto"/>
          <w:vertAlign w:val="superscript"/>
        </w:rPr>
        <w:t>3</w:t>
      </w:r>
      <w:r>
        <w:rPr>
          <w:b/>
          <w:bCs/>
          <w:color w:val="auto"/>
        </w:rPr>
        <w:t>/d，可以满足</w:t>
      </w:r>
      <w:r>
        <w:rPr>
          <w:rFonts w:hint="eastAsia"/>
          <w:b/>
          <w:bCs/>
          <w:color w:val="auto"/>
        </w:rPr>
        <w:t>西</w:t>
      </w:r>
      <w:r>
        <w:rPr>
          <w:b/>
          <w:bCs/>
          <w:color w:val="auto"/>
        </w:rPr>
        <w:t>部片区最高日需水量为</w:t>
      </w:r>
      <w:r>
        <w:rPr>
          <w:rFonts w:hint="eastAsia"/>
          <w:b/>
          <w:bCs/>
          <w:color w:val="auto"/>
        </w:rPr>
        <w:t>77.86</w:t>
      </w:r>
      <w:r>
        <w:rPr>
          <w:b/>
          <w:bCs/>
          <w:color w:val="auto"/>
        </w:rPr>
        <w:t>万m</w:t>
      </w:r>
      <w:r>
        <w:rPr>
          <w:b/>
          <w:bCs/>
          <w:color w:val="auto"/>
          <w:vertAlign w:val="superscript"/>
        </w:rPr>
        <w:t>3</w:t>
      </w:r>
      <w:r>
        <w:rPr>
          <w:b/>
          <w:bCs/>
          <w:color w:val="auto"/>
        </w:rPr>
        <w:t>/d的供水要求。</w:t>
      </w:r>
    </w:p>
    <w:p w14:paraId="7B28AFA6">
      <w:pPr>
        <w:pStyle w:val="62"/>
        <w:spacing w:line="560" w:lineRule="exact"/>
        <w:ind w:firstLine="0"/>
        <w:jc w:val="both"/>
        <w:rPr>
          <w:rFonts w:eastAsia="宋体"/>
          <w:color w:val="auto"/>
          <w:sz w:val="24"/>
          <w:szCs w:val="24"/>
        </w:rPr>
      </w:pPr>
      <w:r>
        <w:rPr>
          <w:rFonts w:eastAsia="宋体"/>
          <w:color w:val="auto"/>
          <w:sz w:val="24"/>
          <w:szCs w:val="24"/>
        </w:rPr>
        <w:t>表6.2-</w:t>
      </w:r>
      <w:r>
        <w:rPr>
          <w:rFonts w:hint="eastAsia" w:eastAsia="宋体"/>
          <w:color w:val="auto"/>
          <w:sz w:val="24"/>
          <w:szCs w:val="24"/>
        </w:rPr>
        <w:t>2</w:t>
      </w:r>
      <w:r>
        <w:rPr>
          <w:rFonts w:eastAsia="宋体"/>
          <w:color w:val="auto"/>
          <w:sz w:val="24"/>
          <w:szCs w:val="24"/>
        </w:rPr>
        <w:t xml:space="preserve">              </w:t>
      </w:r>
      <w:r>
        <w:rPr>
          <w:rFonts w:hint="eastAsia" w:eastAsia="宋体"/>
          <w:color w:val="auto"/>
          <w:sz w:val="24"/>
          <w:szCs w:val="24"/>
        </w:rPr>
        <w:t xml:space="preserve">  </w:t>
      </w:r>
      <w:r>
        <w:rPr>
          <w:rFonts w:eastAsia="宋体"/>
          <w:color w:val="auto"/>
          <w:sz w:val="24"/>
          <w:szCs w:val="24"/>
        </w:rPr>
        <w:t>西部片区水厂布局规划方案表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0" w:type="dxa"/>
          <w:right w:w="108" w:type="dxa"/>
        </w:tblCellMar>
      </w:tblPr>
      <w:tblGrid>
        <w:gridCol w:w="1032"/>
        <w:gridCol w:w="2702"/>
        <w:gridCol w:w="1716"/>
        <w:gridCol w:w="2246"/>
        <w:gridCol w:w="1417"/>
      </w:tblGrid>
      <w:tr w14:paraId="44045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66" w:type="pct"/>
            <w:vAlign w:val="center"/>
          </w:tcPr>
          <w:p w14:paraId="59B15536">
            <w:pPr>
              <w:autoSpaceDE w:val="0"/>
              <w:autoSpaceDN w:val="0"/>
              <w:spacing w:line="360" w:lineRule="exact"/>
              <w:ind w:firstLine="0" w:firstLineChars="0"/>
              <w:jc w:val="center"/>
              <w:rPr>
                <w:color w:val="auto"/>
                <w:sz w:val="21"/>
                <w:szCs w:val="21"/>
              </w:rPr>
            </w:pPr>
            <w:r>
              <w:rPr>
                <w:color w:val="auto"/>
                <w:sz w:val="21"/>
                <w:szCs w:val="21"/>
              </w:rPr>
              <w:t>序号</w:t>
            </w:r>
          </w:p>
        </w:tc>
        <w:tc>
          <w:tcPr>
            <w:tcW w:w="1482" w:type="pct"/>
            <w:vAlign w:val="center"/>
          </w:tcPr>
          <w:p w14:paraId="051210CD">
            <w:pPr>
              <w:autoSpaceDE w:val="0"/>
              <w:autoSpaceDN w:val="0"/>
              <w:spacing w:line="360" w:lineRule="exact"/>
              <w:ind w:firstLine="0" w:firstLineChars="0"/>
              <w:jc w:val="center"/>
              <w:rPr>
                <w:color w:val="auto"/>
                <w:sz w:val="21"/>
                <w:szCs w:val="21"/>
              </w:rPr>
            </w:pPr>
            <w:r>
              <w:rPr>
                <w:color w:val="auto"/>
                <w:sz w:val="21"/>
                <w:szCs w:val="21"/>
              </w:rPr>
              <w:t>现状水厂名称</w:t>
            </w:r>
          </w:p>
        </w:tc>
        <w:tc>
          <w:tcPr>
            <w:tcW w:w="941" w:type="pct"/>
            <w:vAlign w:val="center"/>
          </w:tcPr>
          <w:p w14:paraId="25EABBCD">
            <w:pPr>
              <w:autoSpaceDE w:val="0"/>
              <w:autoSpaceDN w:val="0"/>
              <w:spacing w:line="360" w:lineRule="exact"/>
              <w:ind w:firstLine="0" w:firstLineChars="0"/>
              <w:jc w:val="center"/>
              <w:rPr>
                <w:color w:val="auto"/>
                <w:sz w:val="21"/>
                <w:szCs w:val="21"/>
              </w:rPr>
            </w:pPr>
            <w:r>
              <w:rPr>
                <w:color w:val="auto"/>
                <w:sz w:val="21"/>
                <w:szCs w:val="21"/>
              </w:rPr>
              <w:t>水源</w:t>
            </w:r>
          </w:p>
        </w:tc>
        <w:tc>
          <w:tcPr>
            <w:tcW w:w="1232" w:type="pct"/>
            <w:vAlign w:val="center"/>
          </w:tcPr>
          <w:p w14:paraId="79FE1426">
            <w:pPr>
              <w:autoSpaceDE w:val="0"/>
              <w:autoSpaceDN w:val="0"/>
              <w:spacing w:line="360" w:lineRule="exact"/>
              <w:ind w:firstLine="0" w:firstLineChars="0"/>
              <w:jc w:val="center"/>
              <w:rPr>
                <w:color w:val="auto"/>
                <w:sz w:val="21"/>
                <w:szCs w:val="21"/>
              </w:rPr>
            </w:pPr>
            <w:r>
              <w:rPr>
                <w:color w:val="auto"/>
                <w:sz w:val="21"/>
                <w:szCs w:val="21"/>
              </w:rPr>
              <w:t>2025年水厂规模（万m</w:t>
            </w:r>
            <w:r>
              <w:rPr>
                <w:color w:val="auto"/>
                <w:sz w:val="21"/>
                <w:szCs w:val="21"/>
                <w:vertAlign w:val="superscript"/>
              </w:rPr>
              <w:t>3</w:t>
            </w:r>
            <w:r>
              <w:rPr>
                <w:color w:val="auto"/>
                <w:sz w:val="21"/>
                <w:szCs w:val="21"/>
              </w:rPr>
              <w:t>/d</w:t>
            </w:r>
            <w:r>
              <w:rPr>
                <w:rFonts w:hint="eastAsia"/>
                <w:color w:val="auto"/>
                <w:sz w:val="21"/>
                <w:szCs w:val="21"/>
              </w:rPr>
              <w:t>）</w:t>
            </w:r>
          </w:p>
        </w:tc>
        <w:tc>
          <w:tcPr>
            <w:tcW w:w="777" w:type="pct"/>
            <w:vAlign w:val="center"/>
          </w:tcPr>
          <w:p w14:paraId="22A15B28">
            <w:pPr>
              <w:autoSpaceDE w:val="0"/>
              <w:autoSpaceDN w:val="0"/>
              <w:spacing w:line="360" w:lineRule="exact"/>
              <w:ind w:firstLine="0" w:firstLineChars="0"/>
              <w:jc w:val="center"/>
              <w:rPr>
                <w:color w:val="auto"/>
                <w:sz w:val="21"/>
                <w:szCs w:val="21"/>
              </w:rPr>
            </w:pPr>
            <w:r>
              <w:rPr>
                <w:color w:val="auto"/>
                <w:sz w:val="21"/>
                <w:szCs w:val="21"/>
              </w:rPr>
              <w:t>备注</w:t>
            </w:r>
          </w:p>
        </w:tc>
      </w:tr>
      <w:tr w14:paraId="5E477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c>
          <w:tcPr>
            <w:tcW w:w="566" w:type="pct"/>
            <w:vAlign w:val="center"/>
          </w:tcPr>
          <w:p w14:paraId="449ED55D">
            <w:pPr>
              <w:autoSpaceDE w:val="0"/>
              <w:autoSpaceDN w:val="0"/>
              <w:spacing w:line="360" w:lineRule="exact"/>
              <w:ind w:firstLine="0" w:firstLineChars="0"/>
              <w:jc w:val="center"/>
              <w:rPr>
                <w:color w:val="auto"/>
                <w:sz w:val="21"/>
                <w:szCs w:val="21"/>
              </w:rPr>
            </w:pPr>
            <w:r>
              <w:rPr>
                <w:color w:val="auto"/>
                <w:sz w:val="21"/>
                <w:szCs w:val="21"/>
              </w:rPr>
              <w:t>1</w:t>
            </w:r>
          </w:p>
        </w:tc>
        <w:tc>
          <w:tcPr>
            <w:tcW w:w="1482" w:type="pct"/>
            <w:vAlign w:val="center"/>
          </w:tcPr>
          <w:p w14:paraId="6DF5E6A9">
            <w:pPr>
              <w:autoSpaceDE w:val="0"/>
              <w:autoSpaceDN w:val="0"/>
              <w:spacing w:line="360" w:lineRule="exact"/>
              <w:ind w:firstLine="0" w:firstLineChars="0"/>
              <w:jc w:val="center"/>
              <w:rPr>
                <w:color w:val="auto"/>
                <w:sz w:val="21"/>
                <w:szCs w:val="21"/>
              </w:rPr>
            </w:pPr>
            <w:r>
              <w:rPr>
                <w:color w:val="auto"/>
                <w:sz w:val="21"/>
                <w:szCs w:val="21"/>
              </w:rPr>
              <w:t>大学城水厂</w:t>
            </w:r>
          </w:p>
        </w:tc>
        <w:tc>
          <w:tcPr>
            <w:tcW w:w="941" w:type="pct"/>
            <w:vAlign w:val="center"/>
          </w:tcPr>
          <w:p w14:paraId="092D9DCC">
            <w:pPr>
              <w:autoSpaceDE w:val="0"/>
              <w:autoSpaceDN w:val="0"/>
              <w:spacing w:line="360" w:lineRule="exact"/>
              <w:ind w:firstLine="0" w:firstLineChars="0"/>
              <w:jc w:val="center"/>
              <w:rPr>
                <w:color w:val="auto"/>
                <w:sz w:val="21"/>
                <w:szCs w:val="21"/>
              </w:rPr>
            </w:pPr>
            <w:r>
              <w:rPr>
                <w:color w:val="auto"/>
                <w:sz w:val="21"/>
                <w:szCs w:val="21"/>
              </w:rPr>
              <w:t>长江</w:t>
            </w:r>
          </w:p>
        </w:tc>
        <w:tc>
          <w:tcPr>
            <w:tcW w:w="1232" w:type="pct"/>
            <w:vAlign w:val="center"/>
          </w:tcPr>
          <w:p w14:paraId="6A8C5655">
            <w:pPr>
              <w:autoSpaceDE w:val="0"/>
              <w:autoSpaceDN w:val="0"/>
              <w:spacing w:line="360" w:lineRule="exact"/>
              <w:ind w:firstLine="0" w:firstLineChars="0"/>
              <w:jc w:val="center"/>
              <w:rPr>
                <w:color w:val="auto"/>
                <w:sz w:val="21"/>
                <w:szCs w:val="21"/>
              </w:rPr>
            </w:pPr>
            <w:r>
              <w:rPr>
                <w:rFonts w:hint="eastAsia"/>
                <w:color w:val="auto"/>
                <w:sz w:val="21"/>
                <w:szCs w:val="21"/>
              </w:rPr>
              <w:t>20</w:t>
            </w:r>
          </w:p>
        </w:tc>
        <w:tc>
          <w:tcPr>
            <w:tcW w:w="777" w:type="pct"/>
            <w:vAlign w:val="center"/>
          </w:tcPr>
          <w:p w14:paraId="12707460">
            <w:pPr>
              <w:autoSpaceDE w:val="0"/>
              <w:autoSpaceDN w:val="0"/>
              <w:spacing w:line="360" w:lineRule="exact"/>
              <w:ind w:firstLine="0" w:firstLineChars="0"/>
              <w:jc w:val="center"/>
              <w:rPr>
                <w:color w:val="auto"/>
                <w:sz w:val="21"/>
                <w:szCs w:val="21"/>
              </w:rPr>
            </w:pPr>
          </w:p>
        </w:tc>
      </w:tr>
      <w:tr w14:paraId="4AE7F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c>
          <w:tcPr>
            <w:tcW w:w="566" w:type="pct"/>
            <w:vAlign w:val="center"/>
          </w:tcPr>
          <w:p w14:paraId="284B1FB1">
            <w:pPr>
              <w:autoSpaceDE w:val="0"/>
              <w:autoSpaceDN w:val="0"/>
              <w:spacing w:line="360" w:lineRule="exact"/>
              <w:ind w:firstLine="0" w:firstLineChars="0"/>
              <w:jc w:val="center"/>
              <w:rPr>
                <w:color w:val="auto"/>
                <w:sz w:val="21"/>
                <w:szCs w:val="21"/>
              </w:rPr>
            </w:pPr>
            <w:r>
              <w:rPr>
                <w:color w:val="auto"/>
                <w:sz w:val="21"/>
                <w:szCs w:val="21"/>
              </w:rPr>
              <w:t>2</w:t>
            </w:r>
          </w:p>
        </w:tc>
        <w:tc>
          <w:tcPr>
            <w:tcW w:w="1482" w:type="pct"/>
            <w:vAlign w:val="center"/>
          </w:tcPr>
          <w:p w14:paraId="0EE5729D">
            <w:pPr>
              <w:autoSpaceDE w:val="0"/>
              <w:autoSpaceDN w:val="0"/>
              <w:spacing w:line="360" w:lineRule="exact"/>
              <w:ind w:firstLine="0" w:firstLineChars="0"/>
              <w:jc w:val="center"/>
              <w:rPr>
                <w:color w:val="auto"/>
                <w:sz w:val="21"/>
                <w:szCs w:val="21"/>
              </w:rPr>
            </w:pPr>
            <w:r>
              <w:rPr>
                <w:color w:val="auto"/>
                <w:sz w:val="21"/>
                <w:szCs w:val="21"/>
              </w:rPr>
              <w:t>西彭水厂</w:t>
            </w:r>
          </w:p>
        </w:tc>
        <w:tc>
          <w:tcPr>
            <w:tcW w:w="941" w:type="pct"/>
            <w:vAlign w:val="center"/>
          </w:tcPr>
          <w:p w14:paraId="39B64108">
            <w:pPr>
              <w:autoSpaceDE w:val="0"/>
              <w:autoSpaceDN w:val="0"/>
              <w:spacing w:line="360" w:lineRule="exact"/>
              <w:ind w:firstLine="0" w:firstLineChars="0"/>
              <w:jc w:val="center"/>
              <w:rPr>
                <w:color w:val="auto"/>
                <w:sz w:val="21"/>
                <w:szCs w:val="21"/>
              </w:rPr>
            </w:pPr>
            <w:r>
              <w:rPr>
                <w:color w:val="auto"/>
                <w:sz w:val="21"/>
                <w:szCs w:val="21"/>
              </w:rPr>
              <w:t>长江</w:t>
            </w:r>
          </w:p>
        </w:tc>
        <w:tc>
          <w:tcPr>
            <w:tcW w:w="1232" w:type="pct"/>
            <w:vAlign w:val="center"/>
          </w:tcPr>
          <w:p w14:paraId="46D4B153">
            <w:pPr>
              <w:autoSpaceDE w:val="0"/>
              <w:autoSpaceDN w:val="0"/>
              <w:spacing w:line="360" w:lineRule="exact"/>
              <w:ind w:firstLine="0" w:firstLineChars="0"/>
              <w:jc w:val="center"/>
              <w:rPr>
                <w:color w:val="auto"/>
                <w:sz w:val="21"/>
                <w:szCs w:val="21"/>
              </w:rPr>
            </w:pPr>
            <w:r>
              <w:rPr>
                <w:rFonts w:hint="eastAsia"/>
                <w:color w:val="auto"/>
                <w:sz w:val="21"/>
                <w:szCs w:val="21"/>
              </w:rPr>
              <w:t>40</w:t>
            </w:r>
          </w:p>
        </w:tc>
        <w:tc>
          <w:tcPr>
            <w:tcW w:w="777" w:type="pct"/>
            <w:vAlign w:val="center"/>
          </w:tcPr>
          <w:p w14:paraId="25540833">
            <w:pPr>
              <w:autoSpaceDE w:val="0"/>
              <w:autoSpaceDN w:val="0"/>
              <w:spacing w:line="360" w:lineRule="exact"/>
              <w:ind w:firstLine="0" w:firstLineChars="0"/>
              <w:jc w:val="center"/>
              <w:rPr>
                <w:color w:val="auto"/>
                <w:sz w:val="21"/>
                <w:szCs w:val="21"/>
              </w:rPr>
            </w:pPr>
          </w:p>
        </w:tc>
      </w:tr>
      <w:tr w14:paraId="63B22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c>
          <w:tcPr>
            <w:tcW w:w="566" w:type="pct"/>
            <w:vAlign w:val="center"/>
          </w:tcPr>
          <w:p w14:paraId="46200FEA">
            <w:pPr>
              <w:autoSpaceDE w:val="0"/>
              <w:autoSpaceDN w:val="0"/>
              <w:spacing w:line="360" w:lineRule="exact"/>
              <w:ind w:firstLine="0" w:firstLineChars="0"/>
              <w:jc w:val="center"/>
              <w:rPr>
                <w:color w:val="auto"/>
                <w:sz w:val="21"/>
                <w:szCs w:val="21"/>
              </w:rPr>
            </w:pPr>
            <w:r>
              <w:rPr>
                <w:color w:val="auto"/>
                <w:sz w:val="21"/>
                <w:szCs w:val="21"/>
              </w:rPr>
              <w:t>3</w:t>
            </w:r>
          </w:p>
        </w:tc>
        <w:tc>
          <w:tcPr>
            <w:tcW w:w="1482" w:type="pct"/>
            <w:vAlign w:val="center"/>
          </w:tcPr>
          <w:p w14:paraId="76307010">
            <w:pPr>
              <w:autoSpaceDE w:val="0"/>
              <w:autoSpaceDN w:val="0"/>
              <w:spacing w:line="360" w:lineRule="exact"/>
              <w:ind w:firstLine="0" w:firstLineChars="0"/>
              <w:jc w:val="center"/>
              <w:rPr>
                <w:color w:val="auto"/>
                <w:sz w:val="21"/>
                <w:szCs w:val="21"/>
              </w:rPr>
            </w:pPr>
            <w:r>
              <w:rPr>
                <w:color w:val="auto"/>
                <w:sz w:val="21"/>
                <w:szCs w:val="21"/>
              </w:rPr>
              <w:t>红工水厂</w:t>
            </w:r>
          </w:p>
        </w:tc>
        <w:tc>
          <w:tcPr>
            <w:tcW w:w="941" w:type="pct"/>
            <w:vAlign w:val="center"/>
          </w:tcPr>
          <w:p w14:paraId="4BD2D7D6">
            <w:pPr>
              <w:autoSpaceDE w:val="0"/>
              <w:autoSpaceDN w:val="0"/>
              <w:spacing w:line="360" w:lineRule="exact"/>
              <w:ind w:firstLine="0" w:firstLineChars="0"/>
              <w:jc w:val="center"/>
              <w:rPr>
                <w:color w:val="auto"/>
                <w:sz w:val="21"/>
                <w:szCs w:val="21"/>
              </w:rPr>
            </w:pPr>
            <w:r>
              <w:rPr>
                <w:color w:val="auto"/>
                <w:sz w:val="21"/>
                <w:szCs w:val="21"/>
              </w:rPr>
              <w:t>嘉陵江</w:t>
            </w:r>
          </w:p>
        </w:tc>
        <w:tc>
          <w:tcPr>
            <w:tcW w:w="1232" w:type="pct"/>
            <w:vAlign w:val="center"/>
          </w:tcPr>
          <w:p w14:paraId="67FA8E76">
            <w:pPr>
              <w:autoSpaceDE w:val="0"/>
              <w:autoSpaceDN w:val="0"/>
              <w:spacing w:line="360" w:lineRule="exact"/>
              <w:ind w:firstLine="0" w:firstLineChars="0"/>
              <w:jc w:val="center"/>
              <w:rPr>
                <w:color w:val="auto"/>
                <w:sz w:val="21"/>
                <w:szCs w:val="21"/>
              </w:rPr>
            </w:pPr>
            <w:r>
              <w:rPr>
                <w:rFonts w:hint="eastAsia"/>
                <w:color w:val="auto"/>
                <w:sz w:val="21"/>
                <w:szCs w:val="21"/>
              </w:rPr>
              <w:t>20</w:t>
            </w:r>
          </w:p>
        </w:tc>
        <w:tc>
          <w:tcPr>
            <w:tcW w:w="777" w:type="pct"/>
            <w:vAlign w:val="center"/>
          </w:tcPr>
          <w:p w14:paraId="54137374">
            <w:pPr>
              <w:autoSpaceDE w:val="0"/>
              <w:autoSpaceDN w:val="0"/>
              <w:spacing w:line="360" w:lineRule="exact"/>
              <w:ind w:firstLine="0" w:firstLineChars="0"/>
              <w:jc w:val="center"/>
              <w:rPr>
                <w:color w:val="auto"/>
                <w:sz w:val="21"/>
                <w:szCs w:val="21"/>
              </w:rPr>
            </w:pPr>
          </w:p>
        </w:tc>
      </w:tr>
      <w:tr w14:paraId="44A50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c>
          <w:tcPr>
            <w:tcW w:w="566" w:type="pct"/>
            <w:vAlign w:val="center"/>
          </w:tcPr>
          <w:p w14:paraId="3F8CEA46">
            <w:pPr>
              <w:autoSpaceDE w:val="0"/>
              <w:autoSpaceDN w:val="0"/>
              <w:spacing w:line="360" w:lineRule="exact"/>
              <w:ind w:firstLine="0" w:firstLineChars="0"/>
              <w:jc w:val="center"/>
              <w:rPr>
                <w:color w:val="auto"/>
                <w:sz w:val="21"/>
                <w:szCs w:val="21"/>
              </w:rPr>
            </w:pPr>
          </w:p>
        </w:tc>
        <w:tc>
          <w:tcPr>
            <w:tcW w:w="1482" w:type="pct"/>
            <w:vAlign w:val="center"/>
          </w:tcPr>
          <w:p w14:paraId="17418A94">
            <w:pPr>
              <w:autoSpaceDE w:val="0"/>
              <w:autoSpaceDN w:val="0"/>
              <w:spacing w:line="360" w:lineRule="exact"/>
              <w:ind w:firstLine="0" w:firstLineChars="0"/>
              <w:jc w:val="center"/>
              <w:rPr>
                <w:color w:val="auto"/>
                <w:sz w:val="21"/>
                <w:szCs w:val="21"/>
              </w:rPr>
            </w:pPr>
          </w:p>
        </w:tc>
        <w:tc>
          <w:tcPr>
            <w:tcW w:w="941" w:type="pct"/>
            <w:vAlign w:val="center"/>
          </w:tcPr>
          <w:p w14:paraId="1297E7C1">
            <w:pPr>
              <w:autoSpaceDE w:val="0"/>
              <w:autoSpaceDN w:val="0"/>
              <w:spacing w:line="360" w:lineRule="exact"/>
              <w:ind w:firstLine="0" w:firstLineChars="0"/>
              <w:jc w:val="center"/>
              <w:rPr>
                <w:color w:val="auto"/>
                <w:sz w:val="21"/>
                <w:szCs w:val="21"/>
              </w:rPr>
            </w:pPr>
          </w:p>
        </w:tc>
        <w:tc>
          <w:tcPr>
            <w:tcW w:w="1232" w:type="pct"/>
            <w:vAlign w:val="center"/>
          </w:tcPr>
          <w:p w14:paraId="2F0A236A">
            <w:pPr>
              <w:autoSpaceDE w:val="0"/>
              <w:autoSpaceDN w:val="0"/>
              <w:spacing w:line="360" w:lineRule="exact"/>
              <w:ind w:firstLine="0" w:firstLineChars="0"/>
              <w:jc w:val="center"/>
              <w:rPr>
                <w:color w:val="auto"/>
                <w:sz w:val="21"/>
                <w:szCs w:val="21"/>
              </w:rPr>
            </w:pPr>
            <w:r>
              <w:rPr>
                <w:rFonts w:hint="eastAsia"/>
                <w:color w:val="auto"/>
                <w:sz w:val="21"/>
                <w:szCs w:val="21"/>
              </w:rPr>
              <w:t>80</w:t>
            </w:r>
          </w:p>
        </w:tc>
        <w:tc>
          <w:tcPr>
            <w:tcW w:w="777" w:type="pct"/>
            <w:vAlign w:val="center"/>
          </w:tcPr>
          <w:p w14:paraId="554D85EB">
            <w:pPr>
              <w:autoSpaceDE w:val="0"/>
              <w:autoSpaceDN w:val="0"/>
              <w:spacing w:line="360" w:lineRule="exact"/>
              <w:ind w:firstLine="0" w:firstLineChars="0"/>
              <w:jc w:val="center"/>
              <w:rPr>
                <w:color w:val="auto"/>
                <w:sz w:val="21"/>
                <w:szCs w:val="21"/>
              </w:rPr>
            </w:pPr>
          </w:p>
        </w:tc>
      </w:tr>
    </w:tbl>
    <w:p w14:paraId="1C2EEA0B">
      <w:pPr>
        <w:pStyle w:val="5"/>
        <w:numPr>
          <w:ilvl w:val="0"/>
          <w:numId w:val="0"/>
        </w:numPr>
        <w:spacing w:before="166" w:after="166"/>
        <w:rPr>
          <w:color w:val="auto"/>
        </w:rPr>
      </w:pPr>
      <w:r>
        <w:rPr>
          <w:color w:val="auto"/>
        </w:rPr>
        <w:t>6.2.3水厂水源</w:t>
      </w:r>
    </w:p>
    <w:p w14:paraId="56FA21CC">
      <w:pPr>
        <w:pStyle w:val="6"/>
        <w:numPr>
          <w:ilvl w:val="3"/>
          <w:numId w:val="0"/>
        </w:numPr>
        <w:spacing w:line="560" w:lineRule="exact"/>
        <w:rPr>
          <w:color w:val="auto"/>
        </w:rPr>
      </w:pPr>
      <w:r>
        <w:rPr>
          <w:color w:val="auto"/>
        </w:rPr>
        <w:t>6.2.3.1和尚山水厂取水水源</w:t>
      </w:r>
    </w:p>
    <w:p w14:paraId="42D09FE0">
      <w:pPr>
        <w:adjustRightInd w:val="0"/>
        <w:ind w:firstLine="480"/>
        <w:rPr>
          <w:color w:val="auto"/>
          <w:kern w:val="0"/>
        </w:rPr>
      </w:pPr>
      <w:r>
        <w:rPr>
          <w:color w:val="auto"/>
        </w:rPr>
        <w:t>和尚山水厂取水工程以长江为水源，取水点位于九龙坡区九龙滩。</w:t>
      </w:r>
    </w:p>
    <w:p w14:paraId="7A73B63C">
      <w:pPr>
        <w:pStyle w:val="6"/>
        <w:numPr>
          <w:ilvl w:val="3"/>
          <w:numId w:val="0"/>
        </w:numPr>
        <w:spacing w:line="560" w:lineRule="exact"/>
        <w:rPr>
          <w:color w:val="auto"/>
        </w:rPr>
      </w:pPr>
      <w:r>
        <w:rPr>
          <w:color w:val="auto"/>
        </w:rPr>
        <w:t>6.2.3.2丰收坝水厂取水水源</w:t>
      </w:r>
    </w:p>
    <w:p w14:paraId="7C0B79D3">
      <w:pPr>
        <w:pStyle w:val="11"/>
        <w:spacing w:line="560" w:lineRule="exact"/>
        <w:ind w:firstLine="480"/>
        <w:rPr>
          <w:color w:val="auto"/>
        </w:rPr>
      </w:pPr>
      <w:r>
        <w:rPr>
          <w:color w:val="auto"/>
        </w:rPr>
        <w:t>丰收坝水厂取水工程以长江为水源，取水点设在石盘村上游150m处。</w:t>
      </w:r>
    </w:p>
    <w:p w14:paraId="1FBC244D">
      <w:pPr>
        <w:pStyle w:val="6"/>
        <w:numPr>
          <w:ilvl w:val="3"/>
          <w:numId w:val="0"/>
        </w:numPr>
        <w:spacing w:line="560" w:lineRule="exact"/>
        <w:rPr>
          <w:color w:val="auto"/>
        </w:rPr>
      </w:pPr>
      <w:r>
        <w:rPr>
          <w:color w:val="auto"/>
        </w:rPr>
        <w:t>6.2.3.3西彭水厂取水水源</w:t>
      </w:r>
    </w:p>
    <w:p w14:paraId="49B9E041">
      <w:pPr>
        <w:ind w:firstLine="480"/>
        <w:rPr>
          <w:color w:val="auto"/>
        </w:rPr>
      </w:pPr>
      <w:r>
        <w:rPr>
          <w:color w:val="auto"/>
        </w:rPr>
        <w:t>（1）现状取水水源</w:t>
      </w:r>
    </w:p>
    <w:p w14:paraId="2A123694">
      <w:pPr>
        <w:spacing w:line="560" w:lineRule="exact"/>
        <w:ind w:firstLine="480"/>
        <w:rPr>
          <w:color w:val="auto"/>
          <w:szCs w:val="28"/>
        </w:rPr>
      </w:pPr>
      <w:r>
        <w:rPr>
          <w:color w:val="auto"/>
          <w:szCs w:val="28"/>
        </w:rPr>
        <w:t>现状西彭水厂自身没有取水泵房，经与西南铝业自备水厂达成协议，原水由西铝水厂黄磏预处理车间提供，原水泵房以长江水为原水（保证率99%），采用湿式深井泵房取水，原水加压后经两根DN900输水管送至西铝水厂黄磏预处理车间进行预处理，再通过DN700管道接入西彭水厂厂区。</w:t>
      </w:r>
    </w:p>
    <w:p w14:paraId="540BF878">
      <w:pPr>
        <w:spacing w:line="560" w:lineRule="exact"/>
        <w:ind w:firstLine="480"/>
        <w:rPr>
          <w:color w:val="auto"/>
          <w:szCs w:val="28"/>
        </w:rPr>
      </w:pPr>
      <w:r>
        <w:rPr>
          <w:color w:val="auto"/>
          <w:szCs w:val="28"/>
        </w:rPr>
        <w:t>根据《重庆市主城区水厂布局规划调整方案》，现状西铝原水取水泵站供西彭水厂部分（市政供水）将关停，西彭水厂原水将由渝西水资源配置工程金刚沱泵站供水，由于渝西水资源配置工程工期长，为保障西彭水厂扩建工程一期建成后原水供给，水厂运行前期原水将由德感设趸船取长江水供给。</w:t>
      </w:r>
    </w:p>
    <w:p w14:paraId="39603D71">
      <w:pPr>
        <w:ind w:firstLine="480"/>
        <w:rPr>
          <w:color w:val="auto"/>
        </w:rPr>
      </w:pPr>
      <w:r>
        <w:rPr>
          <w:color w:val="auto"/>
        </w:rPr>
        <w:t>（2）德感设趸船取水工程</w:t>
      </w:r>
    </w:p>
    <w:p w14:paraId="77BDE031">
      <w:pPr>
        <w:pStyle w:val="11"/>
        <w:ind w:firstLine="480"/>
        <w:rPr>
          <w:color w:val="auto"/>
        </w:rPr>
      </w:pPr>
      <w:r>
        <w:rPr>
          <w:snapToGrid w:val="0"/>
          <w:color w:val="auto"/>
        </w:rPr>
        <w:t>本工程位于江津区石家湾郑家梁隧道附近，长江左岸，距江津区约12km。工程建设任务为解决渝西水资源配置工程建设期内江津区北部片区、西彭镇（除西铝集团的生产用水外）、陶家镇、石板镇、巴福镇、白市驿镇、含谷镇、金凤镇、走马镇、大学城片区部分区域的生活生产用水缺口。</w:t>
      </w:r>
    </w:p>
    <w:p w14:paraId="3BD328BA">
      <w:pPr>
        <w:ind w:firstLine="480"/>
        <w:rPr>
          <w:color w:val="auto"/>
        </w:rPr>
      </w:pPr>
      <w:r>
        <w:rPr>
          <w:color w:val="auto"/>
        </w:rPr>
        <w:t>由于渝西水资源配置工程工期长，为保障西彭水厂扩建工程一期建成后原水供给，水厂运行前期原水将由德感设趸船取长江水供给。该工程主要内容为新建取水泵船工程：新建30万m</w:t>
      </w:r>
      <w:r>
        <w:rPr>
          <w:color w:val="auto"/>
          <w:vertAlign w:val="superscript"/>
        </w:rPr>
        <w:t>3</w:t>
      </w:r>
      <w:r>
        <w:rPr>
          <w:color w:val="auto"/>
        </w:rPr>
        <w:t>/d的临时取水泵船1座，位于江津区石家湾郑家梁隧道附近，其中供西彭水厂扩建工程20万吨/d，供和爱水厂10万吨/d。</w:t>
      </w:r>
    </w:p>
    <w:p w14:paraId="26573B37">
      <w:pPr>
        <w:ind w:firstLine="480"/>
        <w:rPr>
          <w:color w:val="auto"/>
        </w:rPr>
      </w:pPr>
      <w:r>
        <w:rPr>
          <w:color w:val="auto"/>
        </w:rPr>
        <w:t>临时泵房内设5台卧式离心泵泵位，其中大泵3台，小泵2台，1台大泵备用。大泵对应流量为4460m</w:t>
      </w:r>
      <w:r>
        <w:rPr>
          <w:color w:val="auto"/>
          <w:vertAlign w:val="superscript"/>
        </w:rPr>
        <w:t>3</w:t>
      </w:r>
      <w:r>
        <w:rPr>
          <w:color w:val="auto"/>
        </w:rPr>
        <w:t>/h，扬程为75m，功率1400kW。</w:t>
      </w:r>
    </w:p>
    <w:p w14:paraId="3C5E7AF1">
      <w:pPr>
        <w:ind w:firstLine="480"/>
        <w:rPr>
          <w:color w:val="auto"/>
        </w:rPr>
      </w:pPr>
      <w:r>
        <w:rPr>
          <w:color w:val="auto"/>
        </w:rPr>
        <w:t>小泵流量为2230m</w:t>
      </w:r>
      <w:r>
        <w:rPr>
          <w:color w:val="auto"/>
          <w:vertAlign w:val="superscript"/>
        </w:rPr>
        <w:t>3</w:t>
      </w:r>
      <w:r>
        <w:rPr>
          <w:color w:val="auto"/>
        </w:rPr>
        <w:t>/h，扬程75m，功率710kW。泵船最大取水能力为13375m</w:t>
      </w:r>
      <w:r>
        <w:rPr>
          <w:color w:val="auto"/>
          <w:vertAlign w:val="superscript"/>
        </w:rPr>
        <w:t>3</w:t>
      </w:r>
      <w:r>
        <w:rPr>
          <w:color w:val="auto"/>
        </w:rPr>
        <w:t>/h，临时泵船长58.20m，型宽13.5m，总宽15.5m、泵船型深2.5m，设计吃水1.2m。新建取水泵船至江津德感加压站调蓄水池的原水输水管线1根，管径DN1600，管道长度约3.2km。同时设置调蓄水池一座，有效容积为500</w:t>
      </w:r>
      <w:r>
        <w:rPr>
          <w:color w:val="auto"/>
          <w:vertAlign w:val="superscript"/>
        </w:rPr>
        <w:t>0m3</w:t>
      </w:r>
      <w:r>
        <w:rPr>
          <w:color w:val="auto"/>
        </w:rPr>
        <w:t>。</w:t>
      </w:r>
    </w:p>
    <w:p w14:paraId="6BECE8DB">
      <w:pPr>
        <w:ind w:firstLine="480"/>
        <w:rPr>
          <w:color w:val="auto"/>
        </w:rPr>
      </w:pPr>
      <w:r>
        <w:rPr>
          <w:color w:val="auto"/>
        </w:rPr>
        <w:t>德感趸船选址无法避开长江上游珍稀特有鱼类国家级自然保护区，建议西彭水厂业主编制泵站对江上游珍稀特有鱼类国家级自然保护区水生生物及生境影响专题评价报告，并报送农业农村部长江流域渔政监督管理办公室审批，做好对水生生物的保护和补偿措施。</w:t>
      </w:r>
    </w:p>
    <w:p w14:paraId="50F1A695">
      <w:pPr>
        <w:spacing w:line="560" w:lineRule="exact"/>
        <w:ind w:firstLine="480"/>
        <w:rPr>
          <w:color w:val="auto"/>
          <w:szCs w:val="28"/>
        </w:rPr>
      </w:pPr>
      <w:r>
        <w:rPr>
          <w:color w:val="auto"/>
          <w:szCs w:val="28"/>
        </w:rPr>
        <w:t>（3）渝西水资源配置工程</w:t>
      </w:r>
    </w:p>
    <w:p w14:paraId="30401553">
      <w:pPr>
        <w:spacing w:line="560" w:lineRule="exact"/>
        <w:ind w:firstLine="480"/>
        <w:rPr>
          <w:color w:val="auto"/>
          <w:szCs w:val="28"/>
        </w:rPr>
      </w:pPr>
      <w:r>
        <w:rPr>
          <w:snapToGrid w:val="0"/>
          <w:color w:val="auto"/>
          <w:szCs w:val="28"/>
        </w:rPr>
        <w:t>①渝西水资源配置工程</w:t>
      </w:r>
    </w:p>
    <w:p w14:paraId="6809C72D">
      <w:pPr>
        <w:spacing w:line="560" w:lineRule="exact"/>
        <w:ind w:firstLine="480"/>
        <w:rPr>
          <w:color w:val="auto"/>
          <w:szCs w:val="28"/>
        </w:rPr>
      </w:pPr>
      <w:r>
        <w:rPr>
          <w:color w:val="auto"/>
          <w:szCs w:val="28"/>
        </w:rPr>
        <w:t>渝西水资源配置工程受水区范围为重庆市长江以北、嘉陵江渠江以西区域，包括沙坪坝区中梁山以西、</w:t>
      </w:r>
      <w:r>
        <w:rPr>
          <w:b/>
          <w:bCs/>
          <w:color w:val="auto"/>
          <w:szCs w:val="28"/>
        </w:rPr>
        <w:t>九龙坡区中梁山以西</w:t>
      </w:r>
      <w:r>
        <w:rPr>
          <w:color w:val="auto"/>
          <w:szCs w:val="28"/>
        </w:rPr>
        <w:t>，江津长江以北以及合川永川、大足、璧山、铜梁、潼南、荣昌等区全部，国土面积1.18万km</w:t>
      </w:r>
      <w:r>
        <w:rPr>
          <w:color w:val="auto"/>
          <w:szCs w:val="28"/>
          <w:vertAlign w:val="superscript"/>
        </w:rPr>
        <w:t>2</w:t>
      </w:r>
      <w:r>
        <w:rPr>
          <w:color w:val="auto"/>
          <w:szCs w:val="28"/>
        </w:rPr>
        <w:t>，涉及11个区。现状受水区总人口740万人，城镇化率60%；国内生产总值3773亿元；农田灌溉面积340万亩，其中保灌面积185万亩。</w:t>
      </w:r>
    </w:p>
    <w:p w14:paraId="5F44752E">
      <w:pPr>
        <w:spacing w:line="560" w:lineRule="exact"/>
        <w:ind w:firstLine="480"/>
        <w:rPr>
          <w:color w:val="auto"/>
          <w:szCs w:val="28"/>
        </w:rPr>
      </w:pPr>
      <w:r>
        <w:rPr>
          <w:color w:val="auto"/>
          <w:szCs w:val="28"/>
        </w:rPr>
        <w:t>2030水平年，渝西水资源配置工程新增供水量10.18亿m</w:t>
      </w:r>
      <w:r>
        <w:rPr>
          <w:color w:val="auto"/>
          <w:szCs w:val="28"/>
          <w:vertAlign w:val="superscript"/>
        </w:rPr>
        <w:t>3</w:t>
      </w:r>
      <w:r>
        <w:rPr>
          <w:color w:val="auto"/>
          <w:szCs w:val="28"/>
        </w:rPr>
        <w:t>（其中新建工程供水9.83亿m</w:t>
      </w:r>
      <w:r>
        <w:rPr>
          <w:color w:val="auto"/>
          <w:szCs w:val="28"/>
          <w:vertAlign w:val="superscript"/>
        </w:rPr>
        <w:t>3</w:t>
      </w:r>
      <w:r>
        <w:rPr>
          <w:color w:val="auto"/>
          <w:szCs w:val="28"/>
        </w:rPr>
        <w:t>），其中城乡生活4.83亿m</w:t>
      </w:r>
      <w:r>
        <w:rPr>
          <w:color w:val="auto"/>
          <w:szCs w:val="28"/>
          <w:vertAlign w:val="superscript"/>
        </w:rPr>
        <w:t>3</w:t>
      </w:r>
      <w:r>
        <w:rPr>
          <w:color w:val="auto"/>
          <w:szCs w:val="28"/>
        </w:rPr>
        <w:t>、工业用水5.35亿m</w:t>
      </w:r>
      <w:r>
        <w:rPr>
          <w:color w:val="auto"/>
          <w:szCs w:val="28"/>
          <w:vertAlign w:val="superscript"/>
        </w:rPr>
        <w:t>3</w:t>
      </w:r>
      <w:r>
        <w:rPr>
          <w:color w:val="auto"/>
          <w:szCs w:val="28"/>
        </w:rPr>
        <w:t>。新建7座水源泵站设计流量合计40.20m</w:t>
      </w:r>
      <w:r>
        <w:rPr>
          <w:color w:val="auto"/>
          <w:szCs w:val="28"/>
          <w:vertAlign w:val="superscript"/>
        </w:rPr>
        <w:t>3</w:t>
      </w:r>
      <w:r>
        <w:rPr>
          <w:color w:val="auto"/>
          <w:szCs w:val="28"/>
        </w:rPr>
        <w:t>/s，其中金刚沱泵站设计流量28.60m</w:t>
      </w:r>
      <w:r>
        <w:rPr>
          <w:color w:val="auto"/>
          <w:szCs w:val="28"/>
          <w:vertAlign w:val="superscript"/>
        </w:rPr>
        <w:t>3</w:t>
      </w:r>
      <w:r>
        <w:rPr>
          <w:color w:val="auto"/>
          <w:szCs w:val="28"/>
        </w:rPr>
        <w:t>/s、草街泵站设计流量4.40m</w:t>
      </w:r>
      <w:r>
        <w:rPr>
          <w:color w:val="auto"/>
          <w:szCs w:val="28"/>
          <w:vertAlign w:val="superscript"/>
        </w:rPr>
        <w:t>3</w:t>
      </w:r>
      <w:r>
        <w:rPr>
          <w:color w:val="auto"/>
          <w:szCs w:val="28"/>
        </w:rPr>
        <w:t>/s。</w:t>
      </w:r>
    </w:p>
    <w:p w14:paraId="7901515B">
      <w:pPr>
        <w:spacing w:line="240" w:lineRule="auto"/>
        <w:ind w:firstLine="0" w:firstLineChars="0"/>
        <w:rPr>
          <w:color w:val="auto"/>
          <w:szCs w:val="28"/>
        </w:rPr>
      </w:pPr>
      <w:r>
        <w:rPr>
          <w:color w:val="auto"/>
          <w:szCs w:val="28"/>
        </w:rPr>
        <w:drawing>
          <wp:inline distT="0" distB="0" distL="114300" distR="114300">
            <wp:extent cx="5485765" cy="3355340"/>
            <wp:effectExtent l="9525" t="9525" r="10160" b="260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5485765" cy="3355340"/>
                    </a:xfrm>
                    <a:prstGeom prst="rect">
                      <a:avLst/>
                    </a:prstGeom>
                    <a:noFill/>
                    <a:ln>
                      <a:solidFill>
                        <a:schemeClr val="tx1"/>
                      </a:solidFill>
                    </a:ln>
                  </pic:spPr>
                </pic:pic>
              </a:graphicData>
            </a:graphic>
          </wp:inline>
        </w:drawing>
      </w:r>
    </w:p>
    <w:p w14:paraId="2BBC7520">
      <w:pPr>
        <w:spacing w:line="560" w:lineRule="exact"/>
        <w:ind w:firstLine="0" w:firstLineChars="0"/>
        <w:jc w:val="center"/>
        <w:rPr>
          <w:b/>
          <w:color w:val="auto"/>
          <w:szCs w:val="28"/>
        </w:rPr>
      </w:pPr>
      <w:r>
        <w:rPr>
          <w:b/>
          <w:color w:val="auto"/>
          <w:szCs w:val="28"/>
          <w:lang w:bidi="en-US"/>
        </w:rPr>
        <w:t xml:space="preserve">图6.3-2  </w:t>
      </w:r>
      <w:r>
        <w:rPr>
          <w:b/>
          <w:color w:val="auto"/>
          <w:szCs w:val="28"/>
        </w:rPr>
        <w:t>工程规模示意图</w:t>
      </w:r>
    </w:p>
    <w:p w14:paraId="098036CA">
      <w:pPr>
        <w:spacing w:line="560" w:lineRule="exact"/>
        <w:ind w:firstLine="480"/>
        <w:rPr>
          <w:color w:val="auto"/>
        </w:rPr>
      </w:pPr>
      <w:r>
        <w:rPr>
          <w:color w:val="auto"/>
          <w:szCs w:val="24"/>
        </w:rPr>
        <w:t>渝西水资源配置工程采用“大集中、小组团”的总体布置方案。受水区南片采用大集中方案，新建长江金刚沱泵站和嘉陵江草街泵站，由输水管线和调蓄水库形成长江嘉陵江两江互济的水资源配置格局；受水区北片采用小组团方案，就近分散从涪江、渠江提水。</w:t>
      </w:r>
    </w:p>
    <w:p w14:paraId="4CE8A1F6">
      <w:pPr>
        <w:spacing w:line="560" w:lineRule="exact"/>
        <w:ind w:firstLine="480"/>
        <w:rPr>
          <w:color w:val="auto"/>
          <w:szCs w:val="24"/>
        </w:rPr>
      </w:pPr>
      <w:r>
        <w:rPr>
          <w:color w:val="auto"/>
          <w:szCs w:val="24"/>
        </w:rPr>
        <w:t>江津、九龙坡、沙坪坝、璧山采用大集中提水方案，由长江两个水源和一条输水干线组成。在江津油溪镇新建长江金刚沱泵站提水至圣中水库，再从圣中水库自流输水至江津德感，加压后送至九龙坡西彭水厂；其间从油溪分水口分水至江津油溪水厂支线，德感加压站加压分水至江津德感水厂支线。</w:t>
      </w:r>
    </w:p>
    <w:p w14:paraId="72FC8705">
      <w:pPr>
        <w:spacing w:line="240" w:lineRule="auto"/>
        <w:ind w:firstLine="0" w:firstLineChars="0"/>
        <w:jc w:val="center"/>
        <w:rPr>
          <w:color w:val="auto"/>
          <w:szCs w:val="28"/>
        </w:rPr>
      </w:pPr>
      <w:r>
        <w:rPr>
          <w:color w:val="auto"/>
          <w:szCs w:val="28"/>
        </w:rPr>
        <mc:AlternateContent>
          <mc:Choice Requires="wps">
            <w:drawing>
              <wp:anchor distT="0" distB="0" distL="114300" distR="114300" simplePos="0" relativeHeight="251684864" behindDoc="0" locked="0" layoutInCell="1" allowOverlap="1">
                <wp:simplePos x="0" y="0"/>
                <wp:positionH relativeFrom="column">
                  <wp:posOffset>3938270</wp:posOffset>
                </wp:positionH>
                <wp:positionV relativeFrom="paragraph">
                  <wp:posOffset>1753235</wp:posOffset>
                </wp:positionV>
                <wp:extent cx="1057275" cy="307975"/>
                <wp:effectExtent l="9525" t="376555" r="19050" b="20320"/>
                <wp:wrapNone/>
                <wp:docPr id="12" name="矩形标注 12"/>
                <wp:cNvGraphicFramePr/>
                <a:graphic xmlns:a="http://schemas.openxmlformats.org/drawingml/2006/main">
                  <a:graphicData uri="http://schemas.microsoft.com/office/word/2010/wordprocessingShape">
                    <wps:wsp>
                      <wps:cNvSpPr/>
                      <wps:spPr>
                        <a:xfrm>
                          <a:off x="0" y="0"/>
                          <a:ext cx="1057275" cy="307975"/>
                        </a:xfrm>
                        <a:prstGeom prst="wedgeRectCallout">
                          <a:avLst>
                            <a:gd name="adj1" fmla="val 34685"/>
                            <a:gd name="adj2" fmla="val -162991"/>
                          </a:avLst>
                        </a:prstGeom>
                        <a:solidFill>
                          <a:srgbClr val="FFFFFF"/>
                        </a:solidFill>
                        <a:ln w="19050" cap="flat" cmpd="sng">
                          <a:solidFill>
                            <a:srgbClr val="FF0000"/>
                          </a:solidFill>
                          <a:prstDash val="solid"/>
                          <a:miter/>
                          <a:headEnd type="none" w="med" len="med"/>
                          <a:tailEnd type="none" w="med" len="med"/>
                        </a:ln>
                      </wps:spPr>
                      <wps:txbx>
                        <w:txbxContent>
                          <w:p w14:paraId="0B4DB462">
                            <w:pPr>
                              <w:spacing w:line="240" w:lineRule="auto"/>
                              <w:ind w:firstLine="0" w:firstLineChars="0"/>
                              <w:rPr>
                                <w:rFonts w:ascii="仿宋" w:hAnsi="仿宋"/>
                                <w:sz w:val="21"/>
                                <w:szCs w:val="21"/>
                              </w:rPr>
                            </w:pPr>
                            <w:r>
                              <w:rPr>
                                <w:rFonts w:hint="eastAsia" w:ascii="仿宋" w:hAnsi="仿宋"/>
                                <w:sz w:val="21"/>
                                <w:szCs w:val="21"/>
                              </w:rPr>
                              <w:t>西彭水厂新址</w:t>
                            </w:r>
                          </w:p>
                        </w:txbxContent>
                      </wps:txbx>
                      <wps:bodyPr upright="1"/>
                    </wps:wsp>
                  </a:graphicData>
                </a:graphic>
              </wp:anchor>
            </w:drawing>
          </mc:Choice>
          <mc:Fallback>
            <w:pict>
              <v:shape id="_x0000_s1026" o:spid="_x0000_s1026" o:spt="61" type="#_x0000_t61" style="position:absolute;left:0pt;margin-left:310.1pt;margin-top:138.05pt;height:24.25pt;width:83.25pt;z-index:251684864;mso-width-relative:page;mso-height-relative:page;" fillcolor="#FFFFFF" filled="t" stroked="t" coordsize="21600,21600" o:gfxdata="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0hWhzZAAAACwEAAA8AAAAAAAAAAQAgAAAAIgAAAGRy&#10;cy9kb3ducmV2LnhtbFBLAQIUABQAAAAIAIdO4kAe37JnPQIAAJEEAAAOAAAAAAAAAAEAIAAAACgB&#10;AABkcnMvZTJvRG9jLnhtbFBLBQYAAAAABgAGAFkBAADXBQAAAAA=&#10;" adj="18292,-24406">
                <v:fill on="t" focussize="0,0"/>
                <v:stroke weight="1.5pt" color="#FF0000" joinstyle="miter"/>
                <v:imagedata o:title=""/>
                <o:lock v:ext="edit" aspectratio="f"/>
                <v:textbox>
                  <w:txbxContent>
                    <w:p w14:paraId="0B4DB462">
                      <w:pPr>
                        <w:spacing w:line="240" w:lineRule="auto"/>
                        <w:ind w:firstLine="0" w:firstLineChars="0"/>
                        <w:rPr>
                          <w:rFonts w:ascii="仿宋" w:hAnsi="仿宋"/>
                          <w:sz w:val="21"/>
                          <w:szCs w:val="21"/>
                        </w:rPr>
                      </w:pPr>
                      <w:r>
                        <w:rPr>
                          <w:rFonts w:hint="eastAsia" w:ascii="仿宋" w:hAnsi="仿宋"/>
                          <w:sz w:val="21"/>
                          <w:szCs w:val="21"/>
                        </w:rPr>
                        <w:t>西彭水厂新址</w:t>
                      </w:r>
                    </w:p>
                  </w:txbxContent>
                </v:textbox>
              </v:shape>
            </w:pict>
          </mc:Fallback>
        </mc:AlternateContent>
      </w:r>
      <w:r>
        <w:rPr>
          <w:color w:val="auto"/>
          <w:szCs w:val="28"/>
        </w:rPr>
        <mc:AlternateContent>
          <mc:Choice Requires="wps">
            <w:drawing>
              <wp:anchor distT="0" distB="0" distL="114300" distR="114300" simplePos="0" relativeHeight="251683840" behindDoc="0" locked="0" layoutInCell="1" allowOverlap="1">
                <wp:simplePos x="0" y="0"/>
                <wp:positionH relativeFrom="column">
                  <wp:posOffset>2254250</wp:posOffset>
                </wp:positionH>
                <wp:positionV relativeFrom="paragraph">
                  <wp:posOffset>3856355</wp:posOffset>
                </wp:positionV>
                <wp:extent cx="881380" cy="287655"/>
                <wp:effectExtent l="9525" t="570230" r="23495" b="18415"/>
                <wp:wrapNone/>
                <wp:docPr id="14" name="矩形标注 14"/>
                <wp:cNvGraphicFramePr/>
                <a:graphic xmlns:a="http://schemas.openxmlformats.org/drawingml/2006/main">
                  <a:graphicData uri="http://schemas.microsoft.com/office/word/2010/wordprocessingShape">
                    <wps:wsp>
                      <wps:cNvSpPr/>
                      <wps:spPr>
                        <a:xfrm>
                          <a:off x="0" y="0"/>
                          <a:ext cx="881380" cy="287655"/>
                        </a:xfrm>
                        <a:prstGeom prst="wedgeRectCallout">
                          <a:avLst>
                            <a:gd name="adj1" fmla="val -4685"/>
                            <a:gd name="adj2" fmla="val -231676"/>
                          </a:avLst>
                        </a:prstGeom>
                        <a:solidFill>
                          <a:srgbClr val="FFFFFF"/>
                        </a:solidFill>
                        <a:ln w="19050" cap="flat" cmpd="sng">
                          <a:solidFill>
                            <a:srgbClr val="FF0000"/>
                          </a:solidFill>
                          <a:prstDash val="solid"/>
                          <a:miter/>
                          <a:headEnd type="none" w="med" len="med"/>
                          <a:tailEnd type="none" w="med" len="med"/>
                        </a:ln>
                      </wps:spPr>
                      <wps:txbx>
                        <w:txbxContent>
                          <w:p w14:paraId="5BEF2782">
                            <w:pPr>
                              <w:spacing w:line="240" w:lineRule="auto"/>
                              <w:ind w:firstLine="0" w:firstLineChars="0"/>
                              <w:rPr>
                                <w:rFonts w:ascii="仿宋" w:hAnsi="仿宋"/>
                                <w:sz w:val="21"/>
                                <w:szCs w:val="21"/>
                              </w:rPr>
                            </w:pPr>
                            <w:r>
                              <w:rPr>
                                <w:rFonts w:hint="eastAsia" w:ascii="仿宋" w:hAnsi="仿宋"/>
                                <w:sz w:val="21"/>
                                <w:szCs w:val="21"/>
                              </w:rPr>
                              <w:t>德感加压站</w:t>
                            </w:r>
                          </w:p>
                        </w:txbxContent>
                      </wps:txbx>
                      <wps:bodyPr upright="1"/>
                    </wps:wsp>
                  </a:graphicData>
                </a:graphic>
              </wp:anchor>
            </w:drawing>
          </mc:Choice>
          <mc:Fallback>
            <w:pict>
              <v:shape id="_x0000_s1026" o:spid="_x0000_s1026" o:spt="61" type="#_x0000_t61" style="position:absolute;left:0pt;margin-left:177.5pt;margin-top:303.65pt;height:22.65pt;width:69.4pt;z-index:251683840;mso-width-relative:page;mso-height-relative:page;" fillcolor="#FFFFFF" filled="t" stroked="t" coordsize="21600,21600" o:gfxdata="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GlcfYAAAACwEAAA8AAAAAAAAAAQAgAAAAIgAAAGRycy9k&#10;b3ducmV2LnhtbFBLAQIUABQAAAAIAIdO4kD0FHrYOwIAAJAEAAAOAAAAAAAAAAEAIAAAACcBAABk&#10;cnMvZTJvRG9jLnhtbFBLBQYAAAAABgAGAFkBAADUBQAAAAA=&#10;" adj="9788,-39242">
                <v:fill on="t" focussize="0,0"/>
                <v:stroke weight="1.5pt" color="#FF0000" joinstyle="miter"/>
                <v:imagedata o:title=""/>
                <o:lock v:ext="edit" aspectratio="f"/>
                <v:textbox>
                  <w:txbxContent>
                    <w:p w14:paraId="5BEF2782">
                      <w:pPr>
                        <w:spacing w:line="240" w:lineRule="auto"/>
                        <w:ind w:firstLine="0" w:firstLineChars="0"/>
                        <w:rPr>
                          <w:rFonts w:ascii="仿宋" w:hAnsi="仿宋"/>
                          <w:sz w:val="21"/>
                          <w:szCs w:val="21"/>
                        </w:rPr>
                      </w:pPr>
                      <w:r>
                        <w:rPr>
                          <w:rFonts w:hint="eastAsia" w:ascii="仿宋" w:hAnsi="仿宋"/>
                          <w:sz w:val="21"/>
                          <w:szCs w:val="21"/>
                        </w:rPr>
                        <w:t>德感加压站</w:t>
                      </w:r>
                    </w:p>
                  </w:txbxContent>
                </v:textbox>
              </v:shape>
            </w:pict>
          </mc:Fallback>
        </mc:AlternateContent>
      </w:r>
      <w:r>
        <w:rPr>
          <w:color w:val="auto"/>
          <w:szCs w:val="28"/>
        </w:rPr>
        <mc:AlternateContent>
          <mc:Choice Requires="wps">
            <w:drawing>
              <wp:anchor distT="0" distB="0" distL="114300" distR="114300" simplePos="0" relativeHeight="251682816" behindDoc="0" locked="0" layoutInCell="1" allowOverlap="1">
                <wp:simplePos x="0" y="0"/>
                <wp:positionH relativeFrom="column">
                  <wp:posOffset>1545590</wp:posOffset>
                </wp:positionH>
                <wp:positionV relativeFrom="paragraph">
                  <wp:posOffset>5365750</wp:posOffset>
                </wp:positionV>
                <wp:extent cx="881380" cy="287655"/>
                <wp:effectExtent l="367030" t="9525" r="27940" b="369570"/>
                <wp:wrapNone/>
                <wp:docPr id="16" name="矩形标注 16"/>
                <wp:cNvGraphicFramePr/>
                <a:graphic xmlns:a="http://schemas.openxmlformats.org/drawingml/2006/main">
                  <a:graphicData uri="http://schemas.microsoft.com/office/word/2010/wordprocessingShape">
                    <wps:wsp>
                      <wps:cNvSpPr/>
                      <wps:spPr>
                        <a:xfrm>
                          <a:off x="0" y="0"/>
                          <a:ext cx="881380" cy="287655"/>
                        </a:xfrm>
                        <a:prstGeom prst="wedgeRectCallout">
                          <a:avLst>
                            <a:gd name="adj1" fmla="val -84005"/>
                            <a:gd name="adj2" fmla="val 157949"/>
                          </a:avLst>
                        </a:prstGeom>
                        <a:solidFill>
                          <a:srgbClr val="FFFFFF"/>
                        </a:solidFill>
                        <a:ln w="19050" cap="flat" cmpd="sng">
                          <a:solidFill>
                            <a:srgbClr val="FF0000"/>
                          </a:solidFill>
                          <a:prstDash val="solid"/>
                          <a:miter/>
                          <a:headEnd type="none" w="med" len="med"/>
                          <a:tailEnd type="none" w="med" len="med"/>
                        </a:ln>
                      </wps:spPr>
                      <wps:txbx>
                        <w:txbxContent>
                          <w:p w14:paraId="438A9256">
                            <w:pPr>
                              <w:spacing w:line="240" w:lineRule="auto"/>
                              <w:ind w:firstLine="0" w:firstLineChars="0"/>
                              <w:rPr>
                                <w:rFonts w:ascii="仿宋" w:hAnsi="仿宋"/>
                                <w:sz w:val="21"/>
                                <w:szCs w:val="21"/>
                              </w:rPr>
                            </w:pPr>
                            <w:r>
                              <w:rPr>
                                <w:rFonts w:hint="eastAsia" w:ascii="仿宋" w:hAnsi="仿宋"/>
                                <w:sz w:val="21"/>
                                <w:szCs w:val="21"/>
                              </w:rPr>
                              <w:t>金刚沱泵站</w:t>
                            </w:r>
                          </w:p>
                        </w:txbxContent>
                      </wps:txbx>
                      <wps:bodyPr upright="1"/>
                    </wps:wsp>
                  </a:graphicData>
                </a:graphic>
              </wp:anchor>
            </w:drawing>
          </mc:Choice>
          <mc:Fallback>
            <w:pict>
              <v:shape id="_x0000_s1026" o:spid="_x0000_s1026" o:spt="61" type="#_x0000_t61" style="position:absolute;left:0pt;margin-left:121.7pt;margin-top:422.5pt;height:22.65pt;width:69.4pt;z-index:251682816;mso-width-relative:page;mso-height-relative:page;" fillcolor="#FFFFFF" filled="t" stroked="t" coordsize="21600,21600" o:gfxdata="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YQJLbAAAACwEAAA8AAAAAAAAAAQAgAAAAIgAAAGRy&#10;cy9kb3ducmV2LnhtbFBLAQIUABQAAAAIAIdO4kCu0dvnOwIAAJAEAAAOAAAAAAAAAAEAIAAAACoB&#10;AABkcnMvZTJvRG9jLnhtbFBLBQYAAAAABgAGAFkBAADXBQAAAAA=&#10;" adj="-7345,44917">
                <v:fill on="t" focussize="0,0"/>
                <v:stroke weight="1.5pt" color="#FF0000" joinstyle="miter"/>
                <v:imagedata o:title=""/>
                <o:lock v:ext="edit" aspectratio="f"/>
                <v:textbox>
                  <w:txbxContent>
                    <w:p w14:paraId="438A9256">
                      <w:pPr>
                        <w:spacing w:line="240" w:lineRule="auto"/>
                        <w:ind w:firstLine="0" w:firstLineChars="0"/>
                        <w:rPr>
                          <w:rFonts w:ascii="仿宋" w:hAnsi="仿宋"/>
                          <w:sz w:val="21"/>
                          <w:szCs w:val="21"/>
                        </w:rPr>
                      </w:pPr>
                      <w:r>
                        <w:rPr>
                          <w:rFonts w:hint="eastAsia" w:ascii="仿宋" w:hAnsi="仿宋"/>
                          <w:sz w:val="21"/>
                          <w:szCs w:val="21"/>
                        </w:rPr>
                        <w:t>金刚沱泵站</w:t>
                      </w:r>
                    </w:p>
                  </w:txbxContent>
                </v:textbox>
              </v:shape>
            </w:pict>
          </mc:Fallback>
        </mc:AlternateContent>
      </w:r>
      <w:r>
        <w:rPr>
          <w:color w:val="auto"/>
          <w:szCs w:val="28"/>
        </w:rPr>
        <mc:AlternateContent>
          <mc:Choice Requires="wps">
            <w:drawing>
              <wp:anchor distT="0" distB="0" distL="114300" distR="114300" simplePos="0" relativeHeight="251681792" behindDoc="0" locked="0" layoutInCell="1" allowOverlap="1">
                <wp:simplePos x="0" y="0"/>
                <wp:positionH relativeFrom="column">
                  <wp:posOffset>375920</wp:posOffset>
                </wp:positionH>
                <wp:positionV relativeFrom="paragraph">
                  <wp:posOffset>6271895</wp:posOffset>
                </wp:positionV>
                <wp:extent cx="747395" cy="287655"/>
                <wp:effectExtent l="9525" t="410845" r="24130" b="25400"/>
                <wp:wrapNone/>
                <wp:docPr id="17" name="矩形标注 17"/>
                <wp:cNvGraphicFramePr/>
                <a:graphic xmlns:a="http://schemas.openxmlformats.org/drawingml/2006/main">
                  <a:graphicData uri="http://schemas.microsoft.com/office/word/2010/wordprocessingShape">
                    <wps:wsp>
                      <wps:cNvSpPr/>
                      <wps:spPr>
                        <a:xfrm>
                          <a:off x="0" y="0"/>
                          <a:ext cx="747395" cy="287655"/>
                        </a:xfrm>
                        <a:prstGeom prst="wedgeRectCallout">
                          <a:avLst>
                            <a:gd name="adj1" fmla="val 14148"/>
                            <a:gd name="adj2" fmla="val -179139"/>
                          </a:avLst>
                        </a:prstGeom>
                        <a:solidFill>
                          <a:srgbClr val="FFFFFF"/>
                        </a:solidFill>
                        <a:ln w="19050" cap="flat" cmpd="sng">
                          <a:solidFill>
                            <a:srgbClr val="FF0000"/>
                          </a:solidFill>
                          <a:prstDash val="solid"/>
                          <a:miter/>
                          <a:headEnd type="none" w="med" len="med"/>
                          <a:tailEnd type="none" w="med" len="med"/>
                        </a:ln>
                      </wps:spPr>
                      <wps:txbx>
                        <w:txbxContent>
                          <w:p w14:paraId="5ACACF68">
                            <w:pPr>
                              <w:spacing w:line="240" w:lineRule="auto"/>
                              <w:ind w:firstLine="0" w:firstLineChars="0"/>
                              <w:rPr>
                                <w:rFonts w:ascii="仿宋" w:hAnsi="仿宋"/>
                                <w:sz w:val="21"/>
                                <w:szCs w:val="21"/>
                              </w:rPr>
                            </w:pPr>
                            <w:r>
                              <w:rPr>
                                <w:rFonts w:hint="eastAsia" w:ascii="仿宋" w:hAnsi="仿宋"/>
                                <w:sz w:val="21"/>
                                <w:szCs w:val="21"/>
                              </w:rPr>
                              <w:t>圣中水库</w:t>
                            </w:r>
                          </w:p>
                        </w:txbxContent>
                      </wps:txbx>
                      <wps:bodyPr upright="1"/>
                    </wps:wsp>
                  </a:graphicData>
                </a:graphic>
              </wp:anchor>
            </w:drawing>
          </mc:Choice>
          <mc:Fallback>
            <w:pict>
              <v:shape id="_x0000_s1026" o:spid="_x0000_s1026" o:spt="61" type="#_x0000_t61" style="position:absolute;left:0pt;margin-left:29.6pt;margin-top:493.85pt;height:22.65pt;width:58.85pt;z-index:251681792;mso-width-relative:page;mso-height-relative:page;" fillcolor="#FFFFFF" filled="t" stroked="t" coordsize="21600,21600" o:gfxdata="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itVazbAAAACwEAAA8AAAAAAAAAAQAgAAAAIgAAAGRy&#10;cy9kb3ducmV2LnhtbFBLAQIUABQAAAAIAIdO4kBajOoIOwIAAJAEAAAOAAAAAAAAAAEAIAAAACoB&#10;AABkcnMvZTJvRG9jLnhtbFBLBQYAAAAABgAGAFkBAADXBQAAAAA=&#10;" adj="13856,-27894">
                <v:fill on="t" focussize="0,0"/>
                <v:stroke weight="1.5pt" color="#FF0000" joinstyle="miter"/>
                <v:imagedata o:title=""/>
                <o:lock v:ext="edit" aspectratio="f"/>
                <v:textbox>
                  <w:txbxContent>
                    <w:p w14:paraId="5ACACF68">
                      <w:pPr>
                        <w:spacing w:line="240" w:lineRule="auto"/>
                        <w:ind w:firstLine="0" w:firstLineChars="0"/>
                        <w:rPr>
                          <w:rFonts w:ascii="仿宋" w:hAnsi="仿宋"/>
                          <w:sz w:val="21"/>
                          <w:szCs w:val="21"/>
                        </w:rPr>
                      </w:pPr>
                      <w:r>
                        <w:rPr>
                          <w:rFonts w:hint="eastAsia" w:ascii="仿宋" w:hAnsi="仿宋"/>
                          <w:sz w:val="21"/>
                          <w:szCs w:val="21"/>
                        </w:rPr>
                        <w:t>圣中水库</w:t>
                      </w:r>
                    </w:p>
                  </w:txbxContent>
                </v:textbox>
              </v:shape>
            </w:pict>
          </mc:Fallback>
        </mc:AlternateContent>
      </w:r>
      <w:r>
        <w:rPr>
          <w:color w:val="auto"/>
          <w:szCs w:val="28"/>
        </w:rPr>
        <w:drawing>
          <wp:inline distT="0" distB="0" distL="114300" distR="114300">
            <wp:extent cx="5280660" cy="7216775"/>
            <wp:effectExtent l="0" t="0" r="15240"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rcRect l="14757" t="12549" r="13889" b="18527"/>
                    <a:stretch>
                      <a:fillRect/>
                    </a:stretch>
                  </pic:blipFill>
                  <pic:spPr>
                    <a:xfrm>
                      <a:off x="0" y="0"/>
                      <a:ext cx="5280660" cy="7216775"/>
                    </a:xfrm>
                    <a:prstGeom prst="rect">
                      <a:avLst/>
                    </a:prstGeom>
                    <a:noFill/>
                    <a:ln>
                      <a:noFill/>
                    </a:ln>
                  </pic:spPr>
                </pic:pic>
              </a:graphicData>
            </a:graphic>
          </wp:inline>
        </w:drawing>
      </w:r>
    </w:p>
    <w:p w14:paraId="06753F76">
      <w:pPr>
        <w:spacing w:line="560" w:lineRule="exact"/>
        <w:ind w:firstLine="482"/>
        <w:jc w:val="center"/>
        <w:rPr>
          <w:b/>
          <w:color w:val="auto"/>
          <w:szCs w:val="28"/>
        </w:rPr>
      </w:pPr>
      <w:r>
        <w:rPr>
          <w:b/>
          <w:color w:val="auto"/>
          <w:szCs w:val="28"/>
          <w:lang w:bidi="en-US"/>
        </w:rPr>
        <w:t xml:space="preserve">图6.2-3  </w:t>
      </w:r>
      <w:r>
        <w:rPr>
          <w:b/>
          <w:color w:val="auto"/>
          <w:szCs w:val="28"/>
        </w:rPr>
        <w:t>西彭水厂供水管道平面布置示意图</w:t>
      </w:r>
    </w:p>
    <w:p w14:paraId="6BC01160">
      <w:pPr>
        <w:spacing w:line="560" w:lineRule="exact"/>
        <w:ind w:firstLine="480"/>
        <w:rPr>
          <w:snapToGrid w:val="0"/>
          <w:color w:val="auto"/>
          <w:szCs w:val="28"/>
        </w:rPr>
      </w:pPr>
      <w:r>
        <w:rPr>
          <w:color w:val="auto"/>
          <w:szCs w:val="28"/>
        </w:rPr>
        <w:t>②渝西水资源配置工程</w:t>
      </w:r>
      <w:r>
        <w:rPr>
          <w:snapToGrid w:val="0"/>
          <w:color w:val="auto"/>
          <w:szCs w:val="28"/>
        </w:rPr>
        <w:t>原水水量及输水管线</w:t>
      </w:r>
    </w:p>
    <w:p w14:paraId="624849F0">
      <w:pPr>
        <w:spacing w:line="560" w:lineRule="exact"/>
        <w:ind w:firstLine="480"/>
        <w:rPr>
          <w:color w:val="auto"/>
          <w:szCs w:val="28"/>
        </w:rPr>
      </w:pPr>
      <w:r>
        <w:rPr>
          <w:color w:val="auto"/>
          <w:szCs w:val="28"/>
        </w:rPr>
        <w:t>根据《渝西水资源配置工程》相关内容，设计在95%频率供水流量的基础上考虑日变化系数，金刚沱泵站输水干线共有6个分水口，各分水口设计流量合计29.99m</w:t>
      </w:r>
      <w:r>
        <w:rPr>
          <w:color w:val="auto"/>
          <w:szCs w:val="28"/>
          <w:vertAlign w:val="superscript"/>
        </w:rPr>
        <w:t>3</w:t>
      </w:r>
      <w:r>
        <w:rPr>
          <w:color w:val="auto"/>
          <w:szCs w:val="28"/>
        </w:rPr>
        <w:t>/s，再考虑圣中水库蒸发渗漏损失0.12m</w:t>
      </w:r>
      <w:r>
        <w:rPr>
          <w:color w:val="auto"/>
          <w:szCs w:val="28"/>
          <w:vertAlign w:val="superscript"/>
        </w:rPr>
        <w:t>3</w:t>
      </w:r>
      <w:r>
        <w:rPr>
          <w:color w:val="auto"/>
          <w:szCs w:val="28"/>
        </w:rPr>
        <w:t>/s，金刚沱泵站设计提水流量为30.11m</w:t>
      </w:r>
      <w:r>
        <w:rPr>
          <w:color w:val="auto"/>
          <w:szCs w:val="28"/>
          <w:vertAlign w:val="superscript"/>
        </w:rPr>
        <w:t>3</w:t>
      </w:r>
      <w:r>
        <w:rPr>
          <w:color w:val="auto"/>
          <w:szCs w:val="28"/>
        </w:rPr>
        <w:t>/s。</w:t>
      </w:r>
    </w:p>
    <w:p w14:paraId="33B49E38">
      <w:pPr>
        <w:spacing w:line="560" w:lineRule="exact"/>
        <w:ind w:firstLine="480"/>
        <w:rPr>
          <w:color w:val="auto"/>
          <w:szCs w:val="28"/>
        </w:rPr>
      </w:pPr>
      <w:r>
        <w:rPr>
          <w:color w:val="auto"/>
          <w:szCs w:val="28"/>
        </w:rPr>
        <w:t>其中输水干线上西彭分水口直接输水至西彭水厂。西彭分水口为德感加压站加压出水，德感加压站至西彭水厂原水管线考虑供水安全性，原水干管为两根K8/20.0（壁厚）DN2000球墨铸铁管线，管线长度18598米。考虑城镇供水日变化系数，西彭分水口设计流量取8.10m</w:t>
      </w:r>
      <w:r>
        <w:rPr>
          <w:color w:val="auto"/>
          <w:szCs w:val="28"/>
          <w:vertAlign w:val="superscript"/>
        </w:rPr>
        <w:t>3</w:t>
      </w:r>
      <w:r>
        <w:rPr>
          <w:color w:val="auto"/>
          <w:szCs w:val="28"/>
        </w:rPr>
        <w:t>/s，满足西彭水厂终期规模。</w:t>
      </w:r>
    </w:p>
    <w:p w14:paraId="3FB9C8EB">
      <w:pPr>
        <w:spacing w:line="240" w:lineRule="auto"/>
        <w:ind w:firstLine="0" w:firstLineChars="0"/>
        <w:jc w:val="center"/>
        <w:rPr>
          <w:color w:val="auto"/>
          <w:szCs w:val="28"/>
        </w:rPr>
      </w:pPr>
      <w:r>
        <w:rPr>
          <w:color w:val="auto"/>
          <w:szCs w:val="28"/>
        </w:rPr>
        <w:drawing>
          <wp:inline distT="0" distB="0" distL="114300" distR="114300">
            <wp:extent cx="5151755" cy="2926715"/>
            <wp:effectExtent l="9525" t="9525" r="20320" b="165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tretch>
                      <a:fillRect/>
                    </a:stretch>
                  </pic:blipFill>
                  <pic:spPr>
                    <a:xfrm>
                      <a:off x="0" y="0"/>
                      <a:ext cx="5151755" cy="2926715"/>
                    </a:xfrm>
                    <a:prstGeom prst="rect">
                      <a:avLst/>
                    </a:prstGeom>
                    <a:noFill/>
                    <a:ln>
                      <a:solidFill>
                        <a:schemeClr val="tx1"/>
                      </a:solidFill>
                    </a:ln>
                  </pic:spPr>
                </pic:pic>
              </a:graphicData>
            </a:graphic>
          </wp:inline>
        </w:drawing>
      </w:r>
    </w:p>
    <w:p w14:paraId="4CBC01A1">
      <w:pPr>
        <w:spacing w:line="560" w:lineRule="atLeast"/>
        <w:ind w:firstLine="482"/>
        <w:jc w:val="center"/>
        <w:rPr>
          <w:b/>
          <w:color w:val="auto"/>
          <w:szCs w:val="28"/>
        </w:rPr>
      </w:pPr>
      <w:r>
        <w:rPr>
          <w:b/>
          <w:color w:val="auto"/>
          <w:szCs w:val="28"/>
          <w:lang w:bidi="en-US"/>
        </w:rPr>
        <w:t xml:space="preserve">图6.2-4  </w:t>
      </w:r>
      <w:r>
        <w:rPr>
          <w:b/>
          <w:color w:val="auto"/>
          <w:szCs w:val="28"/>
        </w:rPr>
        <w:t>渝西水资源配置工程金刚沱泵站至西彭水厂供水示意图</w:t>
      </w:r>
    </w:p>
    <w:p w14:paraId="16237B55">
      <w:pPr>
        <w:pStyle w:val="5"/>
        <w:numPr>
          <w:ilvl w:val="0"/>
          <w:numId w:val="0"/>
        </w:numPr>
        <w:spacing w:before="166" w:after="166"/>
        <w:rPr>
          <w:color w:val="auto"/>
        </w:rPr>
      </w:pPr>
      <w:r>
        <w:rPr>
          <w:color w:val="auto"/>
        </w:rPr>
        <w:t>6.2.4九龙工业园区规划年水资源配置</w:t>
      </w:r>
    </w:p>
    <w:p w14:paraId="56B1811A">
      <w:pPr>
        <w:ind w:firstLine="480"/>
        <w:rPr>
          <w:color w:val="auto"/>
        </w:rPr>
      </w:pPr>
      <w:r>
        <w:rPr>
          <w:color w:val="auto"/>
        </w:rPr>
        <w:t>根据园区水资源配置总体方案，园区现状主要由和尚山水厂、丰收坝水厂、西彭水厂。其中和尚山水厂向九龙工业园区A区供水，丰收坝水厂向九龙工业园区B区供水，西彭水厂向九龙工业园区C区供水。</w:t>
      </w:r>
    </w:p>
    <w:p w14:paraId="6F1D4177">
      <w:pPr>
        <w:pStyle w:val="11"/>
        <w:spacing w:line="560" w:lineRule="exact"/>
        <w:ind w:firstLine="480"/>
        <w:rPr>
          <w:color w:val="auto"/>
        </w:rPr>
      </w:pPr>
      <w:r>
        <w:rPr>
          <w:color w:val="auto"/>
        </w:rPr>
        <w:t>和尚山水厂目前供水规模为35万m</w:t>
      </w:r>
      <w:r>
        <w:rPr>
          <w:color w:val="auto"/>
          <w:vertAlign w:val="superscript"/>
        </w:rPr>
        <w:t>3</w:t>
      </w:r>
      <w:r>
        <w:rPr>
          <w:color w:val="auto"/>
        </w:rPr>
        <w:t>/d，2025年与目前供水规模一致。</w:t>
      </w:r>
    </w:p>
    <w:p w14:paraId="4DF0B3A4">
      <w:pPr>
        <w:pStyle w:val="11"/>
        <w:spacing w:line="560" w:lineRule="exact"/>
        <w:ind w:firstLine="480"/>
        <w:rPr>
          <w:color w:val="auto"/>
        </w:rPr>
      </w:pPr>
      <w:r>
        <w:rPr>
          <w:color w:val="auto"/>
        </w:rPr>
        <w:t>丰收坝水厂现状规模30万m</w:t>
      </w:r>
      <w:r>
        <w:rPr>
          <w:color w:val="auto"/>
          <w:vertAlign w:val="superscript"/>
        </w:rPr>
        <w:t>3</w:t>
      </w:r>
      <w:r>
        <w:rPr>
          <w:color w:val="auto"/>
        </w:rPr>
        <w:t>/d，规划水平年2025年，水厂扩建至40万m</w:t>
      </w:r>
      <w:r>
        <w:rPr>
          <w:color w:val="auto"/>
          <w:vertAlign w:val="superscript"/>
        </w:rPr>
        <w:t>3</w:t>
      </w:r>
      <w:r>
        <w:rPr>
          <w:color w:val="auto"/>
        </w:rPr>
        <w:t>/d。</w:t>
      </w:r>
    </w:p>
    <w:p w14:paraId="147825A8">
      <w:pPr>
        <w:snapToGrid w:val="0"/>
        <w:spacing w:line="560" w:lineRule="exact"/>
        <w:ind w:firstLine="480"/>
        <w:rPr>
          <w:color w:val="auto"/>
        </w:rPr>
      </w:pPr>
      <w:r>
        <w:rPr>
          <w:color w:val="auto"/>
        </w:rPr>
        <w:t>根据《西彭水厂扩建一期工程初步设计报告》，西彭水厂扩建一期工程设计规模20万吨/天，在2020年启动，2022年投产；2025年，西彭水厂扩建二期工程设计规模20万吨/天，总规模达到40万吨/天，需要结合渝西水资源配置工程的通水时间，适时开展建设。西彭水厂再根据水量增长情况，适时启动后续建设，在2030年前达到终期规模70万吨/天。由于供水形势紧张，需要对老西彭水厂进行技改，提高产能。技改工程实施后，2022年老西彭水厂供水规模将扩至9万吨/d，并结合新西彭水厂的建设时序，适时关停。</w:t>
      </w:r>
    </w:p>
    <w:p w14:paraId="28C87528">
      <w:pPr>
        <w:pStyle w:val="11"/>
        <w:ind w:firstLine="0" w:firstLineChars="0"/>
        <w:rPr>
          <w:b/>
          <w:bCs/>
          <w:color w:val="auto"/>
        </w:rPr>
      </w:pPr>
      <w:r>
        <w:rPr>
          <w:b/>
          <w:bCs/>
          <w:color w:val="auto"/>
        </w:rPr>
        <w:t>表6.2-</w:t>
      </w:r>
      <w:r>
        <w:rPr>
          <w:rFonts w:hint="eastAsia"/>
          <w:b/>
          <w:bCs/>
          <w:color w:val="auto"/>
        </w:rPr>
        <w:t>3</w:t>
      </w:r>
      <w:r>
        <w:rPr>
          <w:b/>
          <w:bCs/>
          <w:color w:val="auto"/>
        </w:rPr>
        <w:t xml:space="preserve">              九龙工业园区2025 年水资源配置成果表</w:t>
      </w:r>
    </w:p>
    <w:tbl>
      <w:tblPr>
        <w:tblStyle w:val="21"/>
        <w:tblW w:w="506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44"/>
        <w:gridCol w:w="1378"/>
        <w:gridCol w:w="1687"/>
        <w:gridCol w:w="1296"/>
        <w:gridCol w:w="1839"/>
        <w:gridCol w:w="2001"/>
      </w:tblGrid>
      <w:tr w14:paraId="17CDFE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pct"/>
            <w:vMerge w:val="restart"/>
            <w:tcBorders>
              <w:tl2br w:val="nil"/>
              <w:tr2bl w:val="nil"/>
            </w:tcBorders>
            <w:vAlign w:val="center"/>
          </w:tcPr>
          <w:p w14:paraId="06F650C9">
            <w:pPr>
              <w:widowControl/>
              <w:spacing w:line="240" w:lineRule="auto"/>
              <w:ind w:firstLine="0" w:firstLineChars="0"/>
              <w:jc w:val="center"/>
              <w:textAlignment w:val="center"/>
              <w:rPr>
                <w:color w:val="auto"/>
                <w:sz w:val="21"/>
                <w:szCs w:val="21"/>
                <w:lang w:bidi="ar"/>
              </w:rPr>
            </w:pPr>
            <w:r>
              <w:rPr>
                <w:color w:val="auto"/>
                <w:sz w:val="21"/>
                <w:szCs w:val="21"/>
                <w:lang w:bidi="ar"/>
              </w:rPr>
              <w:t>分区</w:t>
            </w:r>
          </w:p>
        </w:tc>
        <w:tc>
          <w:tcPr>
            <w:tcW w:w="1693" w:type="pct"/>
            <w:gridSpan w:val="2"/>
            <w:tcBorders>
              <w:tl2br w:val="nil"/>
              <w:tr2bl w:val="nil"/>
            </w:tcBorders>
            <w:vAlign w:val="center"/>
          </w:tcPr>
          <w:p w14:paraId="32595D46">
            <w:pPr>
              <w:widowControl/>
              <w:spacing w:line="240" w:lineRule="auto"/>
              <w:ind w:firstLine="0" w:firstLineChars="0"/>
              <w:jc w:val="center"/>
              <w:textAlignment w:val="center"/>
              <w:rPr>
                <w:color w:val="auto"/>
                <w:sz w:val="21"/>
                <w:szCs w:val="21"/>
                <w:lang w:bidi="ar"/>
              </w:rPr>
            </w:pPr>
            <w:r>
              <w:rPr>
                <w:color w:val="auto"/>
                <w:sz w:val="21"/>
                <w:szCs w:val="21"/>
                <w:lang w:bidi="ar"/>
              </w:rPr>
              <w:t>水厂供水量</w:t>
            </w:r>
          </w:p>
        </w:tc>
        <w:tc>
          <w:tcPr>
            <w:tcW w:w="716" w:type="pct"/>
            <w:vMerge w:val="restart"/>
            <w:tcBorders>
              <w:tl2br w:val="nil"/>
              <w:tr2bl w:val="nil"/>
            </w:tcBorders>
            <w:vAlign w:val="center"/>
          </w:tcPr>
          <w:p w14:paraId="64813038">
            <w:pPr>
              <w:widowControl/>
              <w:spacing w:line="240" w:lineRule="auto"/>
              <w:ind w:firstLine="0" w:firstLineChars="0"/>
              <w:jc w:val="center"/>
              <w:textAlignment w:val="center"/>
              <w:rPr>
                <w:color w:val="auto"/>
                <w:sz w:val="21"/>
                <w:szCs w:val="21"/>
                <w:lang w:bidi="ar"/>
              </w:rPr>
            </w:pPr>
            <w:r>
              <w:rPr>
                <w:color w:val="auto"/>
                <w:sz w:val="21"/>
                <w:szCs w:val="21"/>
                <w:lang w:bidi="ar"/>
              </w:rPr>
              <w:t>供水水厂</w:t>
            </w:r>
          </w:p>
        </w:tc>
        <w:tc>
          <w:tcPr>
            <w:tcW w:w="1016" w:type="pct"/>
            <w:vMerge w:val="restart"/>
            <w:tcBorders>
              <w:tl2br w:val="nil"/>
              <w:tr2bl w:val="nil"/>
            </w:tcBorders>
            <w:vAlign w:val="center"/>
          </w:tcPr>
          <w:p w14:paraId="715DBA17">
            <w:pPr>
              <w:widowControl/>
              <w:spacing w:line="240" w:lineRule="auto"/>
              <w:ind w:firstLine="0" w:firstLineChars="0"/>
              <w:jc w:val="center"/>
              <w:textAlignment w:val="center"/>
              <w:rPr>
                <w:color w:val="auto"/>
                <w:sz w:val="21"/>
                <w:szCs w:val="21"/>
                <w:lang w:bidi="ar"/>
              </w:rPr>
            </w:pPr>
            <w:r>
              <w:rPr>
                <w:color w:val="auto"/>
                <w:sz w:val="21"/>
                <w:szCs w:val="21"/>
                <w:lang w:bidi="ar"/>
              </w:rPr>
              <w:t>2025年供水规模</w:t>
            </w:r>
          </w:p>
          <w:p w14:paraId="1847380E">
            <w:pPr>
              <w:widowControl/>
              <w:spacing w:line="240" w:lineRule="auto"/>
              <w:ind w:firstLine="0" w:firstLineChars="0"/>
              <w:jc w:val="center"/>
              <w:textAlignment w:val="center"/>
              <w:rPr>
                <w:color w:val="auto"/>
                <w:sz w:val="21"/>
                <w:szCs w:val="21"/>
                <w:lang w:bidi="ar"/>
              </w:rPr>
            </w:pPr>
            <w:r>
              <w:rPr>
                <w:color w:val="auto"/>
                <w:sz w:val="21"/>
                <w:szCs w:val="21"/>
                <w:lang w:bidi="ar"/>
              </w:rPr>
              <w:t>（万m3/d）</w:t>
            </w:r>
          </w:p>
        </w:tc>
        <w:tc>
          <w:tcPr>
            <w:tcW w:w="1105" w:type="pct"/>
            <w:vMerge w:val="restart"/>
            <w:tcBorders>
              <w:tl2br w:val="nil"/>
              <w:tr2bl w:val="nil"/>
            </w:tcBorders>
            <w:vAlign w:val="center"/>
          </w:tcPr>
          <w:p w14:paraId="76F1B2AD">
            <w:pPr>
              <w:widowControl/>
              <w:spacing w:line="240" w:lineRule="auto"/>
              <w:ind w:firstLine="0" w:firstLineChars="0"/>
              <w:jc w:val="center"/>
              <w:textAlignment w:val="center"/>
              <w:rPr>
                <w:color w:val="auto"/>
                <w:sz w:val="21"/>
                <w:szCs w:val="21"/>
                <w:lang w:bidi="ar"/>
              </w:rPr>
            </w:pPr>
            <w:r>
              <w:rPr>
                <w:color w:val="auto"/>
                <w:sz w:val="21"/>
                <w:szCs w:val="21"/>
                <w:lang w:bidi="ar"/>
              </w:rPr>
              <w:t>比例</w:t>
            </w:r>
          </w:p>
        </w:tc>
      </w:tr>
      <w:tr w14:paraId="13020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pct"/>
            <w:vMerge w:val="continue"/>
            <w:tcBorders>
              <w:tl2br w:val="nil"/>
              <w:tr2bl w:val="nil"/>
            </w:tcBorders>
            <w:vAlign w:val="center"/>
          </w:tcPr>
          <w:p w14:paraId="2AA7C022">
            <w:pPr>
              <w:widowControl/>
              <w:spacing w:line="240" w:lineRule="auto"/>
              <w:ind w:firstLine="0" w:firstLineChars="0"/>
              <w:jc w:val="center"/>
              <w:textAlignment w:val="center"/>
              <w:rPr>
                <w:color w:val="auto"/>
                <w:sz w:val="21"/>
                <w:szCs w:val="21"/>
                <w:lang w:bidi="ar"/>
              </w:rPr>
            </w:pPr>
          </w:p>
        </w:tc>
        <w:tc>
          <w:tcPr>
            <w:tcW w:w="761" w:type="pct"/>
            <w:tcBorders>
              <w:tl2br w:val="nil"/>
              <w:tr2bl w:val="nil"/>
            </w:tcBorders>
            <w:vAlign w:val="center"/>
          </w:tcPr>
          <w:p w14:paraId="0BDAACC4">
            <w:pPr>
              <w:widowControl/>
              <w:spacing w:line="240" w:lineRule="auto"/>
              <w:ind w:firstLine="0" w:firstLineChars="0"/>
              <w:jc w:val="center"/>
              <w:textAlignment w:val="center"/>
              <w:rPr>
                <w:color w:val="auto"/>
                <w:sz w:val="21"/>
                <w:szCs w:val="21"/>
                <w:lang w:bidi="ar"/>
              </w:rPr>
            </w:pPr>
            <w:r>
              <w:rPr>
                <w:color w:val="auto"/>
                <w:sz w:val="21"/>
                <w:szCs w:val="21"/>
                <w:lang w:bidi="ar"/>
              </w:rPr>
              <w:t>年供水量万m</w:t>
            </w:r>
            <w:r>
              <w:rPr>
                <w:color w:val="auto"/>
                <w:sz w:val="21"/>
                <w:szCs w:val="21"/>
                <w:vertAlign w:val="superscript"/>
                <w:lang w:bidi="ar"/>
              </w:rPr>
              <w:t>3</w:t>
            </w:r>
          </w:p>
        </w:tc>
        <w:tc>
          <w:tcPr>
            <w:tcW w:w="932" w:type="pct"/>
            <w:tcBorders>
              <w:tl2br w:val="nil"/>
              <w:tr2bl w:val="nil"/>
            </w:tcBorders>
            <w:vAlign w:val="center"/>
          </w:tcPr>
          <w:p w14:paraId="36C12EC8">
            <w:pPr>
              <w:widowControl/>
              <w:spacing w:line="240" w:lineRule="auto"/>
              <w:ind w:firstLine="0" w:firstLineChars="0"/>
              <w:jc w:val="center"/>
              <w:textAlignment w:val="center"/>
              <w:rPr>
                <w:color w:val="auto"/>
                <w:sz w:val="21"/>
                <w:szCs w:val="21"/>
                <w:lang w:bidi="ar"/>
              </w:rPr>
            </w:pPr>
            <w:r>
              <w:rPr>
                <w:color w:val="auto"/>
                <w:sz w:val="21"/>
                <w:szCs w:val="21"/>
                <w:lang w:bidi="ar"/>
              </w:rPr>
              <w:t>最高日供水量</w:t>
            </w:r>
          </w:p>
          <w:p w14:paraId="2CB35AAF">
            <w:pPr>
              <w:widowControl/>
              <w:spacing w:line="240" w:lineRule="auto"/>
              <w:ind w:firstLine="0" w:firstLineChars="0"/>
              <w:jc w:val="center"/>
              <w:textAlignment w:val="center"/>
              <w:rPr>
                <w:color w:val="auto"/>
                <w:sz w:val="21"/>
                <w:szCs w:val="21"/>
                <w:lang w:bidi="ar"/>
              </w:rPr>
            </w:pPr>
            <w:r>
              <w:rPr>
                <w:color w:val="auto"/>
                <w:sz w:val="21"/>
                <w:szCs w:val="21"/>
                <w:lang w:bidi="ar"/>
              </w:rPr>
              <w:t>万m</w:t>
            </w:r>
            <w:r>
              <w:rPr>
                <w:color w:val="auto"/>
                <w:sz w:val="21"/>
                <w:szCs w:val="21"/>
                <w:vertAlign w:val="superscript"/>
                <w:lang w:bidi="ar"/>
              </w:rPr>
              <w:t>3</w:t>
            </w:r>
            <w:r>
              <w:rPr>
                <w:color w:val="auto"/>
                <w:sz w:val="21"/>
                <w:szCs w:val="21"/>
                <w:lang w:bidi="ar"/>
              </w:rPr>
              <w:t>/d</w:t>
            </w:r>
          </w:p>
        </w:tc>
        <w:tc>
          <w:tcPr>
            <w:tcW w:w="716" w:type="pct"/>
            <w:vMerge w:val="continue"/>
            <w:tcBorders>
              <w:tl2br w:val="nil"/>
              <w:tr2bl w:val="nil"/>
            </w:tcBorders>
            <w:vAlign w:val="center"/>
          </w:tcPr>
          <w:p w14:paraId="1CB32A0D">
            <w:pPr>
              <w:widowControl/>
              <w:spacing w:line="240" w:lineRule="auto"/>
              <w:ind w:firstLine="0" w:firstLineChars="0"/>
              <w:jc w:val="center"/>
              <w:textAlignment w:val="center"/>
              <w:rPr>
                <w:color w:val="auto"/>
                <w:sz w:val="21"/>
                <w:szCs w:val="21"/>
                <w:lang w:bidi="ar"/>
              </w:rPr>
            </w:pPr>
          </w:p>
        </w:tc>
        <w:tc>
          <w:tcPr>
            <w:tcW w:w="1016" w:type="pct"/>
            <w:vMerge w:val="continue"/>
            <w:tcBorders>
              <w:tl2br w:val="nil"/>
              <w:tr2bl w:val="nil"/>
            </w:tcBorders>
            <w:vAlign w:val="center"/>
          </w:tcPr>
          <w:p w14:paraId="1D5F0A2C">
            <w:pPr>
              <w:widowControl/>
              <w:spacing w:line="240" w:lineRule="auto"/>
              <w:ind w:firstLine="0" w:firstLineChars="0"/>
              <w:jc w:val="center"/>
              <w:textAlignment w:val="center"/>
              <w:rPr>
                <w:color w:val="auto"/>
                <w:sz w:val="21"/>
                <w:szCs w:val="21"/>
                <w:lang w:bidi="ar"/>
              </w:rPr>
            </w:pPr>
          </w:p>
        </w:tc>
        <w:tc>
          <w:tcPr>
            <w:tcW w:w="1105" w:type="pct"/>
            <w:vMerge w:val="continue"/>
            <w:tcBorders>
              <w:tl2br w:val="nil"/>
              <w:tr2bl w:val="nil"/>
            </w:tcBorders>
            <w:vAlign w:val="center"/>
          </w:tcPr>
          <w:p w14:paraId="5DE39544">
            <w:pPr>
              <w:widowControl/>
              <w:spacing w:line="240" w:lineRule="auto"/>
              <w:ind w:firstLine="0" w:firstLineChars="0"/>
              <w:jc w:val="center"/>
              <w:textAlignment w:val="center"/>
              <w:rPr>
                <w:color w:val="auto"/>
                <w:sz w:val="21"/>
                <w:szCs w:val="21"/>
                <w:lang w:bidi="ar"/>
              </w:rPr>
            </w:pPr>
          </w:p>
        </w:tc>
      </w:tr>
      <w:tr w14:paraId="32A8D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pct"/>
            <w:tcBorders>
              <w:tl2br w:val="nil"/>
              <w:tr2bl w:val="nil"/>
            </w:tcBorders>
            <w:vAlign w:val="center"/>
          </w:tcPr>
          <w:p w14:paraId="5CA5AF03">
            <w:pPr>
              <w:widowControl/>
              <w:spacing w:line="240" w:lineRule="auto"/>
              <w:ind w:firstLine="0" w:firstLineChars="0"/>
              <w:jc w:val="center"/>
              <w:textAlignment w:val="center"/>
              <w:rPr>
                <w:color w:val="auto"/>
                <w:sz w:val="21"/>
                <w:szCs w:val="21"/>
                <w:lang w:bidi="ar"/>
              </w:rPr>
            </w:pPr>
            <w:r>
              <w:rPr>
                <w:color w:val="auto"/>
                <w:sz w:val="21"/>
                <w:szCs w:val="21"/>
                <w:lang w:bidi="ar"/>
              </w:rPr>
              <w:t>A区</w:t>
            </w:r>
          </w:p>
        </w:tc>
        <w:tc>
          <w:tcPr>
            <w:tcW w:w="761" w:type="pct"/>
            <w:tcBorders>
              <w:tl2br w:val="nil"/>
              <w:tr2bl w:val="nil"/>
            </w:tcBorders>
            <w:vAlign w:val="center"/>
          </w:tcPr>
          <w:p w14:paraId="793132FE">
            <w:pPr>
              <w:widowControl/>
              <w:spacing w:line="240" w:lineRule="auto"/>
              <w:ind w:firstLine="0" w:firstLineChars="0"/>
              <w:jc w:val="center"/>
              <w:textAlignment w:val="center"/>
              <w:rPr>
                <w:color w:val="auto"/>
                <w:sz w:val="21"/>
                <w:szCs w:val="21"/>
                <w:lang w:bidi="ar"/>
              </w:rPr>
            </w:pPr>
            <w:r>
              <w:rPr>
                <w:color w:val="auto"/>
                <w:sz w:val="21"/>
                <w:szCs w:val="21"/>
                <w:lang w:bidi="ar"/>
              </w:rPr>
              <w:t>581.45</w:t>
            </w:r>
          </w:p>
        </w:tc>
        <w:tc>
          <w:tcPr>
            <w:tcW w:w="932" w:type="pct"/>
            <w:tcBorders>
              <w:tl2br w:val="nil"/>
              <w:tr2bl w:val="nil"/>
            </w:tcBorders>
            <w:vAlign w:val="center"/>
          </w:tcPr>
          <w:p w14:paraId="2CE68626">
            <w:pPr>
              <w:widowControl/>
              <w:spacing w:line="240" w:lineRule="auto"/>
              <w:ind w:firstLine="0" w:firstLineChars="0"/>
              <w:jc w:val="center"/>
              <w:textAlignment w:val="center"/>
              <w:rPr>
                <w:color w:val="auto"/>
                <w:sz w:val="21"/>
                <w:szCs w:val="21"/>
                <w:lang w:bidi="ar"/>
              </w:rPr>
            </w:pPr>
            <w:r>
              <w:rPr>
                <w:color w:val="auto"/>
                <w:sz w:val="21"/>
                <w:szCs w:val="21"/>
                <w:lang w:bidi="ar"/>
              </w:rPr>
              <w:t>1.91</w:t>
            </w:r>
          </w:p>
        </w:tc>
        <w:tc>
          <w:tcPr>
            <w:tcW w:w="716" w:type="pct"/>
            <w:tcBorders>
              <w:tl2br w:val="nil"/>
              <w:tr2bl w:val="nil"/>
            </w:tcBorders>
            <w:vAlign w:val="center"/>
          </w:tcPr>
          <w:p w14:paraId="7BB561F7">
            <w:pPr>
              <w:widowControl/>
              <w:spacing w:line="240" w:lineRule="auto"/>
              <w:ind w:firstLine="0" w:firstLineChars="0"/>
              <w:jc w:val="center"/>
              <w:textAlignment w:val="center"/>
              <w:rPr>
                <w:color w:val="auto"/>
                <w:sz w:val="21"/>
                <w:szCs w:val="21"/>
                <w:lang w:bidi="ar"/>
              </w:rPr>
            </w:pPr>
            <w:r>
              <w:rPr>
                <w:color w:val="auto"/>
                <w:sz w:val="21"/>
                <w:szCs w:val="21"/>
                <w:lang w:bidi="ar"/>
              </w:rPr>
              <w:t>和尚山水厂</w:t>
            </w:r>
          </w:p>
        </w:tc>
        <w:tc>
          <w:tcPr>
            <w:tcW w:w="1016" w:type="pct"/>
            <w:tcBorders>
              <w:tl2br w:val="nil"/>
              <w:tr2bl w:val="nil"/>
            </w:tcBorders>
            <w:vAlign w:val="center"/>
          </w:tcPr>
          <w:p w14:paraId="4F170F68">
            <w:pPr>
              <w:widowControl/>
              <w:spacing w:line="240" w:lineRule="auto"/>
              <w:ind w:firstLine="0" w:firstLineChars="0"/>
              <w:jc w:val="center"/>
              <w:textAlignment w:val="center"/>
              <w:rPr>
                <w:color w:val="auto"/>
                <w:sz w:val="21"/>
                <w:szCs w:val="21"/>
                <w:lang w:bidi="ar"/>
              </w:rPr>
            </w:pPr>
            <w:r>
              <w:rPr>
                <w:color w:val="auto"/>
                <w:sz w:val="21"/>
                <w:szCs w:val="21"/>
                <w:lang w:bidi="ar"/>
              </w:rPr>
              <w:t>35</w:t>
            </w:r>
          </w:p>
        </w:tc>
        <w:tc>
          <w:tcPr>
            <w:tcW w:w="2001" w:type="dxa"/>
            <w:tcBorders>
              <w:tl2br w:val="nil"/>
              <w:tr2bl w:val="nil"/>
            </w:tcBorders>
            <w:vAlign w:val="center"/>
          </w:tcPr>
          <w:p w14:paraId="6C47B2C7">
            <w:pPr>
              <w:widowControl/>
              <w:spacing w:line="240" w:lineRule="auto"/>
              <w:ind w:firstLine="0" w:firstLineChars="0"/>
              <w:jc w:val="center"/>
              <w:textAlignment w:val="center"/>
              <w:rPr>
                <w:color w:val="auto"/>
                <w:sz w:val="21"/>
                <w:szCs w:val="21"/>
                <w:lang w:bidi="ar"/>
              </w:rPr>
            </w:pPr>
            <w:r>
              <w:rPr>
                <w:color w:val="auto"/>
                <w:sz w:val="21"/>
                <w:szCs w:val="21"/>
                <w:lang w:bidi="ar"/>
              </w:rPr>
              <w:t>5.46%</w:t>
            </w:r>
          </w:p>
        </w:tc>
      </w:tr>
      <w:tr w14:paraId="1F6AAA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pct"/>
            <w:tcBorders>
              <w:tl2br w:val="nil"/>
              <w:tr2bl w:val="nil"/>
            </w:tcBorders>
            <w:vAlign w:val="center"/>
          </w:tcPr>
          <w:p w14:paraId="342F7ED1">
            <w:pPr>
              <w:widowControl/>
              <w:spacing w:line="240" w:lineRule="auto"/>
              <w:ind w:firstLine="0" w:firstLineChars="0"/>
              <w:jc w:val="center"/>
              <w:textAlignment w:val="center"/>
              <w:rPr>
                <w:color w:val="auto"/>
                <w:sz w:val="21"/>
                <w:szCs w:val="21"/>
                <w:lang w:bidi="ar"/>
              </w:rPr>
            </w:pPr>
            <w:r>
              <w:rPr>
                <w:color w:val="auto"/>
                <w:sz w:val="21"/>
                <w:szCs w:val="21"/>
                <w:lang w:bidi="ar"/>
              </w:rPr>
              <w:t>B区</w:t>
            </w:r>
          </w:p>
        </w:tc>
        <w:tc>
          <w:tcPr>
            <w:tcW w:w="761" w:type="pct"/>
            <w:tcBorders>
              <w:tl2br w:val="nil"/>
              <w:tr2bl w:val="nil"/>
            </w:tcBorders>
            <w:vAlign w:val="center"/>
          </w:tcPr>
          <w:p w14:paraId="72094116">
            <w:pPr>
              <w:widowControl/>
              <w:spacing w:line="240" w:lineRule="auto"/>
              <w:ind w:firstLine="0" w:firstLineChars="0"/>
              <w:jc w:val="center"/>
              <w:textAlignment w:val="center"/>
              <w:rPr>
                <w:color w:val="auto"/>
                <w:sz w:val="21"/>
                <w:szCs w:val="21"/>
                <w:lang w:bidi="ar"/>
              </w:rPr>
            </w:pPr>
            <w:r>
              <w:rPr>
                <w:color w:val="auto"/>
                <w:sz w:val="21"/>
                <w:szCs w:val="21"/>
                <w:lang w:bidi="ar"/>
              </w:rPr>
              <w:t xml:space="preserve">1770.09 </w:t>
            </w:r>
          </w:p>
        </w:tc>
        <w:tc>
          <w:tcPr>
            <w:tcW w:w="932" w:type="pct"/>
            <w:tcBorders>
              <w:tl2br w:val="nil"/>
              <w:tr2bl w:val="nil"/>
            </w:tcBorders>
            <w:vAlign w:val="center"/>
          </w:tcPr>
          <w:p w14:paraId="10FA672F">
            <w:pPr>
              <w:widowControl/>
              <w:spacing w:line="240" w:lineRule="auto"/>
              <w:ind w:firstLine="0" w:firstLineChars="0"/>
              <w:jc w:val="center"/>
              <w:textAlignment w:val="center"/>
              <w:rPr>
                <w:color w:val="auto"/>
                <w:sz w:val="21"/>
                <w:szCs w:val="21"/>
                <w:lang w:bidi="ar"/>
              </w:rPr>
            </w:pPr>
            <w:r>
              <w:rPr>
                <w:color w:val="auto"/>
                <w:sz w:val="21"/>
                <w:szCs w:val="21"/>
                <w:lang w:bidi="ar"/>
              </w:rPr>
              <w:t>5.82</w:t>
            </w:r>
          </w:p>
        </w:tc>
        <w:tc>
          <w:tcPr>
            <w:tcW w:w="716" w:type="pct"/>
            <w:tcBorders>
              <w:tl2br w:val="nil"/>
              <w:tr2bl w:val="nil"/>
            </w:tcBorders>
            <w:vAlign w:val="center"/>
          </w:tcPr>
          <w:p w14:paraId="7688FA41">
            <w:pPr>
              <w:widowControl/>
              <w:spacing w:line="240" w:lineRule="auto"/>
              <w:ind w:firstLine="0" w:firstLineChars="0"/>
              <w:jc w:val="center"/>
              <w:textAlignment w:val="center"/>
              <w:rPr>
                <w:color w:val="auto"/>
                <w:sz w:val="21"/>
                <w:szCs w:val="21"/>
                <w:lang w:bidi="ar"/>
              </w:rPr>
            </w:pPr>
            <w:r>
              <w:rPr>
                <w:color w:val="auto"/>
                <w:sz w:val="21"/>
                <w:szCs w:val="21"/>
                <w:lang w:bidi="ar"/>
              </w:rPr>
              <w:t>丰收坝水厂</w:t>
            </w:r>
          </w:p>
        </w:tc>
        <w:tc>
          <w:tcPr>
            <w:tcW w:w="1016" w:type="pct"/>
            <w:tcBorders>
              <w:tl2br w:val="nil"/>
              <w:tr2bl w:val="nil"/>
            </w:tcBorders>
            <w:vAlign w:val="center"/>
          </w:tcPr>
          <w:p w14:paraId="3F2186A8">
            <w:pPr>
              <w:widowControl/>
              <w:spacing w:line="240" w:lineRule="auto"/>
              <w:ind w:firstLine="0" w:firstLineChars="0"/>
              <w:jc w:val="center"/>
              <w:textAlignment w:val="center"/>
              <w:rPr>
                <w:color w:val="auto"/>
                <w:sz w:val="21"/>
                <w:szCs w:val="21"/>
                <w:lang w:bidi="ar"/>
              </w:rPr>
            </w:pPr>
            <w:r>
              <w:rPr>
                <w:color w:val="auto"/>
                <w:sz w:val="21"/>
                <w:szCs w:val="21"/>
                <w:lang w:bidi="ar"/>
              </w:rPr>
              <w:t>40</w:t>
            </w:r>
          </w:p>
        </w:tc>
        <w:tc>
          <w:tcPr>
            <w:tcW w:w="2001" w:type="dxa"/>
            <w:tcBorders>
              <w:tl2br w:val="nil"/>
              <w:tr2bl w:val="nil"/>
            </w:tcBorders>
            <w:vAlign w:val="center"/>
          </w:tcPr>
          <w:p w14:paraId="4E2DBCAD">
            <w:pPr>
              <w:widowControl/>
              <w:spacing w:line="240" w:lineRule="auto"/>
              <w:ind w:firstLine="0" w:firstLineChars="0"/>
              <w:jc w:val="center"/>
              <w:textAlignment w:val="center"/>
              <w:rPr>
                <w:color w:val="auto"/>
                <w:sz w:val="21"/>
                <w:szCs w:val="21"/>
                <w:lang w:bidi="ar"/>
              </w:rPr>
            </w:pPr>
            <w:r>
              <w:rPr>
                <w:color w:val="auto"/>
                <w:sz w:val="21"/>
                <w:szCs w:val="21"/>
                <w:lang w:bidi="ar"/>
              </w:rPr>
              <w:t>14.55%</w:t>
            </w:r>
          </w:p>
        </w:tc>
      </w:tr>
      <w:tr w14:paraId="12160C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pct"/>
            <w:tcBorders>
              <w:tl2br w:val="nil"/>
              <w:tr2bl w:val="nil"/>
            </w:tcBorders>
            <w:vAlign w:val="center"/>
          </w:tcPr>
          <w:p w14:paraId="57260401">
            <w:pPr>
              <w:widowControl/>
              <w:spacing w:line="240" w:lineRule="auto"/>
              <w:ind w:firstLine="0" w:firstLineChars="0"/>
              <w:jc w:val="center"/>
              <w:textAlignment w:val="center"/>
              <w:rPr>
                <w:color w:val="auto"/>
                <w:sz w:val="21"/>
                <w:szCs w:val="21"/>
                <w:lang w:bidi="ar"/>
              </w:rPr>
            </w:pPr>
            <w:r>
              <w:rPr>
                <w:color w:val="auto"/>
                <w:sz w:val="21"/>
                <w:szCs w:val="21"/>
                <w:lang w:bidi="ar"/>
              </w:rPr>
              <w:t>C区</w:t>
            </w:r>
          </w:p>
        </w:tc>
        <w:tc>
          <w:tcPr>
            <w:tcW w:w="761" w:type="pct"/>
            <w:tcBorders>
              <w:tl2br w:val="nil"/>
              <w:tr2bl w:val="nil"/>
            </w:tcBorders>
            <w:vAlign w:val="center"/>
          </w:tcPr>
          <w:p w14:paraId="1DDEF961">
            <w:pPr>
              <w:widowControl/>
              <w:spacing w:line="240" w:lineRule="auto"/>
              <w:ind w:firstLine="0" w:firstLineChars="0"/>
              <w:jc w:val="center"/>
              <w:textAlignment w:val="center"/>
              <w:rPr>
                <w:color w:val="auto"/>
                <w:sz w:val="21"/>
                <w:szCs w:val="21"/>
                <w:lang w:bidi="ar"/>
              </w:rPr>
            </w:pPr>
            <w:r>
              <w:rPr>
                <w:color w:val="auto"/>
                <w:sz w:val="21"/>
                <w:szCs w:val="21"/>
                <w:lang w:bidi="ar"/>
              </w:rPr>
              <w:t>1334.42</w:t>
            </w:r>
          </w:p>
        </w:tc>
        <w:tc>
          <w:tcPr>
            <w:tcW w:w="932" w:type="pct"/>
            <w:tcBorders>
              <w:tl2br w:val="nil"/>
              <w:tr2bl w:val="nil"/>
            </w:tcBorders>
            <w:vAlign w:val="center"/>
          </w:tcPr>
          <w:p w14:paraId="57C9636F">
            <w:pPr>
              <w:widowControl/>
              <w:spacing w:line="240" w:lineRule="auto"/>
              <w:ind w:firstLine="0" w:firstLineChars="0"/>
              <w:jc w:val="center"/>
              <w:textAlignment w:val="center"/>
              <w:rPr>
                <w:color w:val="auto"/>
                <w:sz w:val="21"/>
                <w:szCs w:val="21"/>
                <w:lang w:bidi="ar"/>
              </w:rPr>
            </w:pPr>
            <w:r>
              <w:rPr>
                <w:color w:val="auto"/>
                <w:sz w:val="21"/>
                <w:szCs w:val="21"/>
                <w:lang w:bidi="ar"/>
              </w:rPr>
              <w:t>4.39</w:t>
            </w:r>
          </w:p>
        </w:tc>
        <w:tc>
          <w:tcPr>
            <w:tcW w:w="716" w:type="pct"/>
            <w:tcBorders>
              <w:tl2br w:val="nil"/>
              <w:tr2bl w:val="nil"/>
            </w:tcBorders>
            <w:vAlign w:val="center"/>
          </w:tcPr>
          <w:p w14:paraId="14CB5F6C">
            <w:pPr>
              <w:widowControl/>
              <w:spacing w:line="240" w:lineRule="auto"/>
              <w:ind w:firstLine="0" w:firstLineChars="0"/>
              <w:jc w:val="center"/>
              <w:textAlignment w:val="center"/>
              <w:rPr>
                <w:color w:val="auto"/>
                <w:sz w:val="21"/>
                <w:szCs w:val="21"/>
                <w:lang w:bidi="ar"/>
              </w:rPr>
            </w:pPr>
            <w:r>
              <w:rPr>
                <w:color w:val="auto"/>
                <w:sz w:val="21"/>
                <w:szCs w:val="21"/>
                <w:lang w:bidi="ar"/>
              </w:rPr>
              <w:t>西彭水厂</w:t>
            </w:r>
          </w:p>
        </w:tc>
        <w:tc>
          <w:tcPr>
            <w:tcW w:w="1016" w:type="pct"/>
            <w:tcBorders>
              <w:tl2br w:val="nil"/>
              <w:tr2bl w:val="nil"/>
            </w:tcBorders>
            <w:vAlign w:val="center"/>
          </w:tcPr>
          <w:p w14:paraId="59AFECD8">
            <w:pPr>
              <w:widowControl/>
              <w:spacing w:line="240" w:lineRule="auto"/>
              <w:ind w:firstLine="0" w:firstLineChars="0"/>
              <w:jc w:val="center"/>
              <w:textAlignment w:val="center"/>
              <w:rPr>
                <w:color w:val="auto"/>
                <w:sz w:val="21"/>
                <w:szCs w:val="21"/>
                <w:lang w:bidi="ar"/>
              </w:rPr>
            </w:pPr>
            <w:r>
              <w:rPr>
                <w:color w:val="auto"/>
                <w:sz w:val="21"/>
                <w:szCs w:val="21"/>
                <w:lang w:bidi="ar"/>
              </w:rPr>
              <w:t>40</w:t>
            </w:r>
          </w:p>
        </w:tc>
        <w:tc>
          <w:tcPr>
            <w:tcW w:w="2001" w:type="dxa"/>
            <w:tcBorders>
              <w:tl2br w:val="nil"/>
              <w:tr2bl w:val="nil"/>
            </w:tcBorders>
            <w:vAlign w:val="center"/>
          </w:tcPr>
          <w:p w14:paraId="4DC51D15">
            <w:pPr>
              <w:widowControl/>
              <w:spacing w:line="240" w:lineRule="auto"/>
              <w:ind w:firstLine="0" w:firstLineChars="0"/>
              <w:jc w:val="center"/>
              <w:textAlignment w:val="center"/>
              <w:rPr>
                <w:color w:val="auto"/>
                <w:sz w:val="21"/>
                <w:szCs w:val="21"/>
                <w:lang w:bidi="ar"/>
              </w:rPr>
            </w:pPr>
            <w:r>
              <w:rPr>
                <w:color w:val="auto"/>
                <w:sz w:val="21"/>
                <w:szCs w:val="21"/>
                <w:lang w:bidi="ar"/>
              </w:rPr>
              <w:t>10.97%</w:t>
            </w:r>
          </w:p>
        </w:tc>
      </w:tr>
      <w:tr w14:paraId="7F225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pct"/>
            <w:tcBorders>
              <w:tl2br w:val="nil"/>
              <w:tr2bl w:val="nil"/>
            </w:tcBorders>
            <w:vAlign w:val="center"/>
          </w:tcPr>
          <w:p w14:paraId="05259730">
            <w:pPr>
              <w:widowControl/>
              <w:spacing w:line="240" w:lineRule="auto"/>
              <w:ind w:firstLine="0" w:firstLineChars="0"/>
              <w:jc w:val="center"/>
              <w:textAlignment w:val="center"/>
              <w:rPr>
                <w:color w:val="auto"/>
                <w:sz w:val="21"/>
                <w:szCs w:val="21"/>
                <w:lang w:bidi="ar"/>
              </w:rPr>
            </w:pPr>
            <w:r>
              <w:rPr>
                <w:color w:val="auto"/>
                <w:sz w:val="21"/>
                <w:szCs w:val="21"/>
                <w:lang w:bidi="ar"/>
              </w:rPr>
              <w:t>合计</w:t>
            </w:r>
          </w:p>
        </w:tc>
        <w:tc>
          <w:tcPr>
            <w:tcW w:w="761" w:type="pct"/>
            <w:tcBorders>
              <w:tl2br w:val="nil"/>
              <w:tr2bl w:val="nil"/>
            </w:tcBorders>
            <w:vAlign w:val="center"/>
          </w:tcPr>
          <w:p w14:paraId="0B1908D7">
            <w:pPr>
              <w:widowControl/>
              <w:spacing w:line="240" w:lineRule="auto"/>
              <w:ind w:firstLine="0" w:firstLineChars="0"/>
              <w:jc w:val="center"/>
              <w:textAlignment w:val="center"/>
              <w:rPr>
                <w:color w:val="auto"/>
                <w:sz w:val="21"/>
                <w:szCs w:val="21"/>
                <w:lang w:bidi="ar"/>
              </w:rPr>
            </w:pPr>
            <w:r>
              <w:rPr>
                <w:color w:val="auto"/>
                <w:sz w:val="21"/>
                <w:szCs w:val="21"/>
                <w:lang w:bidi="ar"/>
              </w:rPr>
              <w:t>3685.95</w:t>
            </w:r>
          </w:p>
        </w:tc>
        <w:tc>
          <w:tcPr>
            <w:tcW w:w="932" w:type="pct"/>
            <w:tcBorders>
              <w:tl2br w:val="nil"/>
              <w:tr2bl w:val="nil"/>
            </w:tcBorders>
            <w:vAlign w:val="center"/>
          </w:tcPr>
          <w:p w14:paraId="461DFD18">
            <w:pPr>
              <w:widowControl/>
              <w:spacing w:line="240" w:lineRule="auto"/>
              <w:ind w:firstLine="0" w:firstLineChars="0"/>
              <w:jc w:val="center"/>
              <w:textAlignment w:val="center"/>
              <w:rPr>
                <w:color w:val="auto"/>
                <w:sz w:val="21"/>
                <w:szCs w:val="21"/>
                <w:lang w:bidi="ar"/>
              </w:rPr>
            </w:pPr>
            <w:r>
              <w:rPr>
                <w:color w:val="auto"/>
                <w:sz w:val="21"/>
                <w:szCs w:val="21"/>
                <w:lang w:bidi="ar"/>
              </w:rPr>
              <w:t>12.12</w:t>
            </w:r>
          </w:p>
        </w:tc>
        <w:tc>
          <w:tcPr>
            <w:tcW w:w="716" w:type="pct"/>
            <w:tcBorders>
              <w:tl2br w:val="nil"/>
              <w:tr2bl w:val="nil"/>
            </w:tcBorders>
            <w:vAlign w:val="center"/>
          </w:tcPr>
          <w:p w14:paraId="4D613E8D">
            <w:pPr>
              <w:widowControl/>
              <w:spacing w:line="240" w:lineRule="auto"/>
              <w:ind w:firstLine="0" w:firstLineChars="0"/>
              <w:jc w:val="center"/>
              <w:textAlignment w:val="center"/>
              <w:rPr>
                <w:color w:val="auto"/>
                <w:sz w:val="21"/>
                <w:szCs w:val="21"/>
                <w:lang w:bidi="ar"/>
              </w:rPr>
            </w:pPr>
          </w:p>
        </w:tc>
        <w:tc>
          <w:tcPr>
            <w:tcW w:w="1016" w:type="pct"/>
            <w:tcBorders>
              <w:tl2br w:val="nil"/>
              <w:tr2bl w:val="nil"/>
            </w:tcBorders>
            <w:vAlign w:val="center"/>
          </w:tcPr>
          <w:p w14:paraId="5FD0D4FF">
            <w:pPr>
              <w:widowControl/>
              <w:spacing w:line="240" w:lineRule="auto"/>
              <w:ind w:firstLine="0" w:firstLineChars="0"/>
              <w:jc w:val="center"/>
              <w:textAlignment w:val="center"/>
              <w:rPr>
                <w:color w:val="auto"/>
                <w:sz w:val="21"/>
                <w:szCs w:val="21"/>
                <w:lang w:bidi="ar"/>
              </w:rPr>
            </w:pPr>
            <w:r>
              <w:rPr>
                <w:color w:val="auto"/>
                <w:sz w:val="21"/>
                <w:szCs w:val="21"/>
                <w:lang w:bidi="ar"/>
              </w:rPr>
              <w:t>115</w:t>
            </w:r>
          </w:p>
        </w:tc>
        <w:tc>
          <w:tcPr>
            <w:tcW w:w="2001" w:type="dxa"/>
            <w:tcBorders>
              <w:tl2br w:val="nil"/>
              <w:tr2bl w:val="nil"/>
            </w:tcBorders>
            <w:vAlign w:val="center"/>
          </w:tcPr>
          <w:p w14:paraId="01D0A9D6">
            <w:pPr>
              <w:widowControl/>
              <w:spacing w:line="240" w:lineRule="auto"/>
              <w:ind w:firstLine="0" w:firstLineChars="0"/>
              <w:jc w:val="center"/>
              <w:textAlignment w:val="center"/>
              <w:rPr>
                <w:color w:val="auto"/>
                <w:sz w:val="21"/>
                <w:szCs w:val="21"/>
                <w:lang w:bidi="ar"/>
              </w:rPr>
            </w:pPr>
          </w:p>
        </w:tc>
      </w:tr>
    </w:tbl>
    <w:p w14:paraId="1307EC2B">
      <w:pPr>
        <w:ind w:firstLine="480"/>
        <w:rPr>
          <w:color w:val="auto"/>
        </w:rPr>
      </w:pPr>
      <w:r>
        <w:rPr>
          <w:color w:val="auto"/>
        </w:rPr>
        <w:t>因为九龙工业园区A、B、C三区的供水水厂相对独立，不存在交叉供水，因此本次从分别分析水厂的供水规模是否满足需水要求。</w:t>
      </w:r>
    </w:p>
    <w:p w14:paraId="5521CA9C">
      <w:pPr>
        <w:ind w:firstLine="480"/>
        <w:rPr>
          <w:b/>
          <w:bCs/>
          <w:color w:val="auto"/>
          <w:szCs w:val="24"/>
        </w:rPr>
      </w:pPr>
      <w:r>
        <w:rPr>
          <w:color w:val="auto"/>
          <w:szCs w:val="24"/>
        </w:rPr>
        <w:t>A区2025年最高日需水量占</w:t>
      </w:r>
      <w:r>
        <w:rPr>
          <w:color w:val="auto"/>
          <w:szCs w:val="24"/>
          <w:lang w:bidi="ar"/>
        </w:rPr>
        <w:t>和尚山水厂2025年</w:t>
      </w:r>
      <w:r>
        <w:rPr>
          <w:color w:val="auto"/>
          <w:szCs w:val="24"/>
        </w:rPr>
        <w:t>供水能力的5.46%；B区2025年最高日需水量站丰收坝水厂2025年的供水能力为14.55%；C区2025年最高日需水量占西彭水厂2025年的供水能力的10.97%。</w:t>
      </w:r>
      <w:r>
        <w:rPr>
          <w:b/>
          <w:bCs/>
          <w:color w:val="auto"/>
          <w:szCs w:val="24"/>
        </w:rPr>
        <w:t>并且根据各水厂的初步设计报告以及水资源论证报告，各水厂在确定水厂规模时九龙工业园区均在其供水范围内。</w:t>
      </w:r>
    </w:p>
    <w:p w14:paraId="56605CC8">
      <w:pPr>
        <w:ind w:firstLine="482"/>
        <w:rPr>
          <w:b/>
          <w:bCs/>
          <w:color w:val="auto"/>
        </w:rPr>
      </w:pPr>
      <w:r>
        <w:rPr>
          <w:b/>
          <w:bCs/>
          <w:color w:val="auto"/>
        </w:rPr>
        <w:t>因此九龙工业园2025年的水资源配置是合理的。</w:t>
      </w:r>
    </w:p>
    <w:p w14:paraId="34D613F5">
      <w:pPr>
        <w:pStyle w:val="4"/>
        <w:numPr>
          <w:ilvl w:val="1"/>
          <w:numId w:val="0"/>
        </w:numPr>
        <w:spacing w:before="166" w:after="166"/>
        <w:rPr>
          <w:color w:val="auto"/>
        </w:rPr>
      </w:pPr>
      <w:bookmarkStart w:id="68" w:name="_Toc15461"/>
      <w:bookmarkStart w:id="69" w:name="_Toc31839"/>
      <w:r>
        <w:rPr>
          <w:color w:val="auto"/>
        </w:rPr>
        <w:t>6.3水资源配置方案的可靠性、可行性分析</w:t>
      </w:r>
      <w:bookmarkEnd w:id="68"/>
      <w:bookmarkEnd w:id="69"/>
    </w:p>
    <w:p w14:paraId="4E79329B">
      <w:pPr>
        <w:pStyle w:val="5"/>
        <w:numPr>
          <w:ilvl w:val="0"/>
          <w:numId w:val="0"/>
        </w:numPr>
        <w:spacing w:before="166" w:after="166"/>
        <w:rPr>
          <w:color w:val="auto"/>
        </w:rPr>
      </w:pPr>
      <w:r>
        <w:rPr>
          <w:color w:val="auto"/>
        </w:rPr>
        <w:t>6.3.1 取水水量可靠性分析</w:t>
      </w:r>
    </w:p>
    <w:p w14:paraId="6B7E229C">
      <w:pPr>
        <w:ind w:firstLine="480"/>
        <w:rPr>
          <w:color w:val="auto"/>
        </w:rPr>
      </w:pPr>
      <w:r>
        <w:rPr>
          <w:color w:val="auto"/>
        </w:rPr>
        <w:t>根据前述水源论证，九龙工业园区A区规划年由</w:t>
      </w:r>
      <w:bookmarkStart w:id="70" w:name="OLE_LINK28"/>
      <w:r>
        <w:rPr>
          <w:color w:val="auto"/>
        </w:rPr>
        <w:t>和尚山水厂（长江水源）</w:t>
      </w:r>
      <w:bookmarkEnd w:id="70"/>
      <w:r>
        <w:rPr>
          <w:color w:val="auto"/>
        </w:rPr>
        <w:t>供水，B区水要由丰收坝水厂供水（长江水源），C区由西彭水厂供水。</w:t>
      </w:r>
    </w:p>
    <w:p w14:paraId="7D0C1AD5">
      <w:pPr>
        <w:ind w:firstLine="482"/>
        <w:rPr>
          <w:b/>
          <w:bCs/>
          <w:color w:val="auto"/>
        </w:rPr>
      </w:pPr>
      <w:r>
        <w:rPr>
          <w:b/>
          <w:bCs/>
          <w:color w:val="auto"/>
        </w:rPr>
        <w:t>（1）和尚山水厂</w:t>
      </w:r>
    </w:p>
    <w:p w14:paraId="072E21F5">
      <w:pPr>
        <w:ind w:firstLine="480"/>
        <w:rPr>
          <w:color w:val="auto"/>
        </w:rPr>
      </w:pPr>
      <w:r>
        <w:rPr>
          <w:color w:val="auto"/>
        </w:rPr>
        <w:t>根据《重庆市自来水有限公司和尚山水厂工程水资源论证报告书》（重庆市水利电力建筑勘测设计研究院，2020年9月），和尚山水厂主要结论如下：</w:t>
      </w:r>
    </w:p>
    <w:p w14:paraId="558991D5">
      <w:pPr>
        <w:ind w:firstLine="480"/>
        <w:rPr>
          <w:color w:val="auto"/>
        </w:rPr>
      </w:pPr>
      <w:r>
        <w:rPr>
          <w:color w:val="auto"/>
        </w:rPr>
        <w:t>1）取水方案</w:t>
      </w:r>
    </w:p>
    <w:p w14:paraId="1803025C">
      <w:pPr>
        <w:adjustRightInd w:val="0"/>
        <w:snapToGrid w:val="0"/>
        <w:ind w:firstLine="480"/>
        <w:rPr>
          <w:color w:val="auto"/>
        </w:rPr>
      </w:pPr>
      <w:r>
        <w:rPr>
          <w:color w:val="auto"/>
        </w:rPr>
        <w:t>和尚山水厂取水水源为长江，取水口位于重庆市九龙坡区长江干流左岸九龙滩，朝天门上游约14.4km处。泵房采用深井泵房，结构形式为钢筋砼+框架结构，深井尺寸D=18m，地面泵房L×B×H=30.0×24×11.4m。泵房内现有4台卧式离心泵，3用1备，3台单台Q=5500m</w:t>
      </w:r>
      <w:r>
        <w:rPr>
          <w:color w:val="auto"/>
          <w:vertAlign w:val="superscript"/>
        </w:rPr>
        <w:t>3</w:t>
      </w:r>
      <w:r>
        <w:rPr>
          <w:color w:val="auto"/>
        </w:rPr>
        <w:t>/h，H=75m，1台备用单台流量Q=4788m³/h，H=75m，N=1400kW。取水泵站现状取水泵站现状取水管2根，直径为DN1400，每根长度180m左右，取水管道总取水能力为15750m</w:t>
      </w:r>
      <w:r>
        <w:rPr>
          <w:color w:val="auto"/>
          <w:vertAlign w:val="superscript"/>
        </w:rPr>
        <w:t>3</w:t>
      </w:r>
      <w:r>
        <w:rPr>
          <w:color w:val="auto"/>
        </w:rPr>
        <w:t>/h，单根管道取水能力为7875m</w:t>
      </w:r>
      <w:r>
        <w:rPr>
          <w:color w:val="auto"/>
          <w:vertAlign w:val="superscript"/>
        </w:rPr>
        <w:t>3</w:t>
      </w:r>
      <w:r>
        <w:rPr>
          <w:color w:val="auto"/>
        </w:rPr>
        <w:t>/h，管道流速为1.42m/s，千米水头损失为1.395，取水管道水头损失为0.30m。</w:t>
      </w:r>
    </w:p>
    <w:p w14:paraId="7CAD7207">
      <w:pPr>
        <w:ind w:firstLine="480"/>
        <w:rPr>
          <w:color w:val="auto"/>
        </w:rPr>
      </w:pPr>
      <w:r>
        <w:rPr>
          <w:color w:val="auto"/>
        </w:rPr>
        <w:t>2）取水规模</w:t>
      </w:r>
    </w:p>
    <w:p w14:paraId="5E3BEDD0">
      <w:pPr>
        <w:adjustRightInd w:val="0"/>
        <w:ind w:firstLine="480"/>
        <w:rPr>
          <w:color w:val="auto"/>
        </w:rPr>
      </w:pPr>
      <w:r>
        <w:rPr>
          <w:color w:val="auto"/>
        </w:rPr>
        <w:t>和尚山水厂规模为35万m</w:t>
      </w:r>
      <w:r>
        <w:rPr>
          <w:color w:val="auto"/>
          <w:vertAlign w:val="superscript"/>
        </w:rPr>
        <w:t>3</w:t>
      </w:r>
      <w:r>
        <w:rPr>
          <w:color w:val="auto"/>
        </w:rPr>
        <w:t>/d，计入水厂自用水后，最大取水流量4.25m</w:t>
      </w:r>
      <w:r>
        <w:rPr>
          <w:color w:val="auto"/>
          <w:vertAlign w:val="superscript"/>
        </w:rPr>
        <w:t>3</w:t>
      </w:r>
      <w:r>
        <w:rPr>
          <w:color w:val="auto"/>
        </w:rPr>
        <w:t>/s，日平均取水量为36.75万m</w:t>
      </w:r>
      <w:r>
        <w:rPr>
          <w:color w:val="auto"/>
          <w:vertAlign w:val="superscript"/>
        </w:rPr>
        <w:t>3</w:t>
      </w:r>
      <w:r>
        <w:rPr>
          <w:color w:val="auto"/>
        </w:rPr>
        <w:t>/d，年平均取水量12194万m</w:t>
      </w:r>
      <w:r>
        <w:rPr>
          <w:color w:val="auto"/>
          <w:vertAlign w:val="superscript"/>
        </w:rPr>
        <w:t>3</w:t>
      </w:r>
      <w:r>
        <w:rPr>
          <w:color w:val="auto"/>
        </w:rPr>
        <w:t>/a，</w:t>
      </w:r>
    </w:p>
    <w:p w14:paraId="7EA13BD1">
      <w:pPr>
        <w:ind w:firstLine="480"/>
        <w:rPr>
          <w:bCs/>
          <w:color w:val="auto"/>
        </w:rPr>
      </w:pPr>
      <w:r>
        <w:rPr>
          <w:bCs/>
          <w:color w:val="auto"/>
        </w:rPr>
        <w:t>3）取水水量可靠性</w:t>
      </w:r>
    </w:p>
    <w:p w14:paraId="3F41B4DB">
      <w:pPr>
        <w:adjustRightInd w:val="0"/>
        <w:ind w:firstLine="480"/>
        <w:rPr>
          <w:color w:val="auto"/>
        </w:rPr>
      </w:pPr>
      <w:r>
        <w:rPr>
          <w:color w:val="auto"/>
        </w:rPr>
        <w:t>从年水量分析</w:t>
      </w:r>
      <w:r>
        <w:rPr>
          <w:rFonts w:hint="eastAsia"/>
          <w:color w:val="auto"/>
        </w:rPr>
        <w:t>，和尚山水厂</w:t>
      </w:r>
      <w:r>
        <w:rPr>
          <w:color w:val="auto"/>
        </w:rPr>
        <w:t>取水口断面多年平均可供水量为1281亿m</w:t>
      </w:r>
      <w:r>
        <w:rPr>
          <w:color w:val="auto"/>
          <w:vertAlign w:val="superscript"/>
        </w:rPr>
        <w:t>3</w:t>
      </w:r>
      <w:r>
        <w:rPr>
          <w:color w:val="auto"/>
        </w:rPr>
        <w:t>，P=97%情况下可供水量为632亿m³。</w:t>
      </w:r>
      <w:r>
        <w:rPr>
          <w:rFonts w:hint="eastAsia"/>
          <w:color w:val="auto"/>
        </w:rPr>
        <w:t>和尚山水厂</w:t>
      </w:r>
      <w:r>
        <w:rPr>
          <w:color w:val="auto"/>
        </w:rPr>
        <w:t>年取水量为12194万m</w:t>
      </w:r>
      <w:r>
        <w:rPr>
          <w:color w:val="auto"/>
          <w:vertAlign w:val="superscript"/>
        </w:rPr>
        <w:t>3</w:t>
      </w:r>
      <w:r>
        <w:rPr>
          <w:color w:val="auto"/>
        </w:rPr>
        <w:t>，仅占多年平均、P=97%可供水量的0.095%、0.193%。</w:t>
      </w:r>
    </w:p>
    <w:p w14:paraId="0B07FB04">
      <w:pPr>
        <w:adjustRightInd w:val="0"/>
        <w:ind w:firstLine="480"/>
        <w:rPr>
          <w:color w:val="auto"/>
        </w:rPr>
      </w:pPr>
      <w:r>
        <w:rPr>
          <w:color w:val="auto"/>
        </w:rPr>
        <w:t>从最小日均流量分析，</w:t>
      </w:r>
      <w:r>
        <w:rPr>
          <w:rFonts w:hint="eastAsia"/>
          <w:color w:val="auto"/>
        </w:rPr>
        <w:t>和尚山水厂</w:t>
      </w:r>
      <w:r>
        <w:rPr>
          <w:color w:val="auto"/>
        </w:rPr>
        <w:t>取水口断面多年平均最小日流量为2370m</w:t>
      </w:r>
      <w:r>
        <w:rPr>
          <w:color w:val="auto"/>
          <w:vertAlign w:val="superscript"/>
        </w:rPr>
        <w:t>3</w:t>
      </w:r>
      <w:r>
        <w:rPr>
          <w:color w:val="auto"/>
        </w:rPr>
        <w:t>/s，P=97%的最小日均流量为1790m</w:t>
      </w:r>
      <w:r>
        <w:rPr>
          <w:color w:val="auto"/>
          <w:vertAlign w:val="superscript"/>
        </w:rPr>
        <w:t>3</w:t>
      </w:r>
      <w:r>
        <w:rPr>
          <w:color w:val="auto"/>
        </w:rPr>
        <w:t>/s，扣除上游用水后多年平均最小日均流量为2305m³/s，P=97%最小日均流量为1725m</w:t>
      </w:r>
      <w:r>
        <w:rPr>
          <w:color w:val="auto"/>
          <w:vertAlign w:val="superscript"/>
        </w:rPr>
        <w:t>3</w:t>
      </w:r>
      <w:r>
        <w:rPr>
          <w:color w:val="auto"/>
        </w:rPr>
        <w:t>/s。本项目最大取水流量为4.25m³/s，仅占多年平均、P=97%最小日可供流量的0.18%、0.25%，P=97%最小日均流量能满足水厂用水要求。</w:t>
      </w:r>
    </w:p>
    <w:p w14:paraId="6987680B">
      <w:pPr>
        <w:adjustRightInd w:val="0"/>
        <w:ind w:firstLine="480"/>
        <w:rPr>
          <w:color w:val="auto"/>
        </w:rPr>
      </w:pPr>
      <w:r>
        <w:rPr>
          <w:color w:val="auto"/>
        </w:rPr>
        <w:t>从以上分析可知，水量完全可以保证，因此项目取水水量是可靠的。</w:t>
      </w:r>
    </w:p>
    <w:p w14:paraId="15996EA5">
      <w:pPr>
        <w:ind w:firstLine="482"/>
        <w:rPr>
          <w:b/>
          <w:bCs/>
          <w:color w:val="auto"/>
        </w:rPr>
      </w:pPr>
      <w:r>
        <w:rPr>
          <w:b/>
          <w:bCs/>
          <w:color w:val="auto"/>
        </w:rPr>
        <w:t>（2）丰收坝水厂</w:t>
      </w:r>
    </w:p>
    <w:p w14:paraId="5FB4697E">
      <w:pPr>
        <w:ind w:firstLine="480"/>
        <w:rPr>
          <w:color w:val="auto"/>
        </w:rPr>
      </w:pPr>
      <w:r>
        <w:rPr>
          <w:color w:val="auto"/>
        </w:rPr>
        <w:t>根据《重庆市自来水有限公司丰收坝水厂二期扩建工程水资源论证报告书》，该报告主要结论如下：</w:t>
      </w:r>
    </w:p>
    <w:p w14:paraId="32697D09">
      <w:pPr>
        <w:ind w:firstLine="480"/>
        <w:rPr>
          <w:color w:val="auto"/>
        </w:rPr>
      </w:pPr>
      <w:r>
        <w:rPr>
          <w:color w:val="auto"/>
        </w:rPr>
        <w:t>1）取水方案</w:t>
      </w:r>
    </w:p>
    <w:p w14:paraId="2D1925A5">
      <w:pPr>
        <w:ind w:firstLine="480"/>
        <w:rPr>
          <w:color w:val="auto"/>
        </w:rPr>
      </w:pPr>
      <w:r>
        <w:rPr>
          <w:color w:val="auto"/>
        </w:rPr>
        <w:t>丰收坝水厂位于大渡口区跳蹬镇石盘村，丰收坝水厂现状规模30万m</w:t>
      </w:r>
      <w:r>
        <w:rPr>
          <w:color w:val="auto"/>
          <w:vertAlign w:val="superscript"/>
        </w:rPr>
        <w:t>3</w:t>
      </w:r>
      <w:r>
        <w:rPr>
          <w:color w:val="auto"/>
        </w:rPr>
        <w:t>/d，以长江为水源，取水点设在石盘村上游150m处，通过位于江心的取水头部经引水隧洞自流至取水泵房后提升至配水井。</w:t>
      </w:r>
    </w:p>
    <w:p w14:paraId="5122899E">
      <w:pPr>
        <w:ind w:firstLine="480"/>
        <w:rPr>
          <w:color w:val="auto"/>
        </w:rPr>
      </w:pPr>
      <w:r>
        <w:rPr>
          <w:color w:val="auto"/>
        </w:rPr>
        <w:t>2）取水规模</w:t>
      </w:r>
    </w:p>
    <w:p w14:paraId="7A39B8E1">
      <w:pPr>
        <w:adjustRightInd w:val="0"/>
        <w:spacing w:line="560" w:lineRule="exact"/>
        <w:ind w:firstLine="480"/>
        <w:rPr>
          <w:color w:val="auto"/>
        </w:rPr>
      </w:pPr>
      <w:r>
        <w:rPr>
          <w:color w:val="auto"/>
        </w:rPr>
        <w:t>丰收坝水厂设计规模为40万m</w:t>
      </w:r>
      <w:r>
        <w:rPr>
          <w:color w:val="auto"/>
          <w:vertAlign w:val="superscript"/>
        </w:rPr>
        <w:t>3</w:t>
      </w:r>
      <w:r>
        <w:rPr>
          <w:color w:val="auto"/>
        </w:rPr>
        <w:t>/d，计入水厂自用水后，最大取水流量为4.86m</w:t>
      </w:r>
      <w:r>
        <w:rPr>
          <w:color w:val="auto"/>
          <w:vertAlign w:val="superscript"/>
        </w:rPr>
        <w:t>3</w:t>
      </w:r>
      <w:r>
        <w:rPr>
          <w:color w:val="auto"/>
        </w:rPr>
        <w:t>/s，年取水总量约为13936万m³。</w:t>
      </w:r>
    </w:p>
    <w:p w14:paraId="193D0F5A">
      <w:pPr>
        <w:ind w:firstLine="480"/>
        <w:rPr>
          <w:color w:val="auto"/>
        </w:rPr>
      </w:pPr>
      <w:r>
        <w:rPr>
          <w:color w:val="auto"/>
        </w:rPr>
        <w:t>3）</w:t>
      </w:r>
      <w:r>
        <w:rPr>
          <w:bCs/>
          <w:color w:val="auto"/>
        </w:rPr>
        <w:t>取水水量可靠性</w:t>
      </w:r>
    </w:p>
    <w:p w14:paraId="32AB8C23">
      <w:pPr>
        <w:tabs>
          <w:tab w:val="left" w:pos="7820"/>
        </w:tabs>
        <w:spacing w:line="560" w:lineRule="exact"/>
        <w:ind w:firstLine="480"/>
        <w:rPr>
          <w:color w:val="auto"/>
          <w:szCs w:val="24"/>
          <w:lang w:val="zh-TW" w:eastAsia="zh-TW"/>
        </w:rPr>
      </w:pPr>
      <w:r>
        <w:rPr>
          <w:color w:val="auto"/>
          <w:szCs w:val="24"/>
          <w:lang w:val="zh-TW" w:eastAsia="zh-TW"/>
        </w:rPr>
        <w:t>从年水量分析，规划年取水口断面多年平均可供水量为1284亿m</w:t>
      </w:r>
      <w:r>
        <w:rPr>
          <w:color w:val="auto"/>
          <w:szCs w:val="24"/>
          <w:vertAlign w:val="superscript"/>
          <w:lang w:val="zh-TW" w:eastAsia="zh-TW"/>
        </w:rPr>
        <w:t>3</w:t>
      </w:r>
      <w:r>
        <w:rPr>
          <w:color w:val="auto"/>
          <w:szCs w:val="24"/>
          <w:lang w:val="zh-TW" w:eastAsia="zh-TW"/>
        </w:rPr>
        <w:t>，P=97%情况下可供水量为635亿m³。</w:t>
      </w:r>
      <w:r>
        <w:rPr>
          <w:rFonts w:hint="eastAsia"/>
          <w:color w:val="auto"/>
          <w:szCs w:val="24"/>
          <w:lang w:val="zh-TW"/>
        </w:rPr>
        <w:t>丰收坝水厂</w:t>
      </w:r>
      <w:r>
        <w:rPr>
          <w:color w:val="auto"/>
          <w:szCs w:val="24"/>
          <w:lang w:val="zh-TW" w:eastAsia="zh-TW"/>
        </w:rPr>
        <w:t>2025年取水量为</w:t>
      </w:r>
      <w:r>
        <w:rPr>
          <w:color w:val="auto"/>
          <w:szCs w:val="24"/>
          <w:lang w:val="zh-TW"/>
        </w:rPr>
        <w:t>13936</w:t>
      </w:r>
      <w:r>
        <w:rPr>
          <w:color w:val="auto"/>
          <w:szCs w:val="24"/>
          <w:lang w:val="zh-TW" w:eastAsia="zh-TW"/>
        </w:rPr>
        <w:t>万m</w:t>
      </w:r>
      <w:r>
        <w:rPr>
          <w:color w:val="auto"/>
          <w:szCs w:val="24"/>
          <w:vertAlign w:val="superscript"/>
          <w:lang w:val="zh-TW" w:eastAsia="zh-TW"/>
        </w:rPr>
        <w:t>3</w:t>
      </w:r>
      <w:r>
        <w:rPr>
          <w:color w:val="auto"/>
          <w:szCs w:val="24"/>
          <w:lang w:val="zh-TW" w:eastAsia="zh-TW"/>
        </w:rPr>
        <w:t>，仅占多年平均、P=97%可供水量的0.</w:t>
      </w:r>
      <w:r>
        <w:rPr>
          <w:color w:val="auto"/>
          <w:szCs w:val="24"/>
          <w:lang w:val="zh-TW"/>
        </w:rPr>
        <w:t>109</w:t>
      </w:r>
      <w:r>
        <w:rPr>
          <w:color w:val="auto"/>
          <w:szCs w:val="24"/>
          <w:lang w:val="zh-TW" w:eastAsia="zh-TW"/>
        </w:rPr>
        <w:t>%、0.</w:t>
      </w:r>
      <w:r>
        <w:rPr>
          <w:color w:val="auto"/>
          <w:szCs w:val="24"/>
          <w:lang w:val="zh-TW"/>
        </w:rPr>
        <w:t>219</w:t>
      </w:r>
      <w:r>
        <w:rPr>
          <w:color w:val="auto"/>
          <w:szCs w:val="24"/>
          <w:lang w:val="zh-TW" w:eastAsia="zh-TW"/>
        </w:rPr>
        <w:t>%</w:t>
      </w:r>
      <w:r>
        <w:rPr>
          <w:color w:val="auto"/>
          <w:szCs w:val="24"/>
          <w:lang w:val="zh-TW"/>
        </w:rPr>
        <w:t>，2030年取水量为20905</w:t>
      </w:r>
      <w:r>
        <w:rPr>
          <w:color w:val="auto"/>
          <w:szCs w:val="24"/>
          <w:lang w:val="zh-TW" w:eastAsia="zh-TW"/>
        </w:rPr>
        <w:t>万m</w:t>
      </w:r>
      <w:r>
        <w:rPr>
          <w:color w:val="auto"/>
          <w:szCs w:val="24"/>
          <w:vertAlign w:val="superscript"/>
          <w:lang w:val="zh-TW" w:eastAsia="zh-TW"/>
        </w:rPr>
        <w:t>3</w:t>
      </w:r>
      <w:r>
        <w:rPr>
          <w:color w:val="auto"/>
          <w:szCs w:val="24"/>
          <w:lang w:val="zh-TW" w:eastAsia="zh-TW"/>
        </w:rPr>
        <w:t>，仅占多年平均、P=97%可供水量的0.</w:t>
      </w:r>
      <w:r>
        <w:rPr>
          <w:color w:val="auto"/>
          <w:szCs w:val="24"/>
          <w:lang w:val="zh-TW"/>
        </w:rPr>
        <w:t>163</w:t>
      </w:r>
      <w:r>
        <w:rPr>
          <w:color w:val="auto"/>
          <w:szCs w:val="24"/>
          <w:lang w:val="zh-TW" w:eastAsia="zh-TW"/>
        </w:rPr>
        <w:t>%、0.</w:t>
      </w:r>
      <w:r>
        <w:rPr>
          <w:color w:val="auto"/>
          <w:szCs w:val="24"/>
          <w:lang w:val="zh-TW"/>
        </w:rPr>
        <w:t>329</w:t>
      </w:r>
      <w:r>
        <w:rPr>
          <w:color w:val="auto"/>
          <w:szCs w:val="24"/>
          <w:lang w:val="zh-TW" w:eastAsia="zh-TW"/>
        </w:rPr>
        <w:t>%。</w:t>
      </w:r>
    </w:p>
    <w:p w14:paraId="58CFF55F">
      <w:pPr>
        <w:tabs>
          <w:tab w:val="left" w:pos="7820"/>
        </w:tabs>
        <w:spacing w:line="560" w:lineRule="exact"/>
        <w:ind w:firstLine="480"/>
        <w:rPr>
          <w:color w:val="auto"/>
          <w:szCs w:val="24"/>
          <w:lang w:val="zh-TW" w:eastAsia="zh-TW"/>
        </w:rPr>
      </w:pPr>
      <w:r>
        <w:rPr>
          <w:color w:val="auto"/>
          <w:szCs w:val="24"/>
          <w:lang w:val="zh-TW" w:eastAsia="zh-TW"/>
        </w:rPr>
        <w:t>从最小日均流量分析，规划年取水口断面多年平均最小日流量为2370m</w:t>
      </w:r>
      <w:r>
        <w:rPr>
          <w:color w:val="auto"/>
          <w:szCs w:val="24"/>
          <w:vertAlign w:val="superscript"/>
          <w:lang w:val="zh-TW" w:eastAsia="zh-TW"/>
        </w:rPr>
        <w:t>3</w:t>
      </w:r>
      <w:r>
        <w:rPr>
          <w:color w:val="auto"/>
          <w:szCs w:val="24"/>
          <w:lang w:val="zh-TW" w:eastAsia="zh-TW"/>
        </w:rPr>
        <w:t>/s，P=97%的最小日均流量为1790m</w:t>
      </w:r>
      <w:r>
        <w:rPr>
          <w:color w:val="auto"/>
          <w:szCs w:val="24"/>
          <w:vertAlign w:val="superscript"/>
          <w:lang w:val="zh-TW" w:eastAsia="zh-TW"/>
        </w:rPr>
        <w:t>3</w:t>
      </w:r>
      <w:r>
        <w:rPr>
          <w:color w:val="auto"/>
          <w:szCs w:val="24"/>
          <w:lang w:val="zh-TW" w:eastAsia="zh-TW"/>
        </w:rPr>
        <w:t>/s，扣除上游用水后多年平均最小日均流量为2323m³/s，P=97%最小日均流量为1743m</w:t>
      </w:r>
      <w:r>
        <w:rPr>
          <w:color w:val="auto"/>
          <w:szCs w:val="24"/>
          <w:vertAlign w:val="superscript"/>
          <w:lang w:val="zh-TW" w:eastAsia="zh-TW"/>
        </w:rPr>
        <w:t>3</w:t>
      </w:r>
      <w:r>
        <w:rPr>
          <w:color w:val="auto"/>
          <w:szCs w:val="24"/>
          <w:lang w:val="zh-TW" w:eastAsia="zh-TW"/>
        </w:rPr>
        <w:t>/s。</w:t>
      </w:r>
      <w:r>
        <w:rPr>
          <w:rFonts w:hint="eastAsia"/>
          <w:color w:val="auto"/>
          <w:szCs w:val="24"/>
          <w:lang w:val="zh-TW"/>
        </w:rPr>
        <w:t>丰收坝水厂</w:t>
      </w:r>
      <w:r>
        <w:rPr>
          <w:color w:val="auto"/>
          <w:szCs w:val="24"/>
          <w:lang w:val="zh-TW"/>
        </w:rPr>
        <w:t>2025年</w:t>
      </w:r>
      <w:r>
        <w:rPr>
          <w:color w:val="auto"/>
          <w:szCs w:val="24"/>
          <w:lang w:val="zh-TW" w:eastAsia="zh-TW"/>
        </w:rPr>
        <w:t>最大取水流量为</w:t>
      </w:r>
      <w:r>
        <w:rPr>
          <w:color w:val="auto"/>
          <w:szCs w:val="24"/>
          <w:lang w:val="zh-TW"/>
        </w:rPr>
        <w:t>4.86</w:t>
      </w:r>
      <w:r>
        <w:rPr>
          <w:color w:val="auto"/>
          <w:szCs w:val="24"/>
          <w:lang w:val="zh-TW" w:eastAsia="zh-TW"/>
        </w:rPr>
        <w:t>m³/s，仅占多年平均、P=97%最小日可供流量的0.</w:t>
      </w:r>
      <w:r>
        <w:rPr>
          <w:color w:val="auto"/>
          <w:szCs w:val="24"/>
          <w:lang w:val="zh-TW"/>
        </w:rPr>
        <w:t>21</w:t>
      </w:r>
      <w:r>
        <w:rPr>
          <w:color w:val="auto"/>
          <w:szCs w:val="24"/>
          <w:lang w:val="zh-TW" w:eastAsia="zh-TW"/>
        </w:rPr>
        <w:t>%、0.2</w:t>
      </w:r>
      <w:r>
        <w:rPr>
          <w:color w:val="auto"/>
          <w:szCs w:val="24"/>
          <w:lang w:val="zh-TW"/>
        </w:rPr>
        <w:t>8</w:t>
      </w:r>
      <w:r>
        <w:rPr>
          <w:color w:val="auto"/>
          <w:szCs w:val="24"/>
          <w:lang w:val="zh-TW" w:eastAsia="zh-TW"/>
        </w:rPr>
        <w:t>%</w:t>
      </w:r>
      <w:r>
        <w:rPr>
          <w:color w:val="auto"/>
          <w:szCs w:val="24"/>
          <w:lang w:val="zh-TW"/>
        </w:rPr>
        <w:t>，</w:t>
      </w:r>
      <w:r>
        <w:rPr>
          <w:color w:val="auto"/>
          <w:szCs w:val="24"/>
          <w:lang w:val="zh-TW" w:eastAsia="zh-TW"/>
        </w:rPr>
        <w:t>均流量能满足水厂用水要求。</w:t>
      </w:r>
    </w:p>
    <w:p w14:paraId="2CA48003">
      <w:pPr>
        <w:ind w:firstLine="482"/>
        <w:rPr>
          <w:b/>
          <w:bCs/>
          <w:color w:val="auto"/>
        </w:rPr>
      </w:pPr>
      <w:r>
        <w:rPr>
          <w:b/>
          <w:bCs/>
          <w:color w:val="auto"/>
        </w:rPr>
        <w:t>（3）西彭水厂</w:t>
      </w:r>
    </w:p>
    <w:p w14:paraId="41CA15AA">
      <w:pPr>
        <w:snapToGrid w:val="0"/>
        <w:spacing w:line="560" w:lineRule="exact"/>
        <w:ind w:firstLine="482"/>
        <w:rPr>
          <w:b/>
          <w:color w:val="auto"/>
        </w:rPr>
      </w:pPr>
      <w:r>
        <w:rPr>
          <w:b/>
          <w:snapToGrid w:val="0"/>
          <w:color w:val="auto"/>
        </w:rPr>
        <w:t>本次仅分析德感趸船及</w:t>
      </w:r>
      <w:r>
        <w:rPr>
          <w:b/>
          <w:color w:val="auto"/>
        </w:rPr>
        <w:t>西南铝业取水阶段。</w:t>
      </w:r>
    </w:p>
    <w:p w14:paraId="45087CE1">
      <w:pPr>
        <w:snapToGrid w:val="0"/>
        <w:spacing w:line="560" w:lineRule="exact"/>
        <w:ind w:firstLine="480"/>
        <w:rPr>
          <w:color w:val="auto"/>
        </w:rPr>
      </w:pPr>
      <w:r>
        <w:rPr>
          <w:snapToGrid w:val="0"/>
          <w:color w:val="auto"/>
        </w:rPr>
        <w:t>德感趸船取水地点位于</w:t>
      </w:r>
      <w:r>
        <w:rPr>
          <w:color w:val="auto"/>
        </w:rPr>
        <w:t>江津区石家湾郑家梁隧道附近，西南铝业取水口位于九龙坡区西彭镇黄磏村，在丰收坝取水口上游。</w:t>
      </w:r>
    </w:p>
    <w:p w14:paraId="38D82E70">
      <w:pPr>
        <w:tabs>
          <w:tab w:val="left" w:pos="7820"/>
        </w:tabs>
        <w:spacing w:line="560" w:lineRule="exact"/>
        <w:ind w:firstLine="480"/>
        <w:rPr>
          <w:color w:val="auto"/>
          <w:szCs w:val="24"/>
          <w:lang w:val="zh-TW"/>
        </w:rPr>
      </w:pPr>
      <w:r>
        <w:rPr>
          <w:color w:val="auto"/>
          <w:szCs w:val="24"/>
          <w:lang w:val="zh-TW" w:eastAsia="zh-TW"/>
        </w:rPr>
        <w:t>从年水量分析，</w:t>
      </w:r>
      <w:r>
        <w:rPr>
          <w:snapToGrid w:val="0"/>
          <w:color w:val="auto"/>
          <w:szCs w:val="24"/>
        </w:rPr>
        <w:t>德感趸船及</w:t>
      </w:r>
      <w:r>
        <w:rPr>
          <w:color w:val="auto"/>
          <w:szCs w:val="24"/>
        </w:rPr>
        <w:t>西南铝业取水阶段</w:t>
      </w:r>
      <w:r>
        <w:rPr>
          <w:color w:val="auto"/>
          <w:szCs w:val="24"/>
          <w:lang w:val="zh-TW" w:eastAsia="zh-TW"/>
        </w:rPr>
        <w:t>取水口断面多年平均可供水量为1284亿m</w:t>
      </w:r>
      <w:r>
        <w:rPr>
          <w:color w:val="auto"/>
          <w:szCs w:val="24"/>
          <w:vertAlign w:val="superscript"/>
          <w:lang w:val="zh-TW" w:eastAsia="zh-TW"/>
        </w:rPr>
        <w:t>3</w:t>
      </w:r>
      <w:r>
        <w:rPr>
          <w:color w:val="auto"/>
          <w:szCs w:val="24"/>
          <w:lang w:val="zh-TW" w:eastAsia="zh-TW"/>
        </w:rPr>
        <w:t>，P=97%情况下可供水量为635亿m³。</w:t>
      </w:r>
      <w:r>
        <w:rPr>
          <w:color w:val="auto"/>
          <w:szCs w:val="24"/>
          <w:lang w:val="zh-TW"/>
        </w:rPr>
        <w:t>德感趸船及西吕取水口分别设计取水量为9万m</w:t>
      </w:r>
      <w:r>
        <w:rPr>
          <w:color w:val="auto"/>
          <w:szCs w:val="24"/>
          <w:vertAlign w:val="superscript"/>
          <w:lang w:val="zh-TW"/>
        </w:rPr>
        <w:t>3</w:t>
      </w:r>
      <w:r>
        <w:rPr>
          <w:color w:val="auto"/>
          <w:szCs w:val="24"/>
          <w:lang w:val="zh-TW"/>
        </w:rPr>
        <w:t>/d、30万m</w:t>
      </w:r>
      <w:r>
        <w:rPr>
          <w:color w:val="auto"/>
          <w:szCs w:val="24"/>
          <w:vertAlign w:val="superscript"/>
          <w:lang w:val="zh-TW"/>
        </w:rPr>
        <w:t>3</w:t>
      </w:r>
      <w:r>
        <w:rPr>
          <w:color w:val="auto"/>
          <w:szCs w:val="24"/>
          <w:lang w:val="zh-TW"/>
        </w:rPr>
        <w:t>/d，</w:t>
      </w:r>
      <w:r>
        <w:rPr>
          <w:snapToGrid w:val="0"/>
          <w:color w:val="auto"/>
          <w:szCs w:val="24"/>
        </w:rPr>
        <w:t>德感趸船及</w:t>
      </w:r>
      <w:r>
        <w:rPr>
          <w:color w:val="auto"/>
          <w:szCs w:val="24"/>
        </w:rPr>
        <w:t>西南铝业</w:t>
      </w:r>
      <w:r>
        <w:rPr>
          <w:color w:val="auto"/>
          <w:szCs w:val="24"/>
          <w:lang w:val="zh-TW"/>
        </w:rPr>
        <w:t>取水39万m</w:t>
      </w:r>
      <w:r>
        <w:rPr>
          <w:color w:val="auto"/>
          <w:szCs w:val="24"/>
          <w:vertAlign w:val="superscript"/>
          <w:lang w:val="zh-TW"/>
        </w:rPr>
        <w:t>3</w:t>
      </w:r>
      <w:r>
        <w:rPr>
          <w:color w:val="auto"/>
          <w:szCs w:val="24"/>
          <w:lang w:val="zh-TW"/>
        </w:rPr>
        <w:t>/d，年取水量12940万m</w:t>
      </w:r>
      <w:r>
        <w:rPr>
          <w:color w:val="auto"/>
          <w:szCs w:val="24"/>
          <w:vertAlign w:val="superscript"/>
          <w:lang w:val="zh-TW"/>
        </w:rPr>
        <w:t>3</w:t>
      </w:r>
      <w:r>
        <w:rPr>
          <w:color w:val="auto"/>
          <w:szCs w:val="24"/>
          <w:lang w:val="zh-TW"/>
        </w:rPr>
        <w:t>/d</w:t>
      </w:r>
      <w:r>
        <w:rPr>
          <w:color w:val="auto"/>
          <w:szCs w:val="24"/>
          <w:lang w:val="zh-TW" w:eastAsia="zh-TW"/>
        </w:rPr>
        <w:t>，仅占多年平均、P=97%可供水量的0.</w:t>
      </w:r>
      <w:r>
        <w:rPr>
          <w:color w:val="auto"/>
          <w:szCs w:val="24"/>
          <w:lang w:val="zh-TW"/>
        </w:rPr>
        <w:t>101</w:t>
      </w:r>
      <w:r>
        <w:rPr>
          <w:color w:val="auto"/>
          <w:szCs w:val="24"/>
          <w:lang w:val="zh-TW" w:eastAsia="zh-TW"/>
        </w:rPr>
        <w:t>%、0.</w:t>
      </w:r>
      <w:r>
        <w:rPr>
          <w:color w:val="auto"/>
          <w:szCs w:val="24"/>
          <w:lang w:val="zh-TW"/>
        </w:rPr>
        <w:t>204</w:t>
      </w:r>
      <w:r>
        <w:rPr>
          <w:color w:val="auto"/>
          <w:szCs w:val="24"/>
          <w:lang w:val="zh-TW" w:eastAsia="zh-TW"/>
        </w:rPr>
        <w:t>%。</w:t>
      </w:r>
    </w:p>
    <w:p w14:paraId="14216E92">
      <w:pPr>
        <w:tabs>
          <w:tab w:val="left" w:pos="7820"/>
        </w:tabs>
        <w:spacing w:line="560" w:lineRule="exact"/>
        <w:ind w:firstLine="480"/>
        <w:rPr>
          <w:color w:val="auto"/>
          <w:szCs w:val="24"/>
          <w:lang w:val="zh-TW" w:eastAsia="zh-TW"/>
        </w:rPr>
      </w:pPr>
      <w:r>
        <w:rPr>
          <w:color w:val="auto"/>
          <w:szCs w:val="24"/>
          <w:lang w:val="zh-TW" w:eastAsia="zh-TW"/>
        </w:rPr>
        <w:t>从最小日均流量分析，规划年取水口断面多年平均最小日流量为2370m</w:t>
      </w:r>
      <w:r>
        <w:rPr>
          <w:color w:val="auto"/>
          <w:szCs w:val="24"/>
          <w:vertAlign w:val="superscript"/>
          <w:lang w:val="zh-TW" w:eastAsia="zh-TW"/>
        </w:rPr>
        <w:t>3</w:t>
      </w:r>
      <w:r>
        <w:rPr>
          <w:color w:val="auto"/>
          <w:szCs w:val="24"/>
          <w:lang w:val="zh-TW" w:eastAsia="zh-TW"/>
        </w:rPr>
        <w:t>/s，P=97%的最小日均流量为1790m</w:t>
      </w:r>
      <w:r>
        <w:rPr>
          <w:color w:val="auto"/>
          <w:szCs w:val="24"/>
          <w:vertAlign w:val="superscript"/>
          <w:lang w:val="zh-TW" w:eastAsia="zh-TW"/>
        </w:rPr>
        <w:t>3</w:t>
      </w:r>
      <w:r>
        <w:rPr>
          <w:color w:val="auto"/>
          <w:szCs w:val="24"/>
          <w:lang w:val="zh-TW" w:eastAsia="zh-TW"/>
        </w:rPr>
        <w:t>/s，扣除上游用水后多年平均最小日均流量为2323m³/s，P=97%最小日均流量为1743m</w:t>
      </w:r>
      <w:r>
        <w:rPr>
          <w:color w:val="auto"/>
          <w:szCs w:val="24"/>
          <w:vertAlign w:val="superscript"/>
          <w:lang w:val="zh-TW" w:eastAsia="zh-TW"/>
        </w:rPr>
        <w:t>3</w:t>
      </w:r>
      <w:r>
        <w:rPr>
          <w:color w:val="auto"/>
          <w:szCs w:val="24"/>
          <w:lang w:val="zh-TW" w:eastAsia="zh-TW"/>
        </w:rPr>
        <w:t>/s。</w:t>
      </w:r>
      <w:r>
        <w:rPr>
          <w:snapToGrid w:val="0"/>
          <w:color w:val="auto"/>
          <w:szCs w:val="24"/>
        </w:rPr>
        <w:t>德感趸船及</w:t>
      </w:r>
      <w:r>
        <w:rPr>
          <w:color w:val="auto"/>
          <w:szCs w:val="24"/>
        </w:rPr>
        <w:t>西南铝业</w:t>
      </w:r>
      <w:r>
        <w:rPr>
          <w:color w:val="auto"/>
          <w:szCs w:val="24"/>
          <w:lang w:val="zh-TW" w:eastAsia="zh-TW"/>
        </w:rPr>
        <w:t>最大取水流量为</w:t>
      </w:r>
      <w:r>
        <w:rPr>
          <w:color w:val="auto"/>
          <w:szCs w:val="24"/>
          <w:lang w:val="zh-TW"/>
        </w:rPr>
        <w:t>4.51</w:t>
      </w:r>
      <w:r>
        <w:rPr>
          <w:color w:val="auto"/>
          <w:szCs w:val="24"/>
          <w:lang w:val="zh-TW" w:eastAsia="zh-TW"/>
        </w:rPr>
        <w:t>m³/s，仅占多年平均、P=97%最小日可供流量的0.</w:t>
      </w:r>
      <w:r>
        <w:rPr>
          <w:color w:val="auto"/>
          <w:szCs w:val="24"/>
          <w:lang w:val="zh-TW"/>
        </w:rPr>
        <w:t>19</w:t>
      </w:r>
      <w:r>
        <w:rPr>
          <w:color w:val="auto"/>
          <w:szCs w:val="24"/>
          <w:lang w:val="zh-TW" w:eastAsia="zh-TW"/>
        </w:rPr>
        <w:t>%、0.</w:t>
      </w:r>
      <w:r>
        <w:rPr>
          <w:color w:val="auto"/>
          <w:szCs w:val="24"/>
          <w:lang w:val="zh-TW"/>
        </w:rPr>
        <w:t>25</w:t>
      </w:r>
      <w:r>
        <w:rPr>
          <w:color w:val="auto"/>
          <w:szCs w:val="24"/>
          <w:lang w:val="zh-TW" w:eastAsia="zh-TW"/>
        </w:rPr>
        <w:t>%，P=97%最小日均流量能满足水厂用水要求。</w:t>
      </w:r>
    </w:p>
    <w:p w14:paraId="49FB7EEB">
      <w:pPr>
        <w:pStyle w:val="5"/>
        <w:numPr>
          <w:ilvl w:val="0"/>
          <w:numId w:val="0"/>
        </w:numPr>
        <w:spacing w:before="166" w:after="166"/>
        <w:rPr>
          <w:color w:val="auto"/>
        </w:rPr>
      </w:pPr>
      <w:r>
        <w:rPr>
          <w:color w:val="auto"/>
        </w:rPr>
        <w:t>6.3.2水质可靠性分析</w:t>
      </w:r>
    </w:p>
    <w:p w14:paraId="15BBEB1A">
      <w:pPr>
        <w:ind w:firstLine="480"/>
        <w:rPr>
          <w:color w:val="auto"/>
        </w:rPr>
      </w:pPr>
      <w:r>
        <w:rPr>
          <w:color w:val="auto"/>
        </w:rPr>
        <w:t>九龙工业园区采用和尚山水厂、丰收坝水厂和西彭水厂的成品水，其水厂出水水质可以得到保证的，根据水厂设计要求，3座水厂的出厂水均满足《生活饮用水卫生标准》（GB5749-2006）要求，成品水满足。本次重点对水源进行分析。</w:t>
      </w:r>
    </w:p>
    <w:p w14:paraId="5CC5DFE6">
      <w:pPr>
        <w:pStyle w:val="6"/>
        <w:numPr>
          <w:ilvl w:val="3"/>
          <w:numId w:val="0"/>
        </w:numPr>
        <w:rPr>
          <w:color w:val="auto"/>
        </w:rPr>
      </w:pPr>
      <w:r>
        <w:rPr>
          <w:color w:val="auto"/>
        </w:rPr>
        <w:t>6.3.4.1和尚山水厂和丰收坝水厂</w:t>
      </w:r>
    </w:p>
    <w:p w14:paraId="7FE5EDB1">
      <w:pPr>
        <w:ind w:firstLine="480"/>
        <w:rPr>
          <w:color w:val="auto"/>
        </w:rPr>
      </w:pPr>
      <w:r>
        <w:rPr>
          <w:color w:val="auto"/>
        </w:rPr>
        <w:t>和尚山水厂取水口所在水功能区为“长江三峡水库九龙饮用、工业用水区”，该区上起九龙坡区桃花溪，下至渝中区黄沙溪，长约10km。水质管理目标为Ⅲ类。</w:t>
      </w:r>
    </w:p>
    <w:p w14:paraId="49C63FF6">
      <w:pPr>
        <w:ind w:firstLine="480"/>
        <w:rPr>
          <w:color w:val="auto"/>
        </w:rPr>
      </w:pPr>
      <w:r>
        <w:rPr>
          <w:color w:val="auto"/>
        </w:rPr>
        <w:t>丰收坝水厂取水口所在水功能区为“长江上游珍稀特有鱼类自然保护区（长江干流重庆段）”，该保护区上游起始断面位于永川区朱沱镇板长，下游终止断面位于巴南区马桑溪大桥，河段长度176.1km。水质管理目标为Ⅲ类。</w:t>
      </w:r>
    </w:p>
    <w:p w14:paraId="741C97BD">
      <w:pPr>
        <w:adjustRightInd w:val="0"/>
        <w:ind w:firstLine="480"/>
        <w:rPr>
          <w:color w:val="auto"/>
        </w:rPr>
      </w:pPr>
      <w:r>
        <w:rPr>
          <w:color w:val="auto"/>
        </w:rPr>
        <w:t>本次收集到国家城市供水水质监测网重庆监测站对和尚山水厂、丰收坝水厂水源水2019年1月、2019年7月、2019年10月丰、平、枯水期的水质检验报告。</w:t>
      </w:r>
    </w:p>
    <w:p w14:paraId="059BCEC8">
      <w:pPr>
        <w:adjustRightInd w:val="0"/>
        <w:ind w:firstLine="480"/>
        <w:rPr>
          <w:color w:val="auto"/>
        </w:rPr>
      </w:pPr>
      <w:r>
        <w:rPr>
          <w:snapToGrid w:val="0"/>
          <w:color w:val="auto"/>
          <w:kern w:val="0"/>
        </w:rPr>
        <w:t>断面监测评价项目主要为水温°C</w:t>
      </w:r>
      <w:r>
        <w:rPr>
          <w:rFonts w:hint="eastAsia"/>
          <w:snapToGrid w:val="0"/>
          <w:color w:val="auto"/>
          <w:kern w:val="0"/>
        </w:rPr>
        <w:t>.</w:t>
      </w:r>
      <w:r>
        <w:rPr>
          <w:snapToGrid w:val="0"/>
          <w:color w:val="auto"/>
          <w:kern w:val="0"/>
        </w:rPr>
        <w:t>PH值、溶解氧、化学需氧量、高锰酸盐指数、五日生化需氧量、氨氮、总磷、总氮、铜、锌、氟化物、砷、硒、汞、镉、六价铬、铅、氰化物、挥发酚、阴离子表面活性剂、硫化物、粪大肠菌群、硫酸盐、氯化物、硝酸盐、铁、锰、化学需氧量28项指标。所有监测指标均按《地表水和污水监测技术方法》的要求进行监测。</w:t>
      </w:r>
    </w:p>
    <w:p w14:paraId="0B5D5BF8">
      <w:pPr>
        <w:adjustRightInd w:val="0"/>
        <w:ind w:firstLine="480"/>
        <w:rPr>
          <w:snapToGrid w:val="0"/>
          <w:color w:val="auto"/>
          <w:kern w:val="0"/>
        </w:rPr>
      </w:pPr>
      <w:bookmarkStart w:id="71" w:name="_Toc125192461"/>
      <w:bookmarkStart w:id="72" w:name="_Toc218919017"/>
      <w:r>
        <w:rPr>
          <w:snapToGrid w:val="0"/>
          <w:color w:val="auto"/>
          <w:kern w:val="0"/>
        </w:rPr>
        <w:t>采用单因子法对现状监测结果进行评价。</w:t>
      </w:r>
    </w:p>
    <w:p w14:paraId="5FEDFD07">
      <w:pPr>
        <w:adjustRightInd w:val="0"/>
        <w:ind w:firstLine="480"/>
        <w:rPr>
          <w:snapToGrid w:val="0"/>
          <w:color w:val="auto"/>
          <w:kern w:val="0"/>
        </w:rPr>
      </w:pPr>
      <w:r>
        <w:rPr>
          <w:snapToGrid w:val="0"/>
          <w:color w:val="auto"/>
          <w:kern w:val="0"/>
        </w:rPr>
        <w:t>（1）评价标准：《地表水环境质量标准》（GB3838-2002）Ⅱ类标准。</w:t>
      </w:r>
    </w:p>
    <w:p w14:paraId="644B6497">
      <w:pPr>
        <w:adjustRightInd w:val="0"/>
        <w:ind w:firstLine="480"/>
        <w:rPr>
          <w:snapToGrid w:val="0"/>
          <w:color w:val="auto"/>
          <w:kern w:val="0"/>
        </w:rPr>
      </w:pPr>
      <w:r>
        <w:rPr>
          <w:snapToGrid w:val="0"/>
          <w:color w:val="auto"/>
          <w:kern w:val="0"/>
        </w:rPr>
        <w:t>（2）评价方法：采用单因子标准指数法进行评价，并评定各断面所属的水质类别。即：</w:t>
      </w:r>
    </w:p>
    <w:p w14:paraId="516451F8">
      <w:pPr>
        <w:adjustRightInd w:val="0"/>
        <w:ind w:firstLine="480"/>
        <w:rPr>
          <w:snapToGrid w:val="0"/>
          <w:color w:val="auto"/>
          <w:kern w:val="0"/>
        </w:rPr>
      </w:pPr>
      <w:r>
        <w:rPr>
          <w:snapToGrid w:val="0"/>
          <w:color w:val="auto"/>
          <w:kern w:val="0"/>
        </w:rPr>
        <w:t>单项评价因子i在第j点的标准指数：</w:t>
      </w:r>
    </w:p>
    <w:p w14:paraId="072B1E6E">
      <w:pPr>
        <w:tabs>
          <w:tab w:val="left" w:pos="360"/>
        </w:tabs>
        <w:snapToGrid w:val="0"/>
        <w:spacing w:line="480" w:lineRule="exact"/>
        <w:ind w:firstLine="2700" w:firstLineChars="1125"/>
        <w:rPr>
          <w:color w:val="auto"/>
          <w:kern w:val="0"/>
        </w:rPr>
      </w:pPr>
      <w:r>
        <w:rPr>
          <w:color w:val="auto"/>
          <w:kern w:val="0"/>
          <w:position w:val="-12"/>
        </w:rPr>
        <w:drawing>
          <wp:inline distT="0" distB="0" distL="114300" distR="114300">
            <wp:extent cx="685800" cy="228600"/>
            <wp:effectExtent l="0" t="0" r="0"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25"/>
                    <a:stretch>
                      <a:fillRect/>
                    </a:stretch>
                  </pic:blipFill>
                  <pic:spPr>
                    <a:xfrm>
                      <a:off x="0" y="0"/>
                      <a:ext cx="685800" cy="228600"/>
                    </a:xfrm>
                    <a:prstGeom prst="rect">
                      <a:avLst/>
                    </a:prstGeom>
                    <a:noFill/>
                    <a:ln>
                      <a:noFill/>
                    </a:ln>
                  </pic:spPr>
                </pic:pic>
              </a:graphicData>
            </a:graphic>
          </wp:inline>
        </w:drawing>
      </w:r>
    </w:p>
    <w:p w14:paraId="3EB4317A">
      <w:pPr>
        <w:adjustRightInd w:val="0"/>
        <w:ind w:firstLine="480"/>
        <w:rPr>
          <w:color w:val="auto"/>
        </w:rPr>
      </w:pPr>
      <w:r>
        <w:rPr>
          <w:color w:val="auto"/>
        </w:rPr>
        <w:t>式中：S</w:t>
      </w:r>
      <w:r>
        <w:rPr>
          <w:color w:val="auto"/>
          <w:vertAlign w:val="subscript"/>
        </w:rPr>
        <w:t>i，j</w:t>
      </w:r>
      <w:r>
        <w:rPr>
          <w:color w:val="auto"/>
        </w:rPr>
        <w:t>——评价因子i在j点的标准指数；</w:t>
      </w:r>
    </w:p>
    <w:p w14:paraId="16C4C96A">
      <w:pPr>
        <w:adjustRightInd w:val="0"/>
        <w:ind w:firstLine="480"/>
        <w:rPr>
          <w:color w:val="auto"/>
        </w:rPr>
      </w:pPr>
      <w:r>
        <w:rPr>
          <w:color w:val="auto"/>
        </w:rPr>
        <w:t xml:space="preserve">       C</w:t>
      </w:r>
      <w:r>
        <w:rPr>
          <w:color w:val="auto"/>
          <w:vertAlign w:val="subscript"/>
        </w:rPr>
        <w:t>i，j</w:t>
      </w:r>
      <w:r>
        <w:rPr>
          <w:color w:val="auto"/>
        </w:rPr>
        <w:t>——评价因子i在j点的实测浓度，mg/L；</w:t>
      </w:r>
    </w:p>
    <w:p w14:paraId="74625FF0">
      <w:pPr>
        <w:adjustRightInd w:val="0"/>
        <w:ind w:firstLine="480"/>
        <w:rPr>
          <w:color w:val="auto"/>
        </w:rPr>
      </w:pPr>
      <w:r>
        <w:rPr>
          <w:color w:val="auto"/>
        </w:rPr>
        <w:t xml:space="preserve">        C</w:t>
      </w:r>
      <w:r>
        <w:rPr>
          <w:color w:val="auto"/>
          <w:vertAlign w:val="subscript"/>
        </w:rPr>
        <w:t>si</w:t>
      </w:r>
      <w:r>
        <w:rPr>
          <w:color w:val="auto"/>
        </w:rPr>
        <w:t>——评价因子i的评价标准限值，mg/L。</w:t>
      </w:r>
    </w:p>
    <w:p w14:paraId="0744056F">
      <w:pPr>
        <w:adjustRightInd w:val="0"/>
        <w:ind w:firstLine="480"/>
        <w:rPr>
          <w:color w:val="auto"/>
          <w:kern w:val="0"/>
        </w:rPr>
      </w:pPr>
      <w:r>
        <w:rPr>
          <w:color w:val="auto"/>
          <w:kern w:val="0"/>
        </w:rPr>
        <w:t>其中，特殊水质因子：</w:t>
      </w:r>
    </w:p>
    <w:p w14:paraId="59477FC0">
      <w:pPr>
        <w:adjustRightInd w:val="0"/>
        <w:ind w:firstLine="480"/>
        <w:rPr>
          <w:color w:val="auto"/>
          <w:kern w:val="0"/>
        </w:rPr>
      </w:pPr>
      <w:r>
        <w:rPr>
          <w:color w:val="auto"/>
          <w:kern w:val="0"/>
        </w:rPr>
        <w:t>DO（溶解氧）的标准指数为：</w:t>
      </w:r>
    </w:p>
    <w:p w14:paraId="04F59622">
      <w:pPr>
        <w:tabs>
          <w:tab w:val="left" w:pos="360"/>
        </w:tabs>
        <w:autoSpaceDE w:val="0"/>
        <w:autoSpaceDN w:val="0"/>
        <w:snapToGrid w:val="0"/>
        <w:spacing w:line="360" w:lineRule="auto"/>
        <w:ind w:firstLine="540" w:firstLineChars="225"/>
        <w:jc w:val="center"/>
        <w:rPr>
          <w:color w:val="auto"/>
          <w:kern w:val="0"/>
          <w:vertAlign w:val="subscript"/>
        </w:rPr>
      </w:pPr>
      <w:r>
        <w:rPr>
          <w:color w:val="auto"/>
          <w:kern w:val="0"/>
        </w:rPr>
        <w:drawing>
          <wp:anchor distT="0" distB="0" distL="114300" distR="114300" simplePos="0" relativeHeight="251659264" behindDoc="0" locked="0" layoutInCell="0" allowOverlap="1">
            <wp:simplePos x="0" y="0"/>
            <wp:positionH relativeFrom="column">
              <wp:posOffset>0</wp:posOffset>
            </wp:positionH>
            <wp:positionV relativeFrom="paragraph">
              <wp:posOffset>0</wp:posOffset>
            </wp:positionV>
            <wp:extent cx="13970" cy="45085"/>
            <wp:effectExtent l="0" t="0" r="0" b="0"/>
            <wp:wrapTopAndBottom/>
            <wp:docPr id="29"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23"/>
                    <pic:cNvPicPr>
                      <a:picLocks noChangeAspect="1"/>
                    </pic:cNvPicPr>
                  </pic:nvPicPr>
                  <pic:blipFill>
                    <a:blip r:embed="rId26"/>
                    <a:stretch>
                      <a:fillRect/>
                    </a:stretch>
                  </pic:blipFill>
                  <pic:spPr>
                    <a:xfrm>
                      <a:off x="0" y="0"/>
                      <a:ext cx="13970" cy="45085"/>
                    </a:xfrm>
                    <a:prstGeom prst="rect">
                      <a:avLst/>
                    </a:prstGeom>
                    <a:noFill/>
                    <a:ln>
                      <a:noFill/>
                    </a:ln>
                  </pic:spPr>
                </pic:pic>
              </a:graphicData>
            </a:graphic>
          </wp:anchor>
        </w:drawing>
      </w:r>
      <w:r>
        <w:rPr>
          <w:color w:val="auto"/>
          <w:kern w:val="0"/>
          <w:position w:val="-32"/>
        </w:rPr>
        <w:drawing>
          <wp:inline distT="0" distB="0" distL="114300" distR="114300">
            <wp:extent cx="1348105" cy="510540"/>
            <wp:effectExtent l="0" t="0" r="4445" b="381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7"/>
                    <a:stretch>
                      <a:fillRect/>
                    </a:stretch>
                  </pic:blipFill>
                  <pic:spPr>
                    <a:xfrm>
                      <a:off x="0" y="0"/>
                      <a:ext cx="1348105" cy="510540"/>
                    </a:xfrm>
                    <a:prstGeom prst="rect">
                      <a:avLst/>
                    </a:prstGeom>
                    <a:noFill/>
                    <a:ln>
                      <a:noFill/>
                    </a:ln>
                  </pic:spPr>
                </pic:pic>
              </a:graphicData>
            </a:graphic>
          </wp:inline>
        </w:drawing>
      </w:r>
      <w:r>
        <w:rPr>
          <w:color w:val="auto"/>
          <w:kern w:val="0"/>
        </w:rPr>
        <w:t xml:space="preserve">   DO</w:t>
      </w:r>
      <w:r>
        <w:rPr>
          <w:color w:val="auto"/>
          <w:kern w:val="0"/>
          <w:vertAlign w:val="subscript"/>
        </w:rPr>
        <w:t>j</w:t>
      </w:r>
      <w:r>
        <w:rPr>
          <w:color w:val="auto"/>
          <w:kern w:val="0"/>
        </w:rPr>
        <w:t>≥DO</w:t>
      </w:r>
      <w:r>
        <w:rPr>
          <w:color w:val="auto"/>
          <w:kern w:val="0"/>
          <w:vertAlign w:val="subscript"/>
        </w:rPr>
        <w:t>s</w:t>
      </w:r>
    </w:p>
    <w:p w14:paraId="7FF43459">
      <w:pPr>
        <w:tabs>
          <w:tab w:val="left" w:pos="360"/>
        </w:tabs>
        <w:autoSpaceDE w:val="0"/>
        <w:autoSpaceDN w:val="0"/>
        <w:snapToGrid w:val="0"/>
        <w:spacing w:line="360" w:lineRule="auto"/>
        <w:ind w:firstLine="540" w:firstLineChars="225"/>
        <w:jc w:val="center"/>
        <w:rPr>
          <w:color w:val="auto"/>
          <w:kern w:val="0"/>
          <w:vertAlign w:val="subscript"/>
        </w:rPr>
      </w:pPr>
      <w:r>
        <w:rPr>
          <w:color w:val="auto"/>
          <w:kern w:val="0"/>
          <w:position w:val="-30"/>
        </w:rPr>
        <w:drawing>
          <wp:inline distT="0" distB="0" distL="114300" distR="114300">
            <wp:extent cx="1218565" cy="457200"/>
            <wp:effectExtent l="0" t="0" r="0"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8"/>
                    <a:stretch>
                      <a:fillRect/>
                    </a:stretch>
                  </pic:blipFill>
                  <pic:spPr>
                    <a:xfrm>
                      <a:off x="0" y="0"/>
                      <a:ext cx="1218565" cy="457200"/>
                    </a:xfrm>
                    <a:prstGeom prst="rect">
                      <a:avLst/>
                    </a:prstGeom>
                    <a:noFill/>
                    <a:ln>
                      <a:noFill/>
                    </a:ln>
                  </pic:spPr>
                </pic:pic>
              </a:graphicData>
            </a:graphic>
          </wp:inline>
        </w:drawing>
      </w:r>
      <w:r>
        <w:rPr>
          <w:color w:val="auto"/>
          <w:kern w:val="0"/>
        </w:rPr>
        <w:pict>
          <v:shape id="Picture 3024" o:spid="_x0000_s1026" o:spt="75" type="#_x0000_t75" style="position:absolute;left:0pt;margin-left:0pt;margin-top:0pt;height:3.55pt;width:1.1pt;mso-wrap-distance-bottom:0pt;mso-wrap-distance-top:0pt;z-index:251660288;mso-width-relative:page;mso-height-relative:page;" o:ole="t" filled="f" o:preferrelative="t" stroked="f" coordsize="21600,21600" o:allowincell="f">
            <v:path/>
            <v:fill on="f" focussize="0,0"/>
            <v:stroke on="f" joinstyle="miter"/>
            <v:imagedata r:id="rId26" o:title=""/>
            <o:lock v:ext="edit" aspectratio="t"/>
            <w10:wrap type="topAndBottom"/>
          </v:shape>
          <o:OLEObject Type="Embed" ProgID="Equations" ShapeID="Picture 3024" DrawAspect="Content" ObjectID="_1468075725" r:id="rId29">
            <o:LockedField>false</o:LockedField>
          </o:OLEObject>
        </w:pict>
      </w:r>
      <w:r>
        <w:rPr>
          <w:color w:val="auto"/>
          <w:kern w:val="0"/>
        </w:rPr>
        <w:t xml:space="preserve">   DO</w:t>
      </w:r>
      <w:r>
        <w:rPr>
          <w:color w:val="auto"/>
          <w:kern w:val="0"/>
          <w:vertAlign w:val="subscript"/>
        </w:rPr>
        <w:t>j</w:t>
      </w:r>
      <w:r>
        <w:rPr>
          <w:color w:val="auto"/>
          <w:kern w:val="0"/>
        </w:rPr>
        <w:t>&lt;DO</w:t>
      </w:r>
      <w:r>
        <w:rPr>
          <w:color w:val="auto"/>
          <w:kern w:val="0"/>
          <w:vertAlign w:val="subscript"/>
        </w:rPr>
        <w:t>s</w:t>
      </w:r>
    </w:p>
    <w:p w14:paraId="603A186C">
      <w:pPr>
        <w:tabs>
          <w:tab w:val="left" w:pos="360"/>
        </w:tabs>
        <w:autoSpaceDE w:val="0"/>
        <w:autoSpaceDN w:val="0"/>
        <w:snapToGrid w:val="0"/>
        <w:spacing w:line="360" w:lineRule="auto"/>
        <w:ind w:firstLine="2940" w:firstLineChars="1225"/>
        <w:rPr>
          <w:color w:val="auto"/>
          <w:kern w:val="0"/>
        </w:rPr>
      </w:pPr>
      <w:r>
        <w:rPr>
          <w:color w:val="auto"/>
          <w:kern w:val="0"/>
          <w:position w:val="-14"/>
        </w:rPr>
        <w:drawing>
          <wp:inline distT="0" distB="0" distL="114300" distR="114300">
            <wp:extent cx="1424940" cy="243840"/>
            <wp:effectExtent l="0" t="0" r="3810" b="317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0"/>
                    <a:stretch>
                      <a:fillRect/>
                    </a:stretch>
                  </pic:blipFill>
                  <pic:spPr>
                    <a:xfrm>
                      <a:off x="0" y="0"/>
                      <a:ext cx="1424940" cy="243840"/>
                    </a:xfrm>
                    <a:prstGeom prst="rect">
                      <a:avLst/>
                    </a:prstGeom>
                    <a:noFill/>
                    <a:ln>
                      <a:noFill/>
                    </a:ln>
                  </pic:spPr>
                </pic:pic>
              </a:graphicData>
            </a:graphic>
          </wp:inline>
        </w:drawing>
      </w:r>
    </w:p>
    <w:p w14:paraId="7770CBB0">
      <w:pPr>
        <w:ind w:firstLine="480"/>
        <w:rPr>
          <w:color w:val="auto"/>
        </w:rPr>
      </w:pPr>
      <w:r>
        <w:rPr>
          <w:color w:val="auto"/>
        </w:rPr>
        <w:t>式中：DO</w:t>
      </w:r>
      <w:r>
        <w:rPr>
          <w:color w:val="auto"/>
          <w:vertAlign w:val="subscript"/>
        </w:rPr>
        <w:t>f</w:t>
      </w:r>
      <w:r>
        <w:rPr>
          <w:color w:val="auto"/>
        </w:rPr>
        <w:t>——某水温、气压条件下的饱和溶解氧浓度，mg/L；</w:t>
      </w:r>
    </w:p>
    <w:p w14:paraId="4AE761F6">
      <w:pPr>
        <w:ind w:firstLine="1200" w:firstLineChars="500"/>
        <w:rPr>
          <w:color w:val="auto"/>
        </w:rPr>
      </w:pPr>
      <w:r>
        <w:rPr>
          <w:color w:val="auto"/>
        </w:rPr>
        <w:t>DO</w:t>
      </w:r>
      <w:r>
        <w:rPr>
          <w:color w:val="auto"/>
          <w:vertAlign w:val="subscript"/>
        </w:rPr>
        <w:t>s</w:t>
      </w:r>
      <w:r>
        <w:rPr>
          <w:color w:val="auto"/>
        </w:rPr>
        <w:t>——溶解氧的评价标准限值，mg/L；</w:t>
      </w:r>
    </w:p>
    <w:p w14:paraId="3D686D8B">
      <w:pPr>
        <w:ind w:firstLine="1200" w:firstLineChars="500"/>
        <w:rPr>
          <w:color w:val="auto"/>
        </w:rPr>
      </w:pPr>
      <w:r>
        <w:rPr>
          <w:color w:val="auto"/>
        </w:rPr>
        <w:t>DO</w:t>
      </w:r>
      <w:r>
        <w:rPr>
          <w:color w:val="auto"/>
          <w:vertAlign w:val="subscript"/>
        </w:rPr>
        <w:t>j</w:t>
      </w:r>
      <w:r>
        <w:rPr>
          <w:color w:val="auto"/>
        </w:rPr>
        <w:t>——j点溶解氧实测值，mg/L；</w:t>
      </w:r>
    </w:p>
    <w:p w14:paraId="5983118F">
      <w:pPr>
        <w:ind w:firstLine="1320" w:firstLineChars="550"/>
        <w:rPr>
          <w:color w:val="auto"/>
        </w:rPr>
      </w:pPr>
      <w:r>
        <w:rPr>
          <w:color w:val="auto"/>
        </w:rPr>
        <w:t>T——水温，℃。</w:t>
      </w:r>
    </w:p>
    <w:p w14:paraId="58A8160A">
      <w:pPr>
        <w:tabs>
          <w:tab w:val="left" w:pos="360"/>
        </w:tabs>
        <w:snapToGrid w:val="0"/>
        <w:ind w:firstLine="1036" w:firstLineChars="432"/>
        <w:rPr>
          <w:color w:val="auto"/>
          <w:kern w:val="0"/>
        </w:rPr>
      </w:pPr>
      <w:r>
        <w:rPr>
          <w:bCs/>
          <w:color w:val="auto"/>
          <w:kern w:val="0"/>
        </w:rPr>
        <w:t>pH的标准指数</w:t>
      </w:r>
      <w:r>
        <w:rPr>
          <w:color w:val="auto"/>
          <w:kern w:val="0"/>
        </w:rPr>
        <w:t>为：</w:t>
      </w:r>
    </w:p>
    <w:p w14:paraId="0447DA3C">
      <w:pPr>
        <w:tabs>
          <w:tab w:val="left" w:pos="360"/>
        </w:tabs>
        <w:spacing w:line="360" w:lineRule="auto"/>
        <w:ind w:firstLine="480"/>
        <w:jc w:val="center"/>
        <w:rPr>
          <w:color w:val="auto"/>
        </w:rPr>
      </w:pPr>
      <w:r>
        <w:rPr>
          <w:color w:val="auto"/>
          <w:position w:val="-30"/>
        </w:rPr>
        <w:drawing>
          <wp:inline distT="0" distB="0" distL="114300" distR="114300">
            <wp:extent cx="2613660" cy="457200"/>
            <wp:effectExtent l="0" t="0" r="0"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31"/>
                    <a:stretch>
                      <a:fillRect/>
                    </a:stretch>
                  </pic:blipFill>
                  <pic:spPr>
                    <a:xfrm>
                      <a:off x="0" y="0"/>
                      <a:ext cx="2613660" cy="457200"/>
                    </a:xfrm>
                    <a:prstGeom prst="rect">
                      <a:avLst/>
                    </a:prstGeom>
                    <a:noFill/>
                    <a:ln>
                      <a:noFill/>
                    </a:ln>
                  </pic:spPr>
                </pic:pic>
              </a:graphicData>
            </a:graphic>
          </wp:inline>
        </w:drawing>
      </w:r>
    </w:p>
    <w:p w14:paraId="36F95620">
      <w:pPr>
        <w:tabs>
          <w:tab w:val="left" w:pos="360"/>
        </w:tabs>
        <w:spacing w:line="360" w:lineRule="auto"/>
        <w:ind w:firstLine="480"/>
        <w:jc w:val="center"/>
        <w:rPr>
          <w:color w:val="auto"/>
        </w:rPr>
      </w:pPr>
      <w:r>
        <w:rPr>
          <w:color w:val="auto"/>
          <w:position w:val="-30"/>
        </w:rPr>
        <w:drawing>
          <wp:inline distT="0" distB="0" distL="114300" distR="114300">
            <wp:extent cx="2628900" cy="457200"/>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2"/>
                    <a:stretch>
                      <a:fillRect/>
                    </a:stretch>
                  </pic:blipFill>
                  <pic:spPr>
                    <a:xfrm>
                      <a:off x="0" y="0"/>
                      <a:ext cx="2628900" cy="457200"/>
                    </a:xfrm>
                    <a:prstGeom prst="rect">
                      <a:avLst/>
                    </a:prstGeom>
                    <a:noFill/>
                    <a:ln>
                      <a:noFill/>
                    </a:ln>
                  </pic:spPr>
                </pic:pic>
              </a:graphicData>
            </a:graphic>
          </wp:inline>
        </w:drawing>
      </w:r>
    </w:p>
    <w:p w14:paraId="646F42CD">
      <w:pPr>
        <w:ind w:firstLine="480"/>
        <w:rPr>
          <w:color w:val="auto"/>
        </w:rPr>
      </w:pPr>
      <w:r>
        <w:rPr>
          <w:color w:val="auto"/>
        </w:rPr>
        <w:t>式中：S</w:t>
      </w:r>
      <w:r>
        <w:rPr>
          <w:color w:val="auto"/>
          <w:vertAlign w:val="subscript"/>
        </w:rPr>
        <w:t>pH，j</w:t>
      </w:r>
      <w:r>
        <w:rPr>
          <w:color w:val="auto"/>
        </w:rPr>
        <w:t>——pH在j点的标准指数；</w:t>
      </w:r>
    </w:p>
    <w:p w14:paraId="3B24F329">
      <w:pPr>
        <w:ind w:firstLine="480"/>
        <w:rPr>
          <w:color w:val="auto"/>
        </w:rPr>
      </w:pPr>
      <w:r>
        <w:rPr>
          <w:color w:val="auto"/>
        </w:rPr>
        <w:t xml:space="preserve">           pH</w:t>
      </w:r>
      <w:r>
        <w:rPr>
          <w:color w:val="auto"/>
          <w:vertAlign w:val="subscript"/>
        </w:rPr>
        <w:t>j</w:t>
      </w:r>
      <w:r>
        <w:rPr>
          <w:color w:val="auto"/>
        </w:rPr>
        <w:t>——pH在j点的临测值；</w:t>
      </w:r>
    </w:p>
    <w:p w14:paraId="6CAE7BCD">
      <w:pPr>
        <w:ind w:firstLine="1200" w:firstLineChars="500"/>
        <w:rPr>
          <w:color w:val="auto"/>
        </w:rPr>
      </w:pPr>
      <w:r>
        <w:rPr>
          <w:color w:val="auto"/>
        </w:rPr>
        <w:t>pH</w:t>
      </w:r>
      <w:r>
        <w:rPr>
          <w:color w:val="auto"/>
          <w:vertAlign w:val="subscript"/>
        </w:rPr>
        <w:t>sd</w:t>
      </w:r>
      <w:r>
        <w:rPr>
          <w:color w:val="auto"/>
        </w:rPr>
        <w:t>——地表水水质标准中规定的pH值下限；</w:t>
      </w:r>
    </w:p>
    <w:p w14:paraId="653D7C4E">
      <w:pPr>
        <w:ind w:firstLine="1200" w:firstLineChars="500"/>
        <w:rPr>
          <w:color w:val="auto"/>
        </w:rPr>
      </w:pPr>
      <w:r>
        <w:rPr>
          <w:color w:val="auto"/>
        </w:rPr>
        <w:t>pH</w:t>
      </w:r>
      <w:r>
        <w:rPr>
          <w:color w:val="auto"/>
          <w:vertAlign w:val="subscript"/>
        </w:rPr>
        <w:t>su</w:t>
      </w:r>
      <w:r>
        <w:rPr>
          <w:color w:val="auto"/>
        </w:rPr>
        <w:t>——地表水水质标准中规定的pH值上限。</w:t>
      </w:r>
    </w:p>
    <w:bookmarkEnd w:id="71"/>
    <w:bookmarkEnd w:id="72"/>
    <w:p w14:paraId="76618017">
      <w:pPr>
        <w:adjustRightInd w:val="0"/>
        <w:ind w:firstLine="480"/>
        <w:rPr>
          <w:color w:val="auto"/>
        </w:rPr>
      </w:pPr>
      <w:r>
        <w:rPr>
          <w:color w:val="auto"/>
        </w:rPr>
        <w:t>（3）评价结果</w:t>
      </w:r>
    </w:p>
    <w:p w14:paraId="3AE88D1D">
      <w:pPr>
        <w:adjustRightInd w:val="0"/>
        <w:ind w:firstLine="480"/>
        <w:rPr>
          <w:color w:val="auto"/>
        </w:rPr>
      </w:pPr>
      <w:r>
        <w:rPr>
          <w:snapToGrid w:val="0"/>
          <w:color w:val="auto"/>
          <w:kern w:val="0"/>
        </w:rPr>
        <w:t>根据表6.3-1、表6.3-2可以看出，</w:t>
      </w:r>
      <w:r>
        <w:rPr>
          <w:color w:val="auto"/>
          <w:kern w:val="0"/>
        </w:rPr>
        <w:t>和尚山水厂和丰收坝水厂水源水质监测结果中除</w:t>
      </w:r>
      <w:r>
        <w:rPr>
          <w:snapToGrid w:val="0"/>
          <w:color w:val="auto"/>
          <w:kern w:val="0"/>
        </w:rPr>
        <w:t>总氮和部分月份粪大肠菌群不符合《地表水环境质量标准》（GB3838-2002）Ⅱ类要求，其他指标均符合《地表水环境质量标准》（GB3838-2002）Ⅱ类要求，</w:t>
      </w:r>
      <w:r>
        <w:rPr>
          <w:color w:val="auto"/>
        </w:rPr>
        <w:t>可作为生活饮用水水源。原水经常规处理后，能达到最新最严的国家《生活饮用水卫生标准》（GB5749-2006）。长江原水水质指标中的粪大肠杆菌可通过常规水处理的方式消灭粪大肠杆菌，达到《生活饮用水卫生标准》（GB5749-2006）。</w:t>
      </w:r>
    </w:p>
    <w:p w14:paraId="11F3D6B7">
      <w:pPr>
        <w:ind w:firstLine="0" w:firstLineChars="0"/>
        <w:rPr>
          <w:color w:val="auto"/>
        </w:rPr>
        <w:sectPr>
          <w:pgSz w:w="11905" w:h="16838"/>
          <w:pgMar w:top="1417" w:right="1417" w:bottom="1417" w:left="1587" w:header="850" w:footer="992" w:gutter="0"/>
          <w:cols w:space="0" w:num="1"/>
          <w:docGrid w:type="lines" w:linePitch="333" w:charSpace="0"/>
        </w:sectPr>
      </w:pPr>
    </w:p>
    <w:p w14:paraId="015F1AA0">
      <w:pPr>
        <w:ind w:firstLine="198" w:firstLineChars="82"/>
        <w:rPr>
          <w:b/>
          <w:color w:val="auto"/>
          <w:kern w:val="0"/>
        </w:rPr>
      </w:pPr>
      <w:r>
        <w:rPr>
          <w:b/>
          <w:color w:val="auto"/>
          <w:szCs w:val="21"/>
        </w:rPr>
        <w:t xml:space="preserve">表6.3-1                         </w:t>
      </w:r>
      <w:r>
        <w:rPr>
          <w:b/>
          <w:color w:val="auto"/>
          <w:kern w:val="0"/>
        </w:rPr>
        <w:t>和尚山水厂取水口断面水质监测结果一览表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50"/>
        <w:gridCol w:w="2632"/>
        <w:gridCol w:w="1624"/>
        <w:gridCol w:w="1701"/>
        <w:gridCol w:w="1842"/>
        <w:gridCol w:w="2835"/>
        <w:gridCol w:w="2904"/>
      </w:tblGrid>
      <w:tr w14:paraId="298D8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0" w:type="auto"/>
            <w:vMerge w:val="restart"/>
            <w:shd w:val="clear" w:color="auto" w:fill="auto"/>
            <w:tcMar>
              <w:top w:w="15" w:type="dxa"/>
              <w:left w:w="15" w:type="dxa"/>
              <w:right w:w="15" w:type="dxa"/>
            </w:tcMar>
            <w:vAlign w:val="center"/>
          </w:tcPr>
          <w:p w14:paraId="6D6E1C8E">
            <w:pPr>
              <w:pStyle w:val="55"/>
              <w:spacing w:line="240" w:lineRule="exact"/>
              <w:ind w:firstLine="0" w:firstLineChars="0"/>
              <w:rPr>
                <w:color w:val="auto"/>
                <w:sz w:val="21"/>
                <w:szCs w:val="21"/>
              </w:rPr>
            </w:pPr>
            <w:r>
              <w:rPr>
                <w:color w:val="auto"/>
                <w:sz w:val="21"/>
                <w:szCs w:val="21"/>
              </w:rPr>
              <w:t>序号</w:t>
            </w:r>
          </w:p>
        </w:tc>
        <w:tc>
          <w:tcPr>
            <w:tcW w:w="0" w:type="auto"/>
            <w:shd w:val="clear" w:color="auto" w:fill="auto"/>
            <w:tcMar>
              <w:top w:w="15" w:type="dxa"/>
              <w:left w:w="15" w:type="dxa"/>
              <w:right w:w="15" w:type="dxa"/>
            </w:tcMar>
            <w:vAlign w:val="center"/>
          </w:tcPr>
          <w:p w14:paraId="611F282E">
            <w:pPr>
              <w:pStyle w:val="55"/>
              <w:spacing w:line="240" w:lineRule="exact"/>
              <w:ind w:firstLine="0" w:firstLineChars="0"/>
              <w:rPr>
                <w:color w:val="auto"/>
                <w:sz w:val="21"/>
                <w:szCs w:val="21"/>
              </w:rPr>
            </w:pPr>
            <w:r>
              <w:rPr>
                <w:color w:val="auto"/>
                <w:sz w:val="21"/>
                <w:szCs w:val="21"/>
              </w:rPr>
              <w:t>监测</w:t>
            </w:r>
          </w:p>
        </w:tc>
        <w:tc>
          <w:tcPr>
            <w:tcW w:w="5167" w:type="dxa"/>
            <w:gridSpan w:val="3"/>
            <w:shd w:val="clear" w:color="auto" w:fill="auto"/>
            <w:tcMar>
              <w:top w:w="15" w:type="dxa"/>
              <w:left w:w="15" w:type="dxa"/>
              <w:right w:w="15" w:type="dxa"/>
            </w:tcMar>
            <w:vAlign w:val="center"/>
          </w:tcPr>
          <w:p w14:paraId="027213DE">
            <w:pPr>
              <w:pStyle w:val="55"/>
              <w:spacing w:line="240" w:lineRule="exact"/>
              <w:ind w:firstLine="0" w:firstLineChars="0"/>
              <w:rPr>
                <w:color w:val="auto"/>
                <w:sz w:val="21"/>
                <w:szCs w:val="21"/>
              </w:rPr>
            </w:pPr>
            <w:r>
              <w:rPr>
                <w:color w:val="auto"/>
                <w:sz w:val="21"/>
                <w:szCs w:val="21"/>
              </w:rPr>
              <w:t>检测结果（mg/L）</w:t>
            </w:r>
          </w:p>
        </w:tc>
        <w:tc>
          <w:tcPr>
            <w:tcW w:w="2835" w:type="dxa"/>
            <w:vMerge w:val="restart"/>
            <w:shd w:val="clear" w:color="auto" w:fill="auto"/>
            <w:tcMar>
              <w:top w:w="15" w:type="dxa"/>
              <w:left w:w="15" w:type="dxa"/>
              <w:right w:w="15" w:type="dxa"/>
            </w:tcMar>
            <w:vAlign w:val="center"/>
          </w:tcPr>
          <w:p w14:paraId="23EB292C">
            <w:pPr>
              <w:pStyle w:val="55"/>
              <w:spacing w:line="240" w:lineRule="exact"/>
              <w:ind w:firstLine="0" w:firstLineChars="0"/>
              <w:rPr>
                <w:color w:val="auto"/>
                <w:sz w:val="21"/>
                <w:szCs w:val="21"/>
              </w:rPr>
            </w:pPr>
            <w:r>
              <w:rPr>
                <w:color w:val="auto"/>
                <w:sz w:val="21"/>
                <w:szCs w:val="21"/>
              </w:rPr>
              <w:t>GB3838-2002地表水环境质量标准水质限值（II类）</w:t>
            </w:r>
          </w:p>
        </w:tc>
        <w:tc>
          <w:tcPr>
            <w:tcW w:w="2904" w:type="dxa"/>
            <w:vMerge w:val="restart"/>
            <w:shd w:val="clear" w:color="auto" w:fill="auto"/>
            <w:tcMar>
              <w:top w:w="15" w:type="dxa"/>
              <w:left w:w="15" w:type="dxa"/>
              <w:right w:w="15" w:type="dxa"/>
            </w:tcMar>
            <w:vAlign w:val="center"/>
          </w:tcPr>
          <w:p w14:paraId="2CED463C">
            <w:pPr>
              <w:pStyle w:val="55"/>
              <w:spacing w:line="240" w:lineRule="exact"/>
              <w:ind w:firstLine="0" w:firstLineChars="0"/>
              <w:rPr>
                <w:color w:val="auto"/>
                <w:sz w:val="21"/>
                <w:szCs w:val="21"/>
              </w:rPr>
            </w:pPr>
            <w:r>
              <w:rPr>
                <w:color w:val="auto"/>
                <w:sz w:val="21"/>
                <w:szCs w:val="21"/>
              </w:rPr>
              <w:t>GB3838-2002地表水环境质量标准水质限值（III类）</w:t>
            </w:r>
          </w:p>
        </w:tc>
      </w:tr>
      <w:tr w14:paraId="40E40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0" w:type="auto"/>
            <w:vMerge w:val="continue"/>
            <w:shd w:val="clear" w:color="auto" w:fill="auto"/>
            <w:tcMar>
              <w:top w:w="15" w:type="dxa"/>
              <w:left w:w="15" w:type="dxa"/>
              <w:right w:w="15" w:type="dxa"/>
            </w:tcMar>
            <w:vAlign w:val="center"/>
          </w:tcPr>
          <w:p w14:paraId="3ABBFAC9">
            <w:pPr>
              <w:pStyle w:val="55"/>
              <w:spacing w:line="240" w:lineRule="exact"/>
              <w:ind w:firstLine="0" w:firstLineChars="0"/>
              <w:rPr>
                <w:color w:val="auto"/>
                <w:sz w:val="21"/>
                <w:szCs w:val="21"/>
              </w:rPr>
            </w:pPr>
          </w:p>
        </w:tc>
        <w:tc>
          <w:tcPr>
            <w:tcW w:w="0" w:type="auto"/>
            <w:shd w:val="clear" w:color="auto" w:fill="auto"/>
            <w:tcMar>
              <w:top w:w="15" w:type="dxa"/>
              <w:left w:w="15" w:type="dxa"/>
              <w:right w:w="15" w:type="dxa"/>
            </w:tcMar>
            <w:vAlign w:val="center"/>
          </w:tcPr>
          <w:p w14:paraId="1544D7AD">
            <w:pPr>
              <w:pStyle w:val="55"/>
              <w:spacing w:line="240" w:lineRule="exact"/>
              <w:ind w:firstLine="0" w:firstLineChars="0"/>
              <w:rPr>
                <w:color w:val="auto"/>
                <w:sz w:val="21"/>
                <w:szCs w:val="21"/>
              </w:rPr>
            </w:pPr>
            <w:r>
              <w:rPr>
                <w:color w:val="auto"/>
                <w:sz w:val="21"/>
                <w:szCs w:val="21"/>
              </w:rPr>
              <w:t>项目</w:t>
            </w:r>
          </w:p>
        </w:tc>
        <w:tc>
          <w:tcPr>
            <w:tcW w:w="1624" w:type="dxa"/>
            <w:shd w:val="clear" w:color="auto" w:fill="auto"/>
            <w:tcMar>
              <w:top w:w="15" w:type="dxa"/>
              <w:left w:w="15" w:type="dxa"/>
              <w:right w:w="15" w:type="dxa"/>
            </w:tcMar>
            <w:vAlign w:val="center"/>
          </w:tcPr>
          <w:p w14:paraId="2203A393">
            <w:pPr>
              <w:pStyle w:val="55"/>
              <w:spacing w:line="240" w:lineRule="exact"/>
              <w:ind w:firstLine="0" w:firstLineChars="0"/>
              <w:rPr>
                <w:color w:val="auto"/>
                <w:sz w:val="21"/>
                <w:szCs w:val="21"/>
              </w:rPr>
            </w:pPr>
            <w:r>
              <w:rPr>
                <w:color w:val="auto"/>
                <w:sz w:val="21"/>
                <w:szCs w:val="21"/>
              </w:rPr>
              <w:t>2019年1月</w:t>
            </w:r>
          </w:p>
        </w:tc>
        <w:tc>
          <w:tcPr>
            <w:tcW w:w="1701" w:type="dxa"/>
            <w:shd w:val="clear" w:color="auto" w:fill="auto"/>
            <w:tcMar>
              <w:top w:w="15" w:type="dxa"/>
              <w:left w:w="15" w:type="dxa"/>
              <w:right w:w="15" w:type="dxa"/>
            </w:tcMar>
            <w:vAlign w:val="center"/>
          </w:tcPr>
          <w:p w14:paraId="5109F01D">
            <w:pPr>
              <w:pStyle w:val="55"/>
              <w:spacing w:line="240" w:lineRule="exact"/>
              <w:ind w:firstLine="0" w:firstLineChars="0"/>
              <w:rPr>
                <w:color w:val="auto"/>
                <w:sz w:val="21"/>
                <w:szCs w:val="21"/>
              </w:rPr>
            </w:pPr>
            <w:r>
              <w:rPr>
                <w:color w:val="auto"/>
                <w:sz w:val="21"/>
                <w:szCs w:val="21"/>
              </w:rPr>
              <w:t>2019年7月</w:t>
            </w:r>
          </w:p>
        </w:tc>
        <w:tc>
          <w:tcPr>
            <w:tcW w:w="1842" w:type="dxa"/>
            <w:shd w:val="clear" w:color="auto" w:fill="auto"/>
            <w:tcMar>
              <w:top w:w="15" w:type="dxa"/>
              <w:left w:w="15" w:type="dxa"/>
              <w:right w:w="15" w:type="dxa"/>
            </w:tcMar>
            <w:vAlign w:val="center"/>
          </w:tcPr>
          <w:p w14:paraId="7402D9E4">
            <w:pPr>
              <w:pStyle w:val="55"/>
              <w:spacing w:line="240" w:lineRule="exact"/>
              <w:ind w:firstLine="0" w:firstLineChars="0"/>
              <w:rPr>
                <w:color w:val="auto"/>
                <w:sz w:val="21"/>
                <w:szCs w:val="21"/>
              </w:rPr>
            </w:pPr>
            <w:r>
              <w:rPr>
                <w:color w:val="auto"/>
                <w:sz w:val="21"/>
                <w:szCs w:val="21"/>
              </w:rPr>
              <w:t>2019年10月</w:t>
            </w:r>
          </w:p>
        </w:tc>
        <w:tc>
          <w:tcPr>
            <w:tcW w:w="2835" w:type="dxa"/>
            <w:vMerge w:val="continue"/>
            <w:shd w:val="clear" w:color="auto" w:fill="auto"/>
            <w:tcMar>
              <w:top w:w="15" w:type="dxa"/>
              <w:left w:w="15" w:type="dxa"/>
              <w:right w:w="15" w:type="dxa"/>
            </w:tcMar>
            <w:vAlign w:val="center"/>
          </w:tcPr>
          <w:p w14:paraId="5AC25F16">
            <w:pPr>
              <w:pStyle w:val="55"/>
              <w:spacing w:line="240" w:lineRule="exact"/>
              <w:ind w:firstLine="0" w:firstLineChars="0"/>
              <w:rPr>
                <w:color w:val="auto"/>
                <w:sz w:val="21"/>
                <w:szCs w:val="21"/>
              </w:rPr>
            </w:pPr>
          </w:p>
        </w:tc>
        <w:tc>
          <w:tcPr>
            <w:tcW w:w="2904" w:type="dxa"/>
            <w:vMerge w:val="continue"/>
            <w:shd w:val="clear" w:color="auto" w:fill="auto"/>
            <w:tcMar>
              <w:top w:w="15" w:type="dxa"/>
              <w:left w:w="15" w:type="dxa"/>
              <w:right w:w="15" w:type="dxa"/>
            </w:tcMar>
            <w:vAlign w:val="center"/>
          </w:tcPr>
          <w:p w14:paraId="3E79D889">
            <w:pPr>
              <w:pStyle w:val="55"/>
              <w:spacing w:line="240" w:lineRule="exact"/>
              <w:ind w:firstLine="0" w:firstLineChars="0"/>
              <w:rPr>
                <w:color w:val="auto"/>
                <w:sz w:val="21"/>
                <w:szCs w:val="21"/>
              </w:rPr>
            </w:pPr>
          </w:p>
        </w:tc>
      </w:tr>
      <w:tr w14:paraId="6FAAF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3B2B671B">
            <w:pPr>
              <w:pStyle w:val="55"/>
              <w:spacing w:line="240" w:lineRule="exact"/>
              <w:ind w:firstLine="0" w:firstLineChars="0"/>
              <w:rPr>
                <w:color w:val="auto"/>
                <w:sz w:val="21"/>
                <w:szCs w:val="21"/>
              </w:rPr>
            </w:pPr>
            <w:r>
              <w:rPr>
                <w:color w:val="auto"/>
                <w:sz w:val="21"/>
                <w:szCs w:val="21"/>
              </w:rPr>
              <w:t>1</w:t>
            </w:r>
          </w:p>
        </w:tc>
        <w:tc>
          <w:tcPr>
            <w:tcW w:w="0" w:type="auto"/>
            <w:shd w:val="clear" w:color="auto" w:fill="auto"/>
            <w:tcMar>
              <w:top w:w="15" w:type="dxa"/>
              <w:left w:w="15" w:type="dxa"/>
              <w:right w:w="15" w:type="dxa"/>
            </w:tcMar>
            <w:vAlign w:val="center"/>
          </w:tcPr>
          <w:p w14:paraId="30B7F37C">
            <w:pPr>
              <w:pStyle w:val="55"/>
              <w:spacing w:line="240" w:lineRule="exact"/>
              <w:ind w:firstLine="0" w:firstLineChars="0"/>
              <w:rPr>
                <w:color w:val="auto"/>
                <w:sz w:val="21"/>
                <w:szCs w:val="21"/>
              </w:rPr>
            </w:pPr>
            <w:r>
              <w:rPr>
                <w:color w:val="auto"/>
                <w:sz w:val="21"/>
                <w:szCs w:val="21"/>
              </w:rPr>
              <w:t>水温（℃）</w:t>
            </w:r>
          </w:p>
        </w:tc>
        <w:tc>
          <w:tcPr>
            <w:tcW w:w="1624" w:type="dxa"/>
            <w:shd w:val="clear" w:color="auto" w:fill="auto"/>
            <w:tcMar>
              <w:top w:w="15" w:type="dxa"/>
              <w:left w:w="15" w:type="dxa"/>
              <w:right w:w="15" w:type="dxa"/>
            </w:tcMar>
            <w:vAlign w:val="center"/>
          </w:tcPr>
          <w:p w14:paraId="7BFDCB62">
            <w:pPr>
              <w:pStyle w:val="55"/>
              <w:spacing w:line="240" w:lineRule="exact"/>
              <w:ind w:firstLine="0" w:firstLineChars="0"/>
              <w:rPr>
                <w:color w:val="auto"/>
                <w:sz w:val="21"/>
                <w:szCs w:val="21"/>
              </w:rPr>
            </w:pPr>
            <w:r>
              <w:rPr>
                <w:color w:val="auto"/>
                <w:sz w:val="21"/>
                <w:szCs w:val="21"/>
              </w:rPr>
              <w:t>15.5</w:t>
            </w:r>
          </w:p>
        </w:tc>
        <w:tc>
          <w:tcPr>
            <w:tcW w:w="1701" w:type="dxa"/>
            <w:shd w:val="clear" w:color="auto" w:fill="auto"/>
            <w:tcMar>
              <w:top w:w="15" w:type="dxa"/>
              <w:left w:w="15" w:type="dxa"/>
              <w:right w:w="15" w:type="dxa"/>
            </w:tcMar>
            <w:vAlign w:val="center"/>
          </w:tcPr>
          <w:p w14:paraId="07A0B843">
            <w:pPr>
              <w:pStyle w:val="55"/>
              <w:spacing w:line="240" w:lineRule="exact"/>
              <w:ind w:firstLine="0" w:firstLineChars="0"/>
              <w:rPr>
                <w:color w:val="auto"/>
                <w:sz w:val="21"/>
                <w:szCs w:val="21"/>
              </w:rPr>
            </w:pPr>
            <w:r>
              <w:rPr>
                <w:color w:val="auto"/>
                <w:sz w:val="21"/>
                <w:szCs w:val="21"/>
              </w:rPr>
              <w:t>25.7</w:t>
            </w:r>
          </w:p>
        </w:tc>
        <w:tc>
          <w:tcPr>
            <w:tcW w:w="1842" w:type="dxa"/>
            <w:shd w:val="clear" w:color="auto" w:fill="auto"/>
            <w:tcMar>
              <w:top w:w="15" w:type="dxa"/>
              <w:left w:w="15" w:type="dxa"/>
              <w:right w:w="15" w:type="dxa"/>
            </w:tcMar>
            <w:vAlign w:val="center"/>
          </w:tcPr>
          <w:p w14:paraId="63E695B0">
            <w:pPr>
              <w:pStyle w:val="55"/>
              <w:spacing w:line="240" w:lineRule="exact"/>
              <w:ind w:firstLine="0" w:firstLineChars="0"/>
              <w:rPr>
                <w:color w:val="auto"/>
                <w:sz w:val="21"/>
                <w:szCs w:val="21"/>
              </w:rPr>
            </w:pPr>
            <w:r>
              <w:rPr>
                <w:color w:val="auto"/>
                <w:sz w:val="21"/>
                <w:szCs w:val="21"/>
              </w:rPr>
              <w:t>22.6</w:t>
            </w:r>
          </w:p>
        </w:tc>
        <w:tc>
          <w:tcPr>
            <w:tcW w:w="5739" w:type="dxa"/>
            <w:gridSpan w:val="2"/>
            <w:shd w:val="clear" w:color="auto" w:fill="auto"/>
            <w:tcMar>
              <w:top w:w="15" w:type="dxa"/>
              <w:left w:w="15" w:type="dxa"/>
              <w:right w:w="15" w:type="dxa"/>
            </w:tcMar>
            <w:vAlign w:val="center"/>
          </w:tcPr>
          <w:p w14:paraId="0078F838">
            <w:pPr>
              <w:pStyle w:val="55"/>
              <w:spacing w:line="240" w:lineRule="exact"/>
              <w:ind w:firstLine="0" w:firstLineChars="0"/>
              <w:rPr>
                <w:color w:val="auto"/>
                <w:sz w:val="21"/>
                <w:szCs w:val="21"/>
              </w:rPr>
            </w:pPr>
            <w:r>
              <w:rPr>
                <w:color w:val="auto"/>
                <w:sz w:val="21"/>
                <w:szCs w:val="21"/>
              </w:rPr>
              <w:t>人为造成的环境水温变化应限制在：</w:t>
            </w:r>
            <w:r>
              <w:rPr>
                <w:color w:val="auto"/>
                <w:sz w:val="21"/>
                <w:szCs w:val="21"/>
              </w:rPr>
              <w:br w:type="textWrapping"/>
            </w:r>
            <w:r>
              <w:rPr>
                <w:color w:val="auto"/>
                <w:sz w:val="21"/>
                <w:szCs w:val="21"/>
              </w:rPr>
              <w:t>周平均最大温升≤1</w:t>
            </w:r>
            <w:r>
              <w:rPr>
                <w:color w:val="auto"/>
                <w:sz w:val="21"/>
                <w:szCs w:val="21"/>
              </w:rPr>
              <w:br w:type="textWrapping"/>
            </w:r>
            <w:r>
              <w:rPr>
                <w:color w:val="auto"/>
                <w:sz w:val="21"/>
                <w:szCs w:val="21"/>
              </w:rPr>
              <w:t>周平均最大温降≤2</w:t>
            </w:r>
          </w:p>
        </w:tc>
      </w:tr>
      <w:tr w14:paraId="19BD5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6D2FFCC2">
            <w:pPr>
              <w:pStyle w:val="55"/>
              <w:spacing w:line="240" w:lineRule="exact"/>
              <w:ind w:firstLine="0" w:firstLineChars="0"/>
              <w:rPr>
                <w:color w:val="auto"/>
                <w:sz w:val="21"/>
                <w:szCs w:val="21"/>
              </w:rPr>
            </w:pPr>
            <w:r>
              <w:rPr>
                <w:color w:val="auto"/>
                <w:sz w:val="21"/>
                <w:szCs w:val="21"/>
              </w:rPr>
              <w:t>2</w:t>
            </w:r>
          </w:p>
        </w:tc>
        <w:tc>
          <w:tcPr>
            <w:tcW w:w="0" w:type="auto"/>
            <w:shd w:val="clear" w:color="auto" w:fill="auto"/>
            <w:tcMar>
              <w:top w:w="15" w:type="dxa"/>
              <w:left w:w="15" w:type="dxa"/>
              <w:right w:w="15" w:type="dxa"/>
            </w:tcMar>
            <w:vAlign w:val="center"/>
          </w:tcPr>
          <w:p w14:paraId="0C6D293E">
            <w:pPr>
              <w:pStyle w:val="55"/>
              <w:spacing w:line="240" w:lineRule="exact"/>
              <w:ind w:firstLine="0" w:firstLineChars="0"/>
              <w:rPr>
                <w:color w:val="auto"/>
                <w:sz w:val="21"/>
                <w:szCs w:val="21"/>
              </w:rPr>
            </w:pPr>
            <w:r>
              <w:rPr>
                <w:color w:val="auto"/>
                <w:sz w:val="21"/>
                <w:szCs w:val="21"/>
              </w:rPr>
              <w:t>pH</w:t>
            </w:r>
          </w:p>
        </w:tc>
        <w:tc>
          <w:tcPr>
            <w:tcW w:w="1624" w:type="dxa"/>
            <w:shd w:val="clear" w:color="auto" w:fill="auto"/>
            <w:tcMar>
              <w:top w:w="15" w:type="dxa"/>
              <w:left w:w="15" w:type="dxa"/>
              <w:right w:w="15" w:type="dxa"/>
            </w:tcMar>
            <w:vAlign w:val="center"/>
          </w:tcPr>
          <w:p w14:paraId="02580A44">
            <w:pPr>
              <w:pStyle w:val="55"/>
              <w:spacing w:line="240" w:lineRule="exact"/>
              <w:ind w:firstLine="0" w:firstLineChars="0"/>
              <w:rPr>
                <w:color w:val="auto"/>
                <w:sz w:val="21"/>
                <w:szCs w:val="21"/>
              </w:rPr>
            </w:pPr>
            <w:r>
              <w:rPr>
                <w:color w:val="auto"/>
                <w:sz w:val="21"/>
                <w:szCs w:val="21"/>
              </w:rPr>
              <w:t>8.19</w:t>
            </w:r>
          </w:p>
        </w:tc>
        <w:tc>
          <w:tcPr>
            <w:tcW w:w="1701" w:type="dxa"/>
            <w:shd w:val="clear" w:color="auto" w:fill="auto"/>
            <w:tcMar>
              <w:top w:w="15" w:type="dxa"/>
              <w:left w:w="15" w:type="dxa"/>
              <w:right w:w="15" w:type="dxa"/>
            </w:tcMar>
            <w:vAlign w:val="center"/>
          </w:tcPr>
          <w:p w14:paraId="1AC2EEC6">
            <w:pPr>
              <w:pStyle w:val="55"/>
              <w:spacing w:line="240" w:lineRule="exact"/>
              <w:ind w:firstLine="0" w:firstLineChars="0"/>
              <w:rPr>
                <w:color w:val="auto"/>
                <w:sz w:val="21"/>
                <w:szCs w:val="21"/>
              </w:rPr>
            </w:pPr>
            <w:r>
              <w:rPr>
                <w:color w:val="auto"/>
                <w:sz w:val="21"/>
                <w:szCs w:val="21"/>
              </w:rPr>
              <w:t>8.07</w:t>
            </w:r>
          </w:p>
        </w:tc>
        <w:tc>
          <w:tcPr>
            <w:tcW w:w="1842" w:type="dxa"/>
            <w:shd w:val="clear" w:color="auto" w:fill="auto"/>
            <w:tcMar>
              <w:top w:w="15" w:type="dxa"/>
              <w:left w:w="15" w:type="dxa"/>
              <w:right w:w="15" w:type="dxa"/>
            </w:tcMar>
            <w:vAlign w:val="center"/>
          </w:tcPr>
          <w:p w14:paraId="45823FA4">
            <w:pPr>
              <w:pStyle w:val="55"/>
              <w:spacing w:line="240" w:lineRule="exact"/>
              <w:ind w:firstLine="0" w:firstLineChars="0"/>
              <w:rPr>
                <w:color w:val="auto"/>
                <w:sz w:val="21"/>
                <w:szCs w:val="21"/>
              </w:rPr>
            </w:pPr>
            <w:r>
              <w:rPr>
                <w:color w:val="auto"/>
                <w:sz w:val="21"/>
                <w:szCs w:val="21"/>
              </w:rPr>
              <w:t>8.1</w:t>
            </w:r>
          </w:p>
        </w:tc>
        <w:tc>
          <w:tcPr>
            <w:tcW w:w="5739" w:type="dxa"/>
            <w:gridSpan w:val="2"/>
            <w:shd w:val="clear" w:color="auto" w:fill="auto"/>
            <w:tcMar>
              <w:top w:w="15" w:type="dxa"/>
              <w:left w:w="15" w:type="dxa"/>
              <w:right w:w="15" w:type="dxa"/>
            </w:tcMar>
            <w:vAlign w:val="center"/>
          </w:tcPr>
          <w:p w14:paraId="2067DF57">
            <w:pPr>
              <w:pStyle w:val="55"/>
              <w:spacing w:line="240" w:lineRule="exact"/>
              <w:ind w:firstLine="0" w:firstLineChars="0"/>
              <w:rPr>
                <w:color w:val="auto"/>
                <w:sz w:val="21"/>
                <w:szCs w:val="21"/>
              </w:rPr>
            </w:pPr>
            <w:r>
              <w:rPr>
                <w:color w:val="auto"/>
                <w:sz w:val="21"/>
                <w:szCs w:val="21"/>
              </w:rPr>
              <w:t>6~9</w:t>
            </w:r>
          </w:p>
        </w:tc>
      </w:tr>
      <w:tr w14:paraId="7410F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4BACA431">
            <w:pPr>
              <w:pStyle w:val="55"/>
              <w:spacing w:line="240" w:lineRule="exact"/>
              <w:ind w:firstLine="0" w:firstLineChars="0"/>
              <w:rPr>
                <w:color w:val="auto"/>
                <w:sz w:val="21"/>
                <w:szCs w:val="21"/>
              </w:rPr>
            </w:pPr>
            <w:r>
              <w:rPr>
                <w:color w:val="auto"/>
                <w:sz w:val="21"/>
                <w:szCs w:val="21"/>
              </w:rPr>
              <w:t>3</w:t>
            </w:r>
          </w:p>
        </w:tc>
        <w:tc>
          <w:tcPr>
            <w:tcW w:w="0" w:type="auto"/>
            <w:shd w:val="clear" w:color="auto" w:fill="auto"/>
            <w:tcMar>
              <w:top w:w="15" w:type="dxa"/>
              <w:left w:w="15" w:type="dxa"/>
              <w:right w:w="15" w:type="dxa"/>
            </w:tcMar>
            <w:vAlign w:val="center"/>
          </w:tcPr>
          <w:p w14:paraId="51B98626">
            <w:pPr>
              <w:pStyle w:val="55"/>
              <w:spacing w:line="240" w:lineRule="exact"/>
              <w:ind w:firstLine="0" w:firstLineChars="0"/>
              <w:rPr>
                <w:color w:val="auto"/>
                <w:sz w:val="21"/>
                <w:szCs w:val="21"/>
              </w:rPr>
            </w:pPr>
            <w:r>
              <w:rPr>
                <w:color w:val="auto"/>
                <w:sz w:val="21"/>
                <w:szCs w:val="21"/>
              </w:rPr>
              <w:t>高锰酸钾指数（mg/L）</w:t>
            </w:r>
          </w:p>
        </w:tc>
        <w:tc>
          <w:tcPr>
            <w:tcW w:w="1624" w:type="dxa"/>
            <w:shd w:val="clear" w:color="auto" w:fill="auto"/>
            <w:tcMar>
              <w:top w:w="15" w:type="dxa"/>
              <w:left w:w="15" w:type="dxa"/>
              <w:right w:w="15" w:type="dxa"/>
            </w:tcMar>
            <w:vAlign w:val="center"/>
          </w:tcPr>
          <w:p w14:paraId="61254BDB">
            <w:pPr>
              <w:pStyle w:val="55"/>
              <w:spacing w:line="240" w:lineRule="exact"/>
              <w:ind w:firstLine="0" w:firstLineChars="0"/>
              <w:rPr>
                <w:color w:val="auto"/>
                <w:sz w:val="21"/>
                <w:szCs w:val="21"/>
              </w:rPr>
            </w:pPr>
            <w:r>
              <w:rPr>
                <w:color w:val="auto"/>
                <w:sz w:val="21"/>
                <w:szCs w:val="21"/>
              </w:rPr>
              <w:t>1.63</w:t>
            </w:r>
          </w:p>
        </w:tc>
        <w:tc>
          <w:tcPr>
            <w:tcW w:w="1701" w:type="dxa"/>
            <w:shd w:val="clear" w:color="auto" w:fill="auto"/>
            <w:tcMar>
              <w:top w:w="15" w:type="dxa"/>
              <w:left w:w="15" w:type="dxa"/>
              <w:right w:w="15" w:type="dxa"/>
            </w:tcMar>
            <w:vAlign w:val="center"/>
          </w:tcPr>
          <w:p w14:paraId="66084BBA">
            <w:pPr>
              <w:pStyle w:val="55"/>
              <w:spacing w:line="240" w:lineRule="exact"/>
              <w:ind w:firstLine="0" w:firstLineChars="0"/>
              <w:rPr>
                <w:color w:val="auto"/>
                <w:sz w:val="21"/>
                <w:szCs w:val="21"/>
              </w:rPr>
            </w:pPr>
            <w:r>
              <w:rPr>
                <w:color w:val="auto"/>
                <w:sz w:val="21"/>
                <w:szCs w:val="21"/>
              </w:rPr>
              <w:t>1.82</w:t>
            </w:r>
          </w:p>
        </w:tc>
        <w:tc>
          <w:tcPr>
            <w:tcW w:w="1842" w:type="dxa"/>
            <w:shd w:val="clear" w:color="auto" w:fill="auto"/>
            <w:tcMar>
              <w:top w:w="15" w:type="dxa"/>
              <w:left w:w="15" w:type="dxa"/>
              <w:right w:w="15" w:type="dxa"/>
            </w:tcMar>
            <w:vAlign w:val="center"/>
          </w:tcPr>
          <w:p w14:paraId="553F0ED5">
            <w:pPr>
              <w:pStyle w:val="55"/>
              <w:spacing w:line="240" w:lineRule="exact"/>
              <w:ind w:firstLine="0" w:firstLineChars="0"/>
              <w:rPr>
                <w:color w:val="auto"/>
                <w:sz w:val="21"/>
                <w:szCs w:val="21"/>
              </w:rPr>
            </w:pPr>
            <w:r>
              <w:rPr>
                <w:color w:val="auto"/>
                <w:sz w:val="21"/>
                <w:szCs w:val="21"/>
              </w:rPr>
              <w:t>1.49</w:t>
            </w:r>
          </w:p>
        </w:tc>
        <w:tc>
          <w:tcPr>
            <w:tcW w:w="2835" w:type="dxa"/>
            <w:shd w:val="clear" w:color="auto" w:fill="auto"/>
            <w:tcMar>
              <w:top w:w="15" w:type="dxa"/>
              <w:left w:w="15" w:type="dxa"/>
              <w:right w:w="15" w:type="dxa"/>
            </w:tcMar>
            <w:vAlign w:val="center"/>
          </w:tcPr>
          <w:p w14:paraId="5B0D2982">
            <w:pPr>
              <w:pStyle w:val="55"/>
              <w:spacing w:line="240" w:lineRule="exact"/>
              <w:ind w:firstLine="0" w:firstLineChars="0"/>
              <w:rPr>
                <w:color w:val="auto"/>
                <w:sz w:val="21"/>
                <w:szCs w:val="21"/>
              </w:rPr>
            </w:pPr>
            <w:r>
              <w:rPr>
                <w:color w:val="auto"/>
                <w:sz w:val="21"/>
                <w:szCs w:val="21"/>
              </w:rPr>
              <w:t>≤4mg/L</w:t>
            </w:r>
          </w:p>
        </w:tc>
        <w:tc>
          <w:tcPr>
            <w:tcW w:w="0" w:type="auto"/>
            <w:shd w:val="clear" w:color="auto" w:fill="auto"/>
            <w:tcMar>
              <w:top w:w="15" w:type="dxa"/>
              <w:left w:w="15" w:type="dxa"/>
              <w:right w:w="15" w:type="dxa"/>
            </w:tcMar>
            <w:vAlign w:val="center"/>
          </w:tcPr>
          <w:p w14:paraId="3EFF8F8A">
            <w:pPr>
              <w:pStyle w:val="55"/>
              <w:spacing w:line="240" w:lineRule="exact"/>
              <w:ind w:firstLine="0" w:firstLineChars="0"/>
              <w:rPr>
                <w:color w:val="auto"/>
                <w:sz w:val="21"/>
                <w:szCs w:val="21"/>
              </w:rPr>
            </w:pPr>
            <w:r>
              <w:rPr>
                <w:color w:val="auto"/>
                <w:sz w:val="21"/>
                <w:szCs w:val="21"/>
              </w:rPr>
              <w:t>≤6mg/L</w:t>
            </w:r>
          </w:p>
        </w:tc>
      </w:tr>
      <w:tr w14:paraId="3A9A8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01938778">
            <w:pPr>
              <w:pStyle w:val="55"/>
              <w:spacing w:line="240" w:lineRule="exact"/>
              <w:ind w:firstLine="0" w:firstLineChars="0"/>
              <w:rPr>
                <w:color w:val="auto"/>
                <w:sz w:val="21"/>
                <w:szCs w:val="21"/>
              </w:rPr>
            </w:pPr>
            <w:r>
              <w:rPr>
                <w:color w:val="auto"/>
                <w:sz w:val="21"/>
                <w:szCs w:val="21"/>
              </w:rPr>
              <w:t>4</w:t>
            </w:r>
          </w:p>
        </w:tc>
        <w:tc>
          <w:tcPr>
            <w:tcW w:w="0" w:type="auto"/>
            <w:shd w:val="clear" w:color="auto" w:fill="auto"/>
            <w:tcMar>
              <w:top w:w="15" w:type="dxa"/>
              <w:left w:w="15" w:type="dxa"/>
              <w:right w:w="15" w:type="dxa"/>
            </w:tcMar>
            <w:vAlign w:val="center"/>
          </w:tcPr>
          <w:p w14:paraId="765F0786">
            <w:pPr>
              <w:pStyle w:val="55"/>
              <w:spacing w:line="240" w:lineRule="exact"/>
              <w:ind w:firstLine="0" w:firstLineChars="0"/>
              <w:rPr>
                <w:color w:val="auto"/>
                <w:sz w:val="21"/>
                <w:szCs w:val="21"/>
              </w:rPr>
            </w:pPr>
            <w:r>
              <w:rPr>
                <w:color w:val="auto"/>
                <w:sz w:val="21"/>
                <w:szCs w:val="21"/>
              </w:rPr>
              <w:t>溶解氧（mg/L）</w:t>
            </w:r>
          </w:p>
        </w:tc>
        <w:tc>
          <w:tcPr>
            <w:tcW w:w="1624" w:type="dxa"/>
            <w:shd w:val="clear" w:color="auto" w:fill="auto"/>
            <w:tcMar>
              <w:top w:w="15" w:type="dxa"/>
              <w:left w:w="15" w:type="dxa"/>
              <w:right w:w="15" w:type="dxa"/>
            </w:tcMar>
            <w:vAlign w:val="center"/>
          </w:tcPr>
          <w:p w14:paraId="103EE623">
            <w:pPr>
              <w:pStyle w:val="55"/>
              <w:spacing w:line="240" w:lineRule="exact"/>
              <w:ind w:firstLine="0" w:firstLineChars="0"/>
              <w:rPr>
                <w:color w:val="auto"/>
                <w:sz w:val="21"/>
                <w:szCs w:val="21"/>
              </w:rPr>
            </w:pPr>
            <w:r>
              <w:rPr>
                <w:color w:val="auto"/>
                <w:sz w:val="21"/>
                <w:szCs w:val="21"/>
              </w:rPr>
              <w:t>9.89</w:t>
            </w:r>
          </w:p>
        </w:tc>
        <w:tc>
          <w:tcPr>
            <w:tcW w:w="1701" w:type="dxa"/>
            <w:shd w:val="clear" w:color="auto" w:fill="auto"/>
            <w:tcMar>
              <w:top w:w="15" w:type="dxa"/>
              <w:left w:w="15" w:type="dxa"/>
              <w:right w:w="15" w:type="dxa"/>
            </w:tcMar>
            <w:vAlign w:val="center"/>
          </w:tcPr>
          <w:p w14:paraId="22706B1C">
            <w:pPr>
              <w:pStyle w:val="55"/>
              <w:spacing w:line="240" w:lineRule="exact"/>
              <w:ind w:firstLine="0" w:firstLineChars="0"/>
              <w:rPr>
                <w:color w:val="auto"/>
                <w:sz w:val="21"/>
                <w:szCs w:val="21"/>
              </w:rPr>
            </w:pPr>
            <w:r>
              <w:rPr>
                <w:color w:val="auto"/>
                <w:sz w:val="21"/>
                <w:szCs w:val="21"/>
              </w:rPr>
              <w:t>7.31</w:t>
            </w:r>
          </w:p>
        </w:tc>
        <w:tc>
          <w:tcPr>
            <w:tcW w:w="1842" w:type="dxa"/>
            <w:shd w:val="clear" w:color="auto" w:fill="auto"/>
            <w:tcMar>
              <w:top w:w="15" w:type="dxa"/>
              <w:left w:w="15" w:type="dxa"/>
              <w:right w:w="15" w:type="dxa"/>
            </w:tcMar>
            <w:vAlign w:val="center"/>
          </w:tcPr>
          <w:p w14:paraId="459E8E8F">
            <w:pPr>
              <w:pStyle w:val="55"/>
              <w:spacing w:line="240" w:lineRule="exact"/>
              <w:ind w:firstLine="0" w:firstLineChars="0"/>
              <w:rPr>
                <w:color w:val="auto"/>
                <w:sz w:val="21"/>
                <w:szCs w:val="21"/>
              </w:rPr>
            </w:pPr>
            <w:r>
              <w:rPr>
                <w:color w:val="auto"/>
                <w:sz w:val="21"/>
                <w:szCs w:val="21"/>
              </w:rPr>
              <w:t>8.25</w:t>
            </w:r>
          </w:p>
        </w:tc>
        <w:tc>
          <w:tcPr>
            <w:tcW w:w="2835" w:type="dxa"/>
            <w:shd w:val="clear" w:color="auto" w:fill="auto"/>
            <w:tcMar>
              <w:top w:w="15" w:type="dxa"/>
              <w:left w:w="15" w:type="dxa"/>
              <w:right w:w="15" w:type="dxa"/>
            </w:tcMar>
            <w:vAlign w:val="center"/>
          </w:tcPr>
          <w:p w14:paraId="28D43943">
            <w:pPr>
              <w:pStyle w:val="55"/>
              <w:spacing w:line="240" w:lineRule="exact"/>
              <w:ind w:firstLine="0" w:firstLineChars="0"/>
              <w:rPr>
                <w:color w:val="auto"/>
                <w:sz w:val="21"/>
                <w:szCs w:val="21"/>
              </w:rPr>
            </w:pPr>
            <w:r>
              <w:rPr>
                <w:color w:val="auto"/>
                <w:sz w:val="21"/>
                <w:szCs w:val="21"/>
              </w:rPr>
              <w:t>≥6mg/L</w:t>
            </w:r>
          </w:p>
        </w:tc>
        <w:tc>
          <w:tcPr>
            <w:tcW w:w="0" w:type="auto"/>
            <w:shd w:val="clear" w:color="auto" w:fill="auto"/>
            <w:tcMar>
              <w:top w:w="15" w:type="dxa"/>
              <w:left w:w="15" w:type="dxa"/>
              <w:right w:w="15" w:type="dxa"/>
            </w:tcMar>
            <w:vAlign w:val="center"/>
          </w:tcPr>
          <w:p w14:paraId="18B71A31">
            <w:pPr>
              <w:pStyle w:val="55"/>
              <w:spacing w:line="240" w:lineRule="exact"/>
              <w:ind w:firstLine="0" w:firstLineChars="0"/>
              <w:rPr>
                <w:color w:val="auto"/>
                <w:sz w:val="21"/>
                <w:szCs w:val="21"/>
              </w:rPr>
            </w:pPr>
            <w:r>
              <w:rPr>
                <w:color w:val="auto"/>
                <w:sz w:val="21"/>
                <w:szCs w:val="21"/>
              </w:rPr>
              <w:t>≥5mg/L</w:t>
            </w:r>
          </w:p>
        </w:tc>
      </w:tr>
      <w:tr w14:paraId="64A10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3F850FC7">
            <w:pPr>
              <w:pStyle w:val="55"/>
              <w:spacing w:line="240" w:lineRule="exact"/>
              <w:ind w:firstLine="0" w:firstLineChars="0"/>
              <w:rPr>
                <w:color w:val="auto"/>
                <w:sz w:val="21"/>
                <w:szCs w:val="21"/>
              </w:rPr>
            </w:pPr>
            <w:r>
              <w:rPr>
                <w:color w:val="auto"/>
                <w:sz w:val="21"/>
                <w:szCs w:val="21"/>
              </w:rPr>
              <w:t>5</w:t>
            </w:r>
          </w:p>
        </w:tc>
        <w:tc>
          <w:tcPr>
            <w:tcW w:w="0" w:type="auto"/>
            <w:shd w:val="clear" w:color="auto" w:fill="auto"/>
            <w:tcMar>
              <w:top w:w="15" w:type="dxa"/>
              <w:left w:w="15" w:type="dxa"/>
              <w:right w:w="15" w:type="dxa"/>
            </w:tcMar>
            <w:vAlign w:val="center"/>
          </w:tcPr>
          <w:p w14:paraId="6B0B9F18">
            <w:pPr>
              <w:pStyle w:val="55"/>
              <w:spacing w:line="240" w:lineRule="exact"/>
              <w:ind w:firstLine="0" w:firstLineChars="0"/>
              <w:rPr>
                <w:color w:val="auto"/>
                <w:sz w:val="21"/>
                <w:szCs w:val="21"/>
              </w:rPr>
            </w:pPr>
            <w:r>
              <w:rPr>
                <w:color w:val="auto"/>
                <w:sz w:val="21"/>
                <w:szCs w:val="21"/>
              </w:rPr>
              <w:t>化学需氧量（mg/L）</w:t>
            </w:r>
          </w:p>
        </w:tc>
        <w:tc>
          <w:tcPr>
            <w:tcW w:w="1624" w:type="dxa"/>
            <w:shd w:val="clear" w:color="auto" w:fill="auto"/>
            <w:tcMar>
              <w:top w:w="15" w:type="dxa"/>
              <w:left w:w="15" w:type="dxa"/>
              <w:right w:w="15" w:type="dxa"/>
            </w:tcMar>
            <w:vAlign w:val="center"/>
          </w:tcPr>
          <w:p w14:paraId="6A5F9D49">
            <w:pPr>
              <w:pStyle w:val="55"/>
              <w:spacing w:line="240" w:lineRule="exact"/>
              <w:ind w:firstLine="0" w:firstLineChars="0"/>
              <w:rPr>
                <w:color w:val="auto"/>
                <w:sz w:val="21"/>
                <w:szCs w:val="21"/>
              </w:rPr>
            </w:pPr>
            <w:r>
              <w:rPr>
                <w:color w:val="auto"/>
                <w:sz w:val="21"/>
                <w:szCs w:val="21"/>
              </w:rPr>
              <w:t>2.2</w:t>
            </w:r>
          </w:p>
        </w:tc>
        <w:tc>
          <w:tcPr>
            <w:tcW w:w="1701" w:type="dxa"/>
            <w:shd w:val="clear" w:color="auto" w:fill="auto"/>
            <w:tcMar>
              <w:top w:w="15" w:type="dxa"/>
              <w:left w:w="15" w:type="dxa"/>
              <w:right w:w="15" w:type="dxa"/>
            </w:tcMar>
            <w:vAlign w:val="center"/>
          </w:tcPr>
          <w:p w14:paraId="23645D62">
            <w:pPr>
              <w:pStyle w:val="55"/>
              <w:spacing w:line="240" w:lineRule="exact"/>
              <w:ind w:firstLine="0" w:firstLineChars="0"/>
              <w:rPr>
                <w:color w:val="auto"/>
                <w:sz w:val="21"/>
                <w:szCs w:val="21"/>
              </w:rPr>
            </w:pPr>
            <w:r>
              <w:rPr>
                <w:color w:val="auto"/>
                <w:sz w:val="21"/>
                <w:szCs w:val="21"/>
              </w:rPr>
              <w:t>6.3</w:t>
            </w:r>
          </w:p>
        </w:tc>
        <w:tc>
          <w:tcPr>
            <w:tcW w:w="1842" w:type="dxa"/>
            <w:shd w:val="clear" w:color="auto" w:fill="auto"/>
            <w:tcMar>
              <w:top w:w="15" w:type="dxa"/>
              <w:left w:w="15" w:type="dxa"/>
              <w:right w:w="15" w:type="dxa"/>
            </w:tcMar>
            <w:vAlign w:val="center"/>
          </w:tcPr>
          <w:p w14:paraId="22EDF83E">
            <w:pPr>
              <w:pStyle w:val="55"/>
              <w:spacing w:line="240" w:lineRule="exact"/>
              <w:ind w:firstLine="0" w:firstLineChars="0"/>
              <w:rPr>
                <w:color w:val="auto"/>
                <w:sz w:val="21"/>
                <w:szCs w:val="21"/>
              </w:rPr>
            </w:pPr>
            <w:r>
              <w:rPr>
                <w:color w:val="auto"/>
                <w:sz w:val="21"/>
                <w:szCs w:val="21"/>
              </w:rPr>
              <w:t>4.8</w:t>
            </w:r>
          </w:p>
        </w:tc>
        <w:tc>
          <w:tcPr>
            <w:tcW w:w="2835" w:type="dxa"/>
            <w:shd w:val="clear" w:color="auto" w:fill="auto"/>
            <w:tcMar>
              <w:top w:w="15" w:type="dxa"/>
              <w:left w:w="15" w:type="dxa"/>
              <w:right w:w="15" w:type="dxa"/>
            </w:tcMar>
            <w:vAlign w:val="center"/>
          </w:tcPr>
          <w:p w14:paraId="6B3A4A01">
            <w:pPr>
              <w:pStyle w:val="55"/>
              <w:spacing w:line="240" w:lineRule="exact"/>
              <w:ind w:firstLine="0" w:firstLineChars="0"/>
              <w:rPr>
                <w:color w:val="auto"/>
                <w:sz w:val="21"/>
                <w:szCs w:val="21"/>
              </w:rPr>
            </w:pPr>
            <w:r>
              <w:rPr>
                <w:color w:val="auto"/>
                <w:sz w:val="21"/>
                <w:szCs w:val="21"/>
              </w:rPr>
              <w:t>≤15mg/L</w:t>
            </w:r>
          </w:p>
        </w:tc>
        <w:tc>
          <w:tcPr>
            <w:tcW w:w="0" w:type="auto"/>
            <w:shd w:val="clear" w:color="auto" w:fill="auto"/>
            <w:tcMar>
              <w:top w:w="15" w:type="dxa"/>
              <w:left w:w="15" w:type="dxa"/>
              <w:right w:w="15" w:type="dxa"/>
            </w:tcMar>
            <w:vAlign w:val="center"/>
          </w:tcPr>
          <w:p w14:paraId="1ACA242C">
            <w:pPr>
              <w:pStyle w:val="55"/>
              <w:spacing w:line="240" w:lineRule="exact"/>
              <w:ind w:firstLine="0" w:firstLineChars="0"/>
              <w:rPr>
                <w:color w:val="auto"/>
                <w:sz w:val="21"/>
                <w:szCs w:val="21"/>
              </w:rPr>
            </w:pPr>
            <w:r>
              <w:rPr>
                <w:color w:val="auto"/>
                <w:sz w:val="21"/>
                <w:szCs w:val="21"/>
              </w:rPr>
              <w:t>≤20mg/L</w:t>
            </w:r>
          </w:p>
        </w:tc>
      </w:tr>
      <w:tr w14:paraId="69B9B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09324F9F">
            <w:pPr>
              <w:pStyle w:val="55"/>
              <w:spacing w:line="240" w:lineRule="exact"/>
              <w:ind w:firstLine="0" w:firstLineChars="0"/>
              <w:rPr>
                <w:color w:val="auto"/>
                <w:sz w:val="21"/>
                <w:szCs w:val="21"/>
              </w:rPr>
            </w:pPr>
            <w:r>
              <w:rPr>
                <w:color w:val="auto"/>
                <w:sz w:val="21"/>
                <w:szCs w:val="21"/>
              </w:rPr>
              <w:t>6</w:t>
            </w:r>
          </w:p>
        </w:tc>
        <w:tc>
          <w:tcPr>
            <w:tcW w:w="0" w:type="auto"/>
            <w:shd w:val="clear" w:color="auto" w:fill="auto"/>
            <w:tcMar>
              <w:top w:w="15" w:type="dxa"/>
              <w:left w:w="15" w:type="dxa"/>
              <w:right w:w="15" w:type="dxa"/>
            </w:tcMar>
            <w:vAlign w:val="center"/>
          </w:tcPr>
          <w:p w14:paraId="16779750">
            <w:pPr>
              <w:pStyle w:val="55"/>
              <w:spacing w:line="240" w:lineRule="exact"/>
              <w:ind w:firstLine="0" w:firstLineChars="0"/>
              <w:rPr>
                <w:color w:val="auto"/>
                <w:sz w:val="21"/>
                <w:szCs w:val="21"/>
              </w:rPr>
            </w:pPr>
            <w:r>
              <w:rPr>
                <w:color w:val="auto"/>
                <w:sz w:val="21"/>
                <w:szCs w:val="21"/>
              </w:rPr>
              <w:t>五日生化需氧量（mg/L）</w:t>
            </w:r>
          </w:p>
        </w:tc>
        <w:tc>
          <w:tcPr>
            <w:tcW w:w="1624" w:type="dxa"/>
            <w:shd w:val="clear" w:color="auto" w:fill="auto"/>
            <w:tcMar>
              <w:top w:w="15" w:type="dxa"/>
              <w:left w:w="15" w:type="dxa"/>
              <w:right w:w="15" w:type="dxa"/>
            </w:tcMar>
            <w:vAlign w:val="center"/>
          </w:tcPr>
          <w:p w14:paraId="2A78EE7C">
            <w:pPr>
              <w:pStyle w:val="55"/>
              <w:spacing w:line="240" w:lineRule="exact"/>
              <w:ind w:firstLine="0" w:firstLineChars="0"/>
              <w:rPr>
                <w:color w:val="auto"/>
                <w:sz w:val="21"/>
                <w:szCs w:val="21"/>
              </w:rPr>
            </w:pPr>
            <w:r>
              <w:rPr>
                <w:color w:val="auto"/>
                <w:sz w:val="21"/>
                <w:szCs w:val="21"/>
              </w:rPr>
              <w:t>＜2</w:t>
            </w:r>
          </w:p>
        </w:tc>
        <w:tc>
          <w:tcPr>
            <w:tcW w:w="1701" w:type="dxa"/>
            <w:shd w:val="clear" w:color="auto" w:fill="auto"/>
            <w:tcMar>
              <w:top w:w="15" w:type="dxa"/>
              <w:left w:w="15" w:type="dxa"/>
              <w:right w:w="15" w:type="dxa"/>
            </w:tcMar>
            <w:vAlign w:val="center"/>
          </w:tcPr>
          <w:p w14:paraId="6E7ED1B2">
            <w:pPr>
              <w:pStyle w:val="55"/>
              <w:spacing w:line="240" w:lineRule="exact"/>
              <w:ind w:firstLine="0" w:firstLineChars="0"/>
              <w:rPr>
                <w:color w:val="auto"/>
                <w:sz w:val="21"/>
                <w:szCs w:val="21"/>
              </w:rPr>
            </w:pPr>
            <w:r>
              <w:rPr>
                <w:color w:val="auto"/>
                <w:sz w:val="21"/>
                <w:szCs w:val="21"/>
              </w:rPr>
              <w:t>＜2</w:t>
            </w:r>
          </w:p>
        </w:tc>
        <w:tc>
          <w:tcPr>
            <w:tcW w:w="1842" w:type="dxa"/>
            <w:shd w:val="clear" w:color="auto" w:fill="auto"/>
            <w:tcMar>
              <w:top w:w="15" w:type="dxa"/>
              <w:left w:w="15" w:type="dxa"/>
              <w:right w:w="15" w:type="dxa"/>
            </w:tcMar>
            <w:vAlign w:val="center"/>
          </w:tcPr>
          <w:p w14:paraId="3F9D5B62">
            <w:pPr>
              <w:pStyle w:val="55"/>
              <w:spacing w:line="240" w:lineRule="exact"/>
              <w:ind w:firstLine="0" w:firstLineChars="0"/>
              <w:rPr>
                <w:color w:val="auto"/>
                <w:sz w:val="21"/>
                <w:szCs w:val="21"/>
              </w:rPr>
            </w:pPr>
            <w:r>
              <w:rPr>
                <w:color w:val="auto"/>
                <w:sz w:val="21"/>
                <w:szCs w:val="21"/>
              </w:rPr>
              <w:t>＜2</w:t>
            </w:r>
          </w:p>
        </w:tc>
        <w:tc>
          <w:tcPr>
            <w:tcW w:w="2835" w:type="dxa"/>
            <w:shd w:val="clear" w:color="auto" w:fill="auto"/>
            <w:tcMar>
              <w:top w:w="15" w:type="dxa"/>
              <w:left w:w="15" w:type="dxa"/>
              <w:right w:w="15" w:type="dxa"/>
            </w:tcMar>
            <w:vAlign w:val="center"/>
          </w:tcPr>
          <w:p w14:paraId="22B7D614">
            <w:pPr>
              <w:pStyle w:val="55"/>
              <w:spacing w:line="240" w:lineRule="exact"/>
              <w:ind w:firstLine="0" w:firstLineChars="0"/>
              <w:rPr>
                <w:color w:val="auto"/>
                <w:sz w:val="21"/>
                <w:szCs w:val="21"/>
              </w:rPr>
            </w:pPr>
            <w:r>
              <w:rPr>
                <w:color w:val="auto"/>
                <w:sz w:val="21"/>
                <w:szCs w:val="21"/>
              </w:rPr>
              <w:t>≤3mg/L</w:t>
            </w:r>
          </w:p>
        </w:tc>
        <w:tc>
          <w:tcPr>
            <w:tcW w:w="0" w:type="auto"/>
            <w:shd w:val="clear" w:color="auto" w:fill="auto"/>
            <w:tcMar>
              <w:top w:w="15" w:type="dxa"/>
              <w:left w:w="15" w:type="dxa"/>
              <w:right w:w="15" w:type="dxa"/>
            </w:tcMar>
            <w:vAlign w:val="center"/>
          </w:tcPr>
          <w:p w14:paraId="0684C27B">
            <w:pPr>
              <w:pStyle w:val="55"/>
              <w:spacing w:line="240" w:lineRule="exact"/>
              <w:ind w:firstLine="0" w:firstLineChars="0"/>
              <w:rPr>
                <w:color w:val="auto"/>
                <w:sz w:val="21"/>
                <w:szCs w:val="21"/>
              </w:rPr>
            </w:pPr>
            <w:r>
              <w:rPr>
                <w:color w:val="auto"/>
                <w:sz w:val="21"/>
                <w:szCs w:val="21"/>
              </w:rPr>
              <w:t>≤4mg/L</w:t>
            </w:r>
          </w:p>
        </w:tc>
      </w:tr>
      <w:tr w14:paraId="17D78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2803F66A">
            <w:pPr>
              <w:pStyle w:val="55"/>
              <w:spacing w:line="240" w:lineRule="exact"/>
              <w:ind w:firstLine="0" w:firstLineChars="0"/>
              <w:rPr>
                <w:color w:val="auto"/>
                <w:sz w:val="21"/>
                <w:szCs w:val="21"/>
              </w:rPr>
            </w:pPr>
            <w:r>
              <w:rPr>
                <w:color w:val="auto"/>
                <w:sz w:val="21"/>
                <w:szCs w:val="21"/>
              </w:rPr>
              <w:t>7</w:t>
            </w:r>
          </w:p>
        </w:tc>
        <w:tc>
          <w:tcPr>
            <w:tcW w:w="0" w:type="auto"/>
            <w:shd w:val="clear" w:color="auto" w:fill="auto"/>
            <w:tcMar>
              <w:top w:w="15" w:type="dxa"/>
              <w:left w:w="15" w:type="dxa"/>
              <w:right w:w="15" w:type="dxa"/>
            </w:tcMar>
            <w:vAlign w:val="center"/>
          </w:tcPr>
          <w:p w14:paraId="6B29495C">
            <w:pPr>
              <w:pStyle w:val="55"/>
              <w:spacing w:line="240" w:lineRule="exact"/>
              <w:ind w:firstLine="0" w:firstLineChars="0"/>
              <w:rPr>
                <w:color w:val="auto"/>
                <w:sz w:val="21"/>
                <w:szCs w:val="21"/>
              </w:rPr>
            </w:pPr>
            <w:r>
              <w:rPr>
                <w:color w:val="auto"/>
                <w:sz w:val="21"/>
                <w:szCs w:val="21"/>
              </w:rPr>
              <w:t>粪大肠菌群（个/L）</w:t>
            </w:r>
          </w:p>
        </w:tc>
        <w:tc>
          <w:tcPr>
            <w:tcW w:w="1624" w:type="dxa"/>
            <w:shd w:val="clear" w:color="auto" w:fill="auto"/>
            <w:tcMar>
              <w:top w:w="15" w:type="dxa"/>
              <w:left w:w="15" w:type="dxa"/>
              <w:right w:w="15" w:type="dxa"/>
            </w:tcMar>
            <w:vAlign w:val="center"/>
          </w:tcPr>
          <w:p w14:paraId="793B5A5E">
            <w:pPr>
              <w:pStyle w:val="55"/>
              <w:spacing w:line="240" w:lineRule="exact"/>
              <w:ind w:firstLine="0" w:firstLineChars="0"/>
              <w:rPr>
                <w:color w:val="auto"/>
                <w:sz w:val="21"/>
                <w:szCs w:val="21"/>
              </w:rPr>
            </w:pPr>
            <w:r>
              <w:rPr>
                <w:color w:val="auto"/>
                <w:sz w:val="21"/>
                <w:szCs w:val="21"/>
              </w:rPr>
              <w:t>4000</w:t>
            </w:r>
          </w:p>
        </w:tc>
        <w:tc>
          <w:tcPr>
            <w:tcW w:w="1701" w:type="dxa"/>
            <w:shd w:val="clear" w:color="auto" w:fill="auto"/>
            <w:tcMar>
              <w:top w:w="15" w:type="dxa"/>
              <w:left w:w="15" w:type="dxa"/>
              <w:right w:w="15" w:type="dxa"/>
            </w:tcMar>
            <w:vAlign w:val="center"/>
          </w:tcPr>
          <w:p w14:paraId="57E6FED4">
            <w:pPr>
              <w:pStyle w:val="55"/>
              <w:spacing w:line="240" w:lineRule="exact"/>
              <w:ind w:firstLine="0" w:firstLineChars="0"/>
              <w:rPr>
                <w:color w:val="auto"/>
                <w:sz w:val="21"/>
                <w:szCs w:val="21"/>
              </w:rPr>
            </w:pPr>
            <w:r>
              <w:rPr>
                <w:color w:val="auto"/>
                <w:sz w:val="21"/>
                <w:szCs w:val="21"/>
              </w:rPr>
              <w:t>26000</w:t>
            </w:r>
          </w:p>
        </w:tc>
        <w:tc>
          <w:tcPr>
            <w:tcW w:w="1842" w:type="dxa"/>
            <w:shd w:val="clear" w:color="auto" w:fill="auto"/>
            <w:tcMar>
              <w:top w:w="15" w:type="dxa"/>
              <w:left w:w="15" w:type="dxa"/>
              <w:right w:w="15" w:type="dxa"/>
            </w:tcMar>
            <w:vAlign w:val="center"/>
          </w:tcPr>
          <w:p w14:paraId="425AD0B3">
            <w:pPr>
              <w:pStyle w:val="55"/>
              <w:spacing w:line="240" w:lineRule="exact"/>
              <w:ind w:firstLine="0" w:firstLineChars="0"/>
              <w:rPr>
                <w:color w:val="auto"/>
                <w:sz w:val="21"/>
                <w:szCs w:val="21"/>
              </w:rPr>
            </w:pPr>
            <w:r>
              <w:rPr>
                <w:color w:val="auto"/>
                <w:sz w:val="21"/>
                <w:szCs w:val="21"/>
              </w:rPr>
              <w:t>27000</w:t>
            </w:r>
          </w:p>
        </w:tc>
        <w:tc>
          <w:tcPr>
            <w:tcW w:w="2835" w:type="dxa"/>
            <w:shd w:val="clear" w:color="auto" w:fill="auto"/>
            <w:tcMar>
              <w:top w:w="15" w:type="dxa"/>
              <w:left w:w="15" w:type="dxa"/>
              <w:right w:w="15" w:type="dxa"/>
            </w:tcMar>
            <w:vAlign w:val="center"/>
          </w:tcPr>
          <w:p w14:paraId="46E85A8C">
            <w:pPr>
              <w:pStyle w:val="55"/>
              <w:spacing w:line="240" w:lineRule="exact"/>
              <w:ind w:firstLine="0" w:firstLineChars="0"/>
              <w:rPr>
                <w:color w:val="auto"/>
                <w:sz w:val="21"/>
                <w:szCs w:val="21"/>
              </w:rPr>
            </w:pPr>
            <w:r>
              <w:rPr>
                <w:color w:val="auto"/>
                <w:sz w:val="21"/>
                <w:szCs w:val="21"/>
              </w:rPr>
              <w:t>≤2000个/L</w:t>
            </w:r>
          </w:p>
        </w:tc>
        <w:tc>
          <w:tcPr>
            <w:tcW w:w="0" w:type="auto"/>
            <w:shd w:val="clear" w:color="auto" w:fill="auto"/>
            <w:tcMar>
              <w:top w:w="15" w:type="dxa"/>
              <w:left w:w="15" w:type="dxa"/>
              <w:right w:w="15" w:type="dxa"/>
            </w:tcMar>
            <w:vAlign w:val="center"/>
          </w:tcPr>
          <w:p w14:paraId="1626D749">
            <w:pPr>
              <w:pStyle w:val="55"/>
              <w:spacing w:line="240" w:lineRule="exact"/>
              <w:ind w:firstLine="0" w:firstLineChars="0"/>
              <w:rPr>
                <w:color w:val="auto"/>
                <w:sz w:val="21"/>
                <w:szCs w:val="21"/>
              </w:rPr>
            </w:pPr>
            <w:r>
              <w:rPr>
                <w:color w:val="auto"/>
                <w:sz w:val="21"/>
                <w:szCs w:val="21"/>
              </w:rPr>
              <w:t>≤10000个/L</w:t>
            </w:r>
          </w:p>
        </w:tc>
      </w:tr>
      <w:tr w14:paraId="57250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0B76AD7D">
            <w:pPr>
              <w:pStyle w:val="55"/>
              <w:spacing w:line="240" w:lineRule="exact"/>
              <w:ind w:firstLine="0" w:firstLineChars="0"/>
              <w:rPr>
                <w:color w:val="auto"/>
                <w:sz w:val="21"/>
                <w:szCs w:val="21"/>
              </w:rPr>
            </w:pPr>
            <w:r>
              <w:rPr>
                <w:color w:val="auto"/>
                <w:sz w:val="21"/>
                <w:szCs w:val="21"/>
              </w:rPr>
              <w:t>8</w:t>
            </w:r>
          </w:p>
        </w:tc>
        <w:tc>
          <w:tcPr>
            <w:tcW w:w="0" w:type="auto"/>
            <w:shd w:val="clear" w:color="auto" w:fill="auto"/>
            <w:tcMar>
              <w:top w:w="15" w:type="dxa"/>
              <w:left w:w="15" w:type="dxa"/>
              <w:right w:w="15" w:type="dxa"/>
            </w:tcMar>
            <w:vAlign w:val="center"/>
          </w:tcPr>
          <w:p w14:paraId="51CE150F">
            <w:pPr>
              <w:pStyle w:val="55"/>
              <w:spacing w:line="240" w:lineRule="exact"/>
              <w:ind w:firstLine="0" w:firstLineChars="0"/>
              <w:rPr>
                <w:color w:val="auto"/>
                <w:sz w:val="21"/>
                <w:szCs w:val="21"/>
              </w:rPr>
            </w:pPr>
            <w:r>
              <w:rPr>
                <w:color w:val="auto"/>
                <w:sz w:val="21"/>
                <w:szCs w:val="21"/>
              </w:rPr>
              <w:t>氟化物（mg/L）</w:t>
            </w:r>
          </w:p>
        </w:tc>
        <w:tc>
          <w:tcPr>
            <w:tcW w:w="1624" w:type="dxa"/>
            <w:shd w:val="clear" w:color="auto" w:fill="auto"/>
            <w:tcMar>
              <w:top w:w="15" w:type="dxa"/>
              <w:left w:w="15" w:type="dxa"/>
              <w:right w:w="15" w:type="dxa"/>
            </w:tcMar>
            <w:vAlign w:val="center"/>
          </w:tcPr>
          <w:p w14:paraId="043F442D">
            <w:pPr>
              <w:pStyle w:val="55"/>
              <w:spacing w:line="240" w:lineRule="exact"/>
              <w:ind w:firstLine="0" w:firstLineChars="0"/>
              <w:rPr>
                <w:color w:val="auto"/>
                <w:sz w:val="21"/>
                <w:szCs w:val="21"/>
              </w:rPr>
            </w:pPr>
            <w:r>
              <w:rPr>
                <w:color w:val="auto"/>
                <w:sz w:val="21"/>
                <w:szCs w:val="21"/>
              </w:rPr>
              <w:t>0.146</w:t>
            </w:r>
          </w:p>
        </w:tc>
        <w:tc>
          <w:tcPr>
            <w:tcW w:w="1701" w:type="dxa"/>
            <w:shd w:val="clear" w:color="auto" w:fill="auto"/>
            <w:tcMar>
              <w:top w:w="15" w:type="dxa"/>
              <w:left w:w="15" w:type="dxa"/>
              <w:right w:w="15" w:type="dxa"/>
            </w:tcMar>
            <w:vAlign w:val="center"/>
          </w:tcPr>
          <w:p w14:paraId="5104B106">
            <w:pPr>
              <w:pStyle w:val="55"/>
              <w:spacing w:line="240" w:lineRule="exact"/>
              <w:ind w:firstLine="0" w:firstLineChars="0"/>
              <w:rPr>
                <w:color w:val="auto"/>
                <w:sz w:val="21"/>
                <w:szCs w:val="21"/>
              </w:rPr>
            </w:pPr>
            <w:r>
              <w:rPr>
                <w:color w:val="auto"/>
                <w:sz w:val="21"/>
                <w:szCs w:val="21"/>
              </w:rPr>
              <w:t>0.175</w:t>
            </w:r>
          </w:p>
        </w:tc>
        <w:tc>
          <w:tcPr>
            <w:tcW w:w="1842" w:type="dxa"/>
            <w:shd w:val="clear" w:color="auto" w:fill="auto"/>
            <w:tcMar>
              <w:top w:w="15" w:type="dxa"/>
              <w:left w:w="15" w:type="dxa"/>
              <w:right w:w="15" w:type="dxa"/>
            </w:tcMar>
            <w:vAlign w:val="center"/>
          </w:tcPr>
          <w:p w14:paraId="461E2499">
            <w:pPr>
              <w:pStyle w:val="55"/>
              <w:spacing w:line="240" w:lineRule="exact"/>
              <w:ind w:firstLine="0" w:firstLineChars="0"/>
              <w:rPr>
                <w:color w:val="auto"/>
                <w:sz w:val="21"/>
                <w:szCs w:val="21"/>
              </w:rPr>
            </w:pPr>
            <w:r>
              <w:rPr>
                <w:color w:val="auto"/>
                <w:sz w:val="21"/>
                <w:szCs w:val="21"/>
              </w:rPr>
              <w:t>0.138</w:t>
            </w:r>
          </w:p>
        </w:tc>
        <w:tc>
          <w:tcPr>
            <w:tcW w:w="2835" w:type="dxa"/>
            <w:shd w:val="clear" w:color="auto" w:fill="auto"/>
            <w:tcMar>
              <w:top w:w="15" w:type="dxa"/>
              <w:left w:w="15" w:type="dxa"/>
              <w:right w:w="15" w:type="dxa"/>
            </w:tcMar>
            <w:vAlign w:val="center"/>
          </w:tcPr>
          <w:p w14:paraId="26214502">
            <w:pPr>
              <w:pStyle w:val="55"/>
              <w:spacing w:line="240" w:lineRule="exact"/>
              <w:ind w:firstLine="0" w:firstLineChars="0"/>
              <w:rPr>
                <w:color w:val="auto"/>
                <w:sz w:val="21"/>
                <w:szCs w:val="21"/>
              </w:rPr>
            </w:pPr>
            <w:r>
              <w:rPr>
                <w:color w:val="auto"/>
                <w:sz w:val="21"/>
                <w:szCs w:val="21"/>
              </w:rPr>
              <w:t>≤1.0mg/L</w:t>
            </w:r>
          </w:p>
        </w:tc>
        <w:tc>
          <w:tcPr>
            <w:tcW w:w="0" w:type="auto"/>
            <w:shd w:val="clear" w:color="auto" w:fill="auto"/>
            <w:tcMar>
              <w:top w:w="15" w:type="dxa"/>
              <w:left w:w="15" w:type="dxa"/>
              <w:right w:w="15" w:type="dxa"/>
            </w:tcMar>
            <w:vAlign w:val="center"/>
          </w:tcPr>
          <w:p w14:paraId="695FFE8A">
            <w:pPr>
              <w:pStyle w:val="55"/>
              <w:spacing w:line="240" w:lineRule="exact"/>
              <w:ind w:firstLine="0" w:firstLineChars="0"/>
              <w:rPr>
                <w:color w:val="auto"/>
                <w:sz w:val="21"/>
                <w:szCs w:val="21"/>
              </w:rPr>
            </w:pPr>
            <w:r>
              <w:rPr>
                <w:color w:val="auto"/>
                <w:sz w:val="21"/>
                <w:szCs w:val="21"/>
              </w:rPr>
              <w:t>≤1.0mg/L</w:t>
            </w:r>
          </w:p>
        </w:tc>
      </w:tr>
      <w:tr w14:paraId="5AE6C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166D753C">
            <w:pPr>
              <w:pStyle w:val="55"/>
              <w:spacing w:line="240" w:lineRule="exact"/>
              <w:ind w:firstLine="0" w:firstLineChars="0"/>
              <w:rPr>
                <w:color w:val="auto"/>
                <w:sz w:val="21"/>
                <w:szCs w:val="21"/>
              </w:rPr>
            </w:pPr>
            <w:r>
              <w:rPr>
                <w:color w:val="auto"/>
                <w:sz w:val="21"/>
                <w:szCs w:val="21"/>
              </w:rPr>
              <w:t>9</w:t>
            </w:r>
          </w:p>
        </w:tc>
        <w:tc>
          <w:tcPr>
            <w:tcW w:w="0" w:type="auto"/>
            <w:shd w:val="clear" w:color="auto" w:fill="auto"/>
            <w:tcMar>
              <w:top w:w="15" w:type="dxa"/>
              <w:left w:w="15" w:type="dxa"/>
              <w:right w:w="15" w:type="dxa"/>
            </w:tcMar>
            <w:vAlign w:val="center"/>
          </w:tcPr>
          <w:p w14:paraId="116DE890">
            <w:pPr>
              <w:pStyle w:val="55"/>
              <w:spacing w:line="240" w:lineRule="exact"/>
              <w:ind w:firstLine="0" w:firstLineChars="0"/>
              <w:rPr>
                <w:color w:val="auto"/>
                <w:sz w:val="21"/>
                <w:szCs w:val="21"/>
              </w:rPr>
            </w:pPr>
            <w:r>
              <w:rPr>
                <w:color w:val="auto"/>
                <w:sz w:val="21"/>
                <w:szCs w:val="21"/>
              </w:rPr>
              <w:t>氯化物（mg/L）</w:t>
            </w:r>
          </w:p>
        </w:tc>
        <w:tc>
          <w:tcPr>
            <w:tcW w:w="1624" w:type="dxa"/>
            <w:shd w:val="clear" w:color="auto" w:fill="auto"/>
            <w:tcMar>
              <w:top w:w="15" w:type="dxa"/>
              <w:left w:w="15" w:type="dxa"/>
              <w:right w:w="15" w:type="dxa"/>
            </w:tcMar>
            <w:vAlign w:val="center"/>
          </w:tcPr>
          <w:p w14:paraId="2B725D93">
            <w:pPr>
              <w:pStyle w:val="55"/>
              <w:spacing w:line="240" w:lineRule="exact"/>
              <w:ind w:firstLine="0" w:firstLineChars="0"/>
              <w:rPr>
                <w:color w:val="auto"/>
                <w:sz w:val="21"/>
                <w:szCs w:val="21"/>
              </w:rPr>
            </w:pPr>
            <w:r>
              <w:rPr>
                <w:color w:val="auto"/>
                <w:sz w:val="21"/>
                <w:szCs w:val="21"/>
              </w:rPr>
              <w:t>30.2</w:t>
            </w:r>
          </w:p>
        </w:tc>
        <w:tc>
          <w:tcPr>
            <w:tcW w:w="1701" w:type="dxa"/>
            <w:shd w:val="clear" w:color="auto" w:fill="auto"/>
            <w:tcMar>
              <w:top w:w="15" w:type="dxa"/>
              <w:left w:w="15" w:type="dxa"/>
              <w:right w:w="15" w:type="dxa"/>
            </w:tcMar>
            <w:vAlign w:val="center"/>
          </w:tcPr>
          <w:p w14:paraId="06FF6F08">
            <w:pPr>
              <w:pStyle w:val="55"/>
              <w:spacing w:line="240" w:lineRule="exact"/>
              <w:ind w:firstLine="0" w:firstLineChars="0"/>
              <w:rPr>
                <w:color w:val="auto"/>
                <w:sz w:val="21"/>
                <w:szCs w:val="21"/>
              </w:rPr>
            </w:pPr>
            <w:r>
              <w:rPr>
                <w:color w:val="auto"/>
                <w:sz w:val="21"/>
                <w:szCs w:val="21"/>
              </w:rPr>
              <w:t>28.7</w:t>
            </w:r>
          </w:p>
        </w:tc>
        <w:tc>
          <w:tcPr>
            <w:tcW w:w="1842" w:type="dxa"/>
            <w:shd w:val="clear" w:color="auto" w:fill="auto"/>
            <w:tcMar>
              <w:top w:w="15" w:type="dxa"/>
              <w:left w:w="15" w:type="dxa"/>
              <w:right w:w="15" w:type="dxa"/>
            </w:tcMar>
            <w:vAlign w:val="center"/>
          </w:tcPr>
          <w:p w14:paraId="4111EE82">
            <w:pPr>
              <w:pStyle w:val="55"/>
              <w:spacing w:line="240" w:lineRule="exact"/>
              <w:ind w:firstLine="0" w:firstLineChars="0"/>
              <w:rPr>
                <w:color w:val="auto"/>
                <w:sz w:val="21"/>
                <w:szCs w:val="21"/>
              </w:rPr>
            </w:pPr>
            <w:r>
              <w:rPr>
                <w:color w:val="auto"/>
                <w:sz w:val="21"/>
                <w:szCs w:val="21"/>
              </w:rPr>
              <w:t>25.6</w:t>
            </w:r>
          </w:p>
        </w:tc>
        <w:tc>
          <w:tcPr>
            <w:tcW w:w="5739" w:type="dxa"/>
            <w:gridSpan w:val="2"/>
            <w:shd w:val="clear" w:color="auto" w:fill="auto"/>
            <w:tcMar>
              <w:top w:w="15" w:type="dxa"/>
              <w:left w:w="15" w:type="dxa"/>
              <w:right w:w="15" w:type="dxa"/>
            </w:tcMar>
            <w:vAlign w:val="center"/>
          </w:tcPr>
          <w:p w14:paraId="4085940F">
            <w:pPr>
              <w:pStyle w:val="55"/>
              <w:spacing w:line="240" w:lineRule="exact"/>
              <w:ind w:firstLine="0" w:firstLineChars="0"/>
              <w:rPr>
                <w:color w:val="auto"/>
                <w:sz w:val="21"/>
                <w:szCs w:val="21"/>
              </w:rPr>
            </w:pPr>
            <w:r>
              <w:rPr>
                <w:color w:val="auto"/>
                <w:sz w:val="21"/>
                <w:szCs w:val="21"/>
              </w:rPr>
              <w:t>≤250mg/L</w:t>
            </w:r>
          </w:p>
        </w:tc>
      </w:tr>
      <w:tr w14:paraId="2FE8D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6EE2AB50">
            <w:pPr>
              <w:pStyle w:val="55"/>
              <w:spacing w:line="240" w:lineRule="exact"/>
              <w:ind w:firstLine="0" w:firstLineChars="0"/>
              <w:rPr>
                <w:color w:val="auto"/>
                <w:sz w:val="21"/>
                <w:szCs w:val="21"/>
              </w:rPr>
            </w:pPr>
            <w:r>
              <w:rPr>
                <w:color w:val="auto"/>
                <w:sz w:val="21"/>
                <w:szCs w:val="21"/>
              </w:rPr>
              <w:t>10</w:t>
            </w:r>
          </w:p>
        </w:tc>
        <w:tc>
          <w:tcPr>
            <w:tcW w:w="0" w:type="auto"/>
            <w:shd w:val="clear" w:color="auto" w:fill="auto"/>
            <w:tcMar>
              <w:top w:w="15" w:type="dxa"/>
              <w:left w:w="15" w:type="dxa"/>
              <w:right w:w="15" w:type="dxa"/>
            </w:tcMar>
            <w:vAlign w:val="center"/>
          </w:tcPr>
          <w:p w14:paraId="136FC832">
            <w:pPr>
              <w:pStyle w:val="55"/>
              <w:spacing w:line="240" w:lineRule="exact"/>
              <w:ind w:firstLine="0" w:firstLineChars="0"/>
              <w:rPr>
                <w:color w:val="auto"/>
                <w:sz w:val="21"/>
                <w:szCs w:val="21"/>
              </w:rPr>
            </w:pPr>
            <w:r>
              <w:rPr>
                <w:color w:val="auto"/>
                <w:sz w:val="21"/>
                <w:szCs w:val="21"/>
              </w:rPr>
              <w:t>硝酸盐（以N计）（mg/L）</w:t>
            </w:r>
          </w:p>
        </w:tc>
        <w:tc>
          <w:tcPr>
            <w:tcW w:w="1624" w:type="dxa"/>
            <w:shd w:val="clear" w:color="auto" w:fill="auto"/>
            <w:tcMar>
              <w:top w:w="15" w:type="dxa"/>
              <w:left w:w="15" w:type="dxa"/>
              <w:right w:w="15" w:type="dxa"/>
            </w:tcMar>
            <w:vAlign w:val="center"/>
          </w:tcPr>
          <w:p w14:paraId="6A32931D">
            <w:pPr>
              <w:pStyle w:val="55"/>
              <w:spacing w:line="240" w:lineRule="exact"/>
              <w:ind w:firstLine="0" w:firstLineChars="0"/>
              <w:rPr>
                <w:color w:val="auto"/>
                <w:sz w:val="21"/>
                <w:szCs w:val="21"/>
              </w:rPr>
            </w:pPr>
            <w:r>
              <w:rPr>
                <w:color w:val="auto"/>
                <w:sz w:val="21"/>
                <w:szCs w:val="21"/>
              </w:rPr>
              <w:t>1.25</w:t>
            </w:r>
          </w:p>
        </w:tc>
        <w:tc>
          <w:tcPr>
            <w:tcW w:w="1701" w:type="dxa"/>
            <w:shd w:val="clear" w:color="auto" w:fill="auto"/>
            <w:tcMar>
              <w:top w:w="15" w:type="dxa"/>
              <w:left w:w="15" w:type="dxa"/>
              <w:right w:w="15" w:type="dxa"/>
            </w:tcMar>
            <w:vAlign w:val="center"/>
          </w:tcPr>
          <w:p w14:paraId="1BA6E8A9">
            <w:pPr>
              <w:pStyle w:val="55"/>
              <w:spacing w:line="240" w:lineRule="exact"/>
              <w:ind w:firstLine="0" w:firstLineChars="0"/>
              <w:rPr>
                <w:color w:val="auto"/>
                <w:sz w:val="21"/>
                <w:szCs w:val="21"/>
              </w:rPr>
            </w:pPr>
            <w:r>
              <w:rPr>
                <w:color w:val="auto"/>
                <w:sz w:val="21"/>
                <w:szCs w:val="21"/>
              </w:rPr>
              <w:t>1.75</w:t>
            </w:r>
          </w:p>
        </w:tc>
        <w:tc>
          <w:tcPr>
            <w:tcW w:w="1842" w:type="dxa"/>
            <w:shd w:val="clear" w:color="auto" w:fill="auto"/>
            <w:tcMar>
              <w:top w:w="15" w:type="dxa"/>
              <w:left w:w="15" w:type="dxa"/>
              <w:right w:w="15" w:type="dxa"/>
            </w:tcMar>
            <w:vAlign w:val="center"/>
          </w:tcPr>
          <w:p w14:paraId="6A8FD81D">
            <w:pPr>
              <w:pStyle w:val="55"/>
              <w:spacing w:line="240" w:lineRule="exact"/>
              <w:ind w:firstLine="0" w:firstLineChars="0"/>
              <w:rPr>
                <w:color w:val="auto"/>
                <w:sz w:val="21"/>
                <w:szCs w:val="21"/>
              </w:rPr>
            </w:pPr>
            <w:r>
              <w:rPr>
                <w:color w:val="auto"/>
                <w:sz w:val="21"/>
                <w:szCs w:val="21"/>
              </w:rPr>
              <w:t>1.02</w:t>
            </w:r>
          </w:p>
        </w:tc>
        <w:tc>
          <w:tcPr>
            <w:tcW w:w="5739" w:type="dxa"/>
            <w:gridSpan w:val="2"/>
            <w:shd w:val="clear" w:color="auto" w:fill="auto"/>
            <w:tcMar>
              <w:top w:w="15" w:type="dxa"/>
              <w:left w:w="15" w:type="dxa"/>
              <w:right w:w="15" w:type="dxa"/>
            </w:tcMar>
            <w:vAlign w:val="center"/>
          </w:tcPr>
          <w:p w14:paraId="3ACB6A6F">
            <w:pPr>
              <w:pStyle w:val="55"/>
              <w:spacing w:line="240" w:lineRule="exact"/>
              <w:ind w:firstLine="0" w:firstLineChars="0"/>
              <w:rPr>
                <w:color w:val="auto"/>
                <w:sz w:val="21"/>
                <w:szCs w:val="21"/>
              </w:rPr>
            </w:pPr>
            <w:r>
              <w:rPr>
                <w:color w:val="auto"/>
                <w:sz w:val="21"/>
                <w:szCs w:val="21"/>
              </w:rPr>
              <w:t>≤10mg/L</w:t>
            </w:r>
          </w:p>
        </w:tc>
      </w:tr>
      <w:tr w14:paraId="088C2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03A4D0E7">
            <w:pPr>
              <w:pStyle w:val="55"/>
              <w:spacing w:line="240" w:lineRule="exact"/>
              <w:ind w:firstLine="0" w:firstLineChars="0"/>
              <w:rPr>
                <w:color w:val="auto"/>
                <w:sz w:val="21"/>
                <w:szCs w:val="21"/>
              </w:rPr>
            </w:pPr>
            <w:r>
              <w:rPr>
                <w:color w:val="auto"/>
                <w:sz w:val="21"/>
                <w:szCs w:val="21"/>
              </w:rPr>
              <w:t>11</w:t>
            </w:r>
          </w:p>
        </w:tc>
        <w:tc>
          <w:tcPr>
            <w:tcW w:w="0" w:type="auto"/>
            <w:shd w:val="clear" w:color="auto" w:fill="auto"/>
            <w:tcMar>
              <w:top w:w="15" w:type="dxa"/>
              <w:left w:w="15" w:type="dxa"/>
              <w:right w:w="15" w:type="dxa"/>
            </w:tcMar>
            <w:vAlign w:val="center"/>
          </w:tcPr>
          <w:p w14:paraId="409A6D8C">
            <w:pPr>
              <w:pStyle w:val="55"/>
              <w:spacing w:line="240" w:lineRule="exact"/>
              <w:ind w:firstLine="0" w:firstLineChars="0"/>
              <w:rPr>
                <w:color w:val="auto"/>
                <w:sz w:val="21"/>
                <w:szCs w:val="21"/>
              </w:rPr>
            </w:pPr>
            <w:r>
              <w:rPr>
                <w:color w:val="auto"/>
                <w:sz w:val="21"/>
                <w:szCs w:val="21"/>
              </w:rPr>
              <w:t>硫酸盐（mg/L）</w:t>
            </w:r>
          </w:p>
        </w:tc>
        <w:tc>
          <w:tcPr>
            <w:tcW w:w="1624" w:type="dxa"/>
            <w:shd w:val="clear" w:color="auto" w:fill="auto"/>
            <w:tcMar>
              <w:top w:w="15" w:type="dxa"/>
              <w:left w:w="15" w:type="dxa"/>
              <w:right w:w="15" w:type="dxa"/>
            </w:tcMar>
            <w:vAlign w:val="center"/>
          </w:tcPr>
          <w:p w14:paraId="3FFA286D">
            <w:pPr>
              <w:pStyle w:val="55"/>
              <w:spacing w:line="240" w:lineRule="exact"/>
              <w:ind w:firstLine="0" w:firstLineChars="0"/>
              <w:rPr>
                <w:color w:val="auto"/>
                <w:sz w:val="21"/>
                <w:szCs w:val="21"/>
              </w:rPr>
            </w:pPr>
            <w:r>
              <w:rPr>
                <w:color w:val="auto"/>
                <w:sz w:val="21"/>
                <w:szCs w:val="21"/>
              </w:rPr>
              <w:t>50.9</w:t>
            </w:r>
          </w:p>
        </w:tc>
        <w:tc>
          <w:tcPr>
            <w:tcW w:w="1701" w:type="dxa"/>
            <w:shd w:val="clear" w:color="auto" w:fill="auto"/>
            <w:tcMar>
              <w:top w:w="15" w:type="dxa"/>
              <w:left w:w="15" w:type="dxa"/>
              <w:right w:w="15" w:type="dxa"/>
            </w:tcMar>
            <w:vAlign w:val="center"/>
          </w:tcPr>
          <w:p w14:paraId="345E1271">
            <w:pPr>
              <w:pStyle w:val="55"/>
              <w:spacing w:line="240" w:lineRule="exact"/>
              <w:ind w:firstLine="0" w:firstLineChars="0"/>
              <w:rPr>
                <w:color w:val="auto"/>
                <w:sz w:val="21"/>
                <w:szCs w:val="21"/>
              </w:rPr>
            </w:pPr>
            <w:r>
              <w:rPr>
                <w:color w:val="auto"/>
                <w:sz w:val="21"/>
                <w:szCs w:val="21"/>
              </w:rPr>
              <w:t>45.8</w:t>
            </w:r>
          </w:p>
        </w:tc>
        <w:tc>
          <w:tcPr>
            <w:tcW w:w="1842" w:type="dxa"/>
            <w:shd w:val="clear" w:color="auto" w:fill="auto"/>
            <w:tcMar>
              <w:top w:w="15" w:type="dxa"/>
              <w:left w:w="15" w:type="dxa"/>
              <w:right w:w="15" w:type="dxa"/>
            </w:tcMar>
            <w:vAlign w:val="center"/>
          </w:tcPr>
          <w:p w14:paraId="36452398">
            <w:pPr>
              <w:pStyle w:val="55"/>
              <w:spacing w:line="240" w:lineRule="exact"/>
              <w:ind w:firstLine="0" w:firstLineChars="0"/>
              <w:rPr>
                <w:color w:val="auto"/>
                <w:sz w:val="21"/>
                <w:szCs w:val="21"/>
              </w:rPr>
            </w:pPr>
            <w:r>
              <w:rPr>
                <w:color w:val="auto"/>
                <w:sz w:val="21"/>
                <w:szCs w:val="21"/>
              </w:rPr>
              <w:t>38</w:t>
            </w:r>
          </w:p>
        </w:tc>
        <w:tc>
          <w:tcPr>
            <w:tcW w:w="5739" w:type="dxa"/>
            <w:gridSpan w:val="2"/>
            <w:shd w:val="clear" w:color="auto" w:fill="auto"/>
            <w:tcMar>
              <w:top w:w="15" w:type="dxa"/>
              <w:left w:w="15" w:type="dxa"/>
              <w:right w:w="15" w:type="dxa"/>
            </w:tcMar>
            <w:vAlign w:val="center"/>
          </w:tcPr>
          <w:p w14:paraId="5C75178F">
            <w:pPr>
              <w:pStyle w:val="55"/>
              <w:spacing w:line="240" w:lineRule="exact"/>
              <w:ind w:firstLine="0" w:firstLineChars="0"/>
              <w:rPr>
                <w:color w:val="auto"/>
                <w:sz w:val="21"/>
                <w:szCs w:val="21"/>
              </w:rPr>
            </w:pPr>
            <w:r>
              <w:rPr>
                <w:color w:val="auto"/>
                <w:sz w:val="21"/>
                <w:szCs w:val="21"/>
              </w:rPr>
              <w:t>≤250mg/L</w:t>
            </w:r>
          </w:p>
        </w:tc>
      </w:tr>
      <w:tr w14:paraId="3A48C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510A2E93">
            <w:pPr>
              <w:pStyle w:val="55"/>
              <w:spacing w:line="240" w:lineRule="exact"/>
              <w:ind w:firstLine="0" w:firstLineChars="0"/>
              <w:rPr>
                <w:color w:val="auto"/>
                <w:sz w:val="21"/>
                <w:szCs w:val="21"/>
              </w:rPr>
            </w:pPr>
            <w:r>
              <w:rPr>
                <w:color w:val="auto"/>
                <w:sz w:val="21"/>
                <w:szCs w:val="21"/>
              </w:rPr>
              <w:t>12</w:t>
            </w:r>
          </w:p>
        </w:tc>
        <w:tc>
          <w:tcPr>
            <w:tcW w:w="0" w:type="auto"/>
            <w:shd w:val="clear" w:color="auto" w:fill="auto"/>
            <w:tcMar>
              <w:top w:w="15" w:type="dxa"/>
              <w:left w:w="15" w:type="dxa"/>
              <w:right w:w="15" w:type="dxa"/>
            </w:tcMar>
            <w:vAlign w:val="center"/>
          </w:tcPr>
          <w:p w14:paraId="7886E498">
            <w:pPr>
              <w:pStyle w:val="55"/>
              <w:spacing w:line="240" w:lineRule="exact"/>
              <w:ind w:firstLine="0" w:firstLineChars="0"/>
              <w:rPr>
                <w:color w:val="auto"/>
                <w:sz w:val="21"/>
                <w:szCs w:val="21"/>
              </w:rPr>
            </w:pPr>
            <w:r>
              <w:rPr>
                <w:color w:val="auto"/>
                <w:sz w:val="21"/>
                <w:szCs w:val="21"/>
              </w:rPr>
              <w:t>铜（mg/L）</w:t>
            </w:r>
          </w:p>
        </w:tc>
        <w:tc>
          <w:tcPr>
            <w:tcW w:w="1624" w:type="dxa"/>
            <w:shd w:val="clear" w:color="auto" w:fill="auto"/>
            <w:tcMar>
              <w:top w:w="15" w:type="dxa"/>
              <w:left w:w="15" w:type="dxa"/>
              <w:right w:w="15" w:type="dxa"/>
            </w:tcMar>
            <w:vAlign w:val="center"/>
          </w:tcPr>
          <w:p w14:paraId="0561129F">
            <w:pPr>
              <w:pStyle w:val="55"/>
              <w:spacing w:line="240" w:lineRule="exact"/>
              <w:ind w:firstLine="0" w:firstLineChars="0"/>
              <w:rPr>
                <w:color w:val="auto"/>
                <w:sz w:val="21"/>
                <w:szCs w:val="21"/>
              </w:rPr>
            </w:pPr>
            <w:r>
              <w:rPr>
                <w:color w:val="auto"/>
                <w:sz w:val="21"/>
                <w:szCs w:val="21"/>
              </w:rPr>
              <w:t>＜0.005</w:t>
            </w:r>
          </w:p>
        </w:tc>
        <w:tc>
          <w:tcPr>
            <w:tcW w:w="1701" w:type="dxa"/>
            <w:shd w:val="clear" w:color="auto" w:fill="auto"/>
            <w:tcMar>
              <w:top w:w="15" w:type="dxa"/>
              <w:left w:w="15" w:type="dxa"/>
              <w:right w:w="15" w:type="dxa"/>
            </w:tcMar>
            <w:vAlign w:val="center"/>
          </w:tcPr>
          <w:p w14:paraId="65555196">
            <w:pPr>
              <w:pStyle w:val="55"/>
              <w:spacing w:line="240" w:lineRule="exact"/>
              <w:ind w:firstLine="0" w:firstLineChars="0"/>
              <w:rPr>
                <w:color w:val="auto"/>
                <w:sz w:val="21"/>
                <w:szCs w:val="21"/>
              </w:rPr>
            </w:pPr>
            <w:r>
              <w:rPr>
                <w:color w:val="auto"/>
                <w:sz w:val="21"/>
                <w:szCs w:val="21"/>
              </w:rPr>
              <w:t>＜0.005</w:t>
            </w:r>
          </w:p>
        </w:tc>
        <w:tc>
          <w:tcPr>
            <w:tcW w:w="1842" w:type="dxa"/>
            <w:shd w:val="clear" w:color="auto" w:fill="auto"/>
            <w:tcMar>
              <w:top w:w="15" w:type="dxa"/>
              <w:left w:w="15" w:type="dxa"/>
              <w:right w:w="15" w:type="dxa"/>
            </w:tcMar>
            <w:vAlign w:val="center"/>
          </w:tcPr>
          <w:p w14:paraId="499B9635">
            <w:pPr>
              <w:pStyle w:val="55"/>
              <w:spacing w:line="240" w:lineRule="exact"/>
              <w:ind w:firstLine="0" w:firstLineChars="0"/>
              <w:rPr>
                <w:color w:val="auto"/>
                <w:sz w:val="21"/>
                <w:szCs w:val="21"/>
              </w:rPr>
            </w:pPr>
            <w:r>
              <w:rPr>
                <w:color w:val="auto"/>
                <w:sz w:val="21"/>
                <w:szCs w:val="21"/>
              </w:rPr>
              <w:t>＜0.005</w:t>
            </w:r>
          </w:p>
        </w:tc>
        <w:tc>
          <w:tcPr>
            <w:tcW w:w="2835" w:type="dxa"/>
            <w:shd w:val="clear" w:color="auto" w:fill="auto"/>
            <w:tcMar>
              <w:top w:w="15" w:type="dxa"/>
              <w:left w:w="15" w:type="dxa"/>
              <w:right w:w="15" w:type="dxa"/>
            </w:tcMar>
            <w:vAlign w:val="center"/>
          </w:tcPr>
          <w:p w14:paraId="7F090D35">
            <w:pPr>
              <w:pStyle w:val="55"/>
              <w:spacing w:line="240" w:lineRule="exact"/>
              <w:ind w:firstLine="0" w:firstLineChars="0"/>
              <w:rPr>
                <w:color w:val="auto"/>
                <w:sz w:val="21"/>
                <w:szCs w:val="21"/>
              </w:rPr>
            </w:pPr>
            <w:r>
              <w:rPr>
                <w:color w:val="auto"/>
                <w:sz w:val="21"/>
                <w:szCs w:val="21"/>
              </w:rPr>
              <w:t>≤1.0mg/L</w:t>
            </w:r>
          </w:p>
        </w:tc>
        <w:tc>
          <w:tcPr>
            <w:tcW w:w="0" w:type="auto"/>
            <w:shd w:val="clear" w:color="auto" w:fill="auto"/>
            <w:tcMar>
              <w:top w:w="15" w:type="dxa"/>
              <w:left w:w="15" w:type="dxa"/>
              <w:right w:w="15" w:type="dxa"/>
            </w:tcMar>
            <w:vAlign w:val="center"/>
          </w:tcPr>
          <w:p w14:paraId="5ED9CBDC">
            <w:pPr>
              <w:pStyle w:val="55"/>
              <w:spacing w:line="240" w:lineRule="exact"/>
              <w:ind w:firstLine="0" w:firstLineChars="0"/>
              <w:rPr>
                <w:color w:val="auto"/>
                <w:sz w:val="21"/>
                <w:szCs w:val="21"/>
              </w:rPr>
            </w:pPr>
            <w:r>
              <w:rPr>
                <w:color w:val="auto"/>
                <w:sz w:val="21"/>
                <w:szCs w:val="21"/>
              </w:rPr>
              <w:t>≤1.0mg/L</w:t>
            </w:r>
          </w:p>
        </w:tc>
      </w:tr>
      <w:tr w14:paraId="06B0F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562DEBC8">
            <w:pPr>
              <w:pStyle w:val="55"/>
              <w:spacing w:line="240" w:lineRule="exact"/>
              <w:ind w:firstLine="0" w:firstLineChars="0"/>
              <w:rPr>
                <w:color w:val="auto"/>
                <w:sz w:val="21"/>
                <w:szCs w:val="21"/>
              </w:rPr>
            </w:pPr>
            <w:r>
              <w:rPr>
                <w:color w:val="auto"/>
                <w:sz w:val="21"/>
                <w:szCs w:val="21"/>
              </w:rPr>
              <w:t>13</w:t>
            </w:r>
          </w:p>
        </w:tc>
        <w:tc>
          <w:tcPr>
            <w:tcW w:w="0" w:type="auto"/>
            <w:shd w:val="clear" w:color="auto" w:fill="auto"/>
            <w:tcMar>
              <w:top w:w="15" w:type="dxa"/>
              <w:left w:w="15" w:type="dxa"/>
              <w:right w:w="15" w:type="dxa"/>
            </w:tcMar>
            <w:vAlign w:val="center"/>
          </w:tcPr>
          <w:p w14:paraId="46AC96C3">
            <w:pPr>
              <w:pStyle w:val="55"/>
              <w:spacing w:line="240" w:lineRule="exact"/>
              <w:ind w:firstLine="0" w:firstLineChars="0"/>
              <w:rPr>
                <w:color w:val="auto"/>
                <w:sz w:val="21"/>
                <w:szCs w:val="21"/>
              </w:rPr>
            </w:pPr>
            <w:r>
              <w:rPr>
                <w:color w:val="auto"/>
                <w:sz w:val="21"/>
                <w:szCs w:val="21"/>
              </w:rPr>
              <w:t>铁（mg/L）</w:t>
            </w:r>
          </w:p>
        </w:tc>
        <w:tc>
          <w:tcPr>
            <w:tcW w:w="1624" w:type="dxa"/>
            <w:shd w:val="clear" w:color="auto" w:fill="auto"/>
            <w:tcMar>
              <w:top w:w="15" w:type="dxa"/>
              <w:left w:w="15" w:type="dxa"/>
              <w:right w:w="15" w:type="dxa"/>
            </w:tcMar>
            <w:vAlign w:val="center"/>
          </w:tcPr>
          <w:p w14:paraId="0852F898">
            <w:pPr>
              <w:pStyle w:val="55"/>
              <w:spacing w:line="240" w:lineRule="exact"/>
              <w:ind w:firstLine="0" w:firstLineChars="0"/>
              <w:rPr>
                <w:color w:val="auto"/>
                <w:sz w:val="21"/>
                <w:szCs w:val="21"/>
              </w:rPr>
            </w:pPr>
            <w:r>
              <w:rPr>
                <w:color w:val="auto"/>
                <w:sz w:val="21"/>
                <w:szCs w:val="21"/>
              </w:rPr>
              <w:t>0.173</w:t>
            </w:r>
          </w:p>
        </w:tc>
        <w:tc>
          <w:tcPr>
            <w:tcW w:w="1701" w:type="dxa"/>
            <w:shd w:val="clear" w:color="auto" w:fill="auto"/>
            <w:tcMar>
              <w:top w:w="15" w:type="dxa"/>
              <w:left w:w="15" w:type="dxa"/>
              <w:right w:w="15" w:type="dxa"/>
            </w:tcMar>
            <w:vAlign w:val="center"/>
          </w:tcPr>
          <w:p w14:paraId="2BD0AAB6">
            <w:pPr>
              <w:pStyle w:val="55"/>
              <w:spacing w:line="240" w:lineRule="exact"/>
              <w:ind w:firstLine="0" w:firstLineChars="0"/>
              <w:rPr>
                <w:color w:val="auto"/>
                <w:sz w:val="21"/>
                <w:szCs w:val="21"/>
              </w:rPr>
            </w:pPr>
            <w:r>
              <w:rPr>
                <w:color w:val="auto"/>
                <w:sz w:val="21"/>
                <w:szCs w:val="21"/>
              </w:rPr>
              <w:t>0.187</w:t>
            </w:r>
          </w:p>
        </w:tc>
        <w:tc>
          <w:tcPr>
            <w:tcW w:w="1842" w:type="dxa"/>
            <w:shd w:val="clear" w:color="auto" w:fill="auto"/>
            <w:tcMar>
              <w:top w:w="15" w:type="dxa"/>
              <w:left w:w="15" w:type="dxa"/>
              <w:right w:w="15" w:type="dxa"/>
            </w:tcMar>
            <w:vAlign w:val="center"/>
          </w:tcPr>
          <w:p w14:paraId="7A2248F7">
            <w:pPr>
              <w:pStyle w:val="55"/>
              <w:spacing w:line="240" w:lineRule="exact"/>
              <w:ind w:firstLine="0" w:firstLineChars="0"/>
              <w:rPr>
                <w:color w:val="auto"/>
                <w:sz w:val="21"/>
                <w:szCs w:val="21"/>
              </w:rPr>
            </w:pPr>
            <w:r>
              <w:rPr>
                <w:color w:val="auto"/>
                <w:sz w:val="21"/>
                <w:szCs w:val="21"/>
              </w:rPr>
              <w:t>0.25</w:t>
            </w:r>
          </w:p>
        </w:tc>
        <w:tc>
          <w:tcPr>
            <w:tcW w:w="5739" w:type="dxa"/>
            <w:gridSpan w:val="2"/>
            <w:shd w:val="clear" w:color="auto" w:fill="auto"/>
            <w:tcMar>
              <w:top w:w="15" w:type="dxa"/>
              <w:left w:w="15" w:type="dxa"/>
              <w:right w:w="15" w:type="dxa"/>
            </w:tcMar>
            <w:vAlign w:val="center"/>
          </w:tcPr>
          <w:p w14:paraId="5B2E5D0C">
            <w:pPr>
              <w:pStyle w:val="55"/>
              <w:spacing w:line="240" w:lineRule="exact"/>
              <w:ind w:firstLine="0" w:firstLineChars="0"/>
              <w:rPr>
                <w:color w:val="auto"/>
                <w:sz w:val="21"/>
                <w:szCs w:val="21"/>
              </w:rPr>
            </w:pPr>
            <w:r>
              <w:rPr>
                <w:color w:val="auto"/>
                <w:sz w:val="21"/>
                <w:szCs w:val="21"/>
              </w:rPr>
              <w:t>≤0.3mg/L</w:t>
            </w:r>
          </w:p>
        </w:tc>
      </w:tr>
      <w:tr w14:paraId="18D35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28EC265A">
            <w:pPr>
              <w:pStyle w:val="55"/>
              <w:spacing w:line="240" w:lineRule="exact"/>
              <w:ind w:firstLine="0" w:firstLineChars="0"/>
              <w:rPr>
                <w:color w:val="auto"/>
                <w:sz w:val="21"/>
                <w:szCs w:val="21"/>
              </w:rPr>
            </w:pPr>
            <w:r>
              <w:rPr>
                <w:color w:val="auto"/>
                <w:sz w:val="21"/>
                <w:szCs w:val="21"/>
              </w:rPr>
              <w:t>14</w:t>
            </w:r>
          </w:p>
        </w:tc>
        <w:tc>
          <w:tcPr>
            <w:tcW w:w="0" w:type="auto"/>
            <w:shd w:val="clear" w:color="auto" w:fill="auto"/>
            <w:tcMar>
              <w:top w:w="15" w:type="dxa"/>
              <w:left w:w="15" w:type="dxa"/>
              <w:right w:w="15" w:type="dxa"/>
            </w:tcMar>
            <w:vAlign w:val="center"/>
          </w:tcPr>
          <w:p w14:paraId="63A48F18">
            <w:pPr>
              <w:pStyle w:val="55"/>
              <w:spacing w:line="240" w:lineRule="exact"/>
              <w:ind w:firstLine="0" w:firstLineChars="0"/>
              <w:rPr>
                <w:color w:val="auto"/>
                <w:sz w:val="21"/>
                <w:szCs w:val="21"/>
              </w:rPr>
            </w:pPr>
            <w:r>
              <w:rPr>
                <w:color w:val="auto"/>
                <w:sz w:val="21"/>
                <w:szCs w:val="21"/>
              </w:rPr>
              <w:t>锰（mg/L）</w:t>
            </w:r>
          </w:p>
        </w:tc>
        <w:tc>
          <w:tcPr>
            <w:tcW w:w="1624" w:type="dxa"/>
            <w:shd w:val="clear" w:color="auto" w:fill="auto"/>
            <w:tcMar>
              <w:top w:w="15" w:type="dxa"/>
              <w:left w:w="15" w:type="dxa"/>
              <w:right w:w="15" w:type="dxa"/>
            </w:tcMar>
            <w:vAlign w:val="center"/>
          </w:tcPr>
          <w:p w14:paraId="638220D3">
            <w:pPr>
              <w:pStyle w:val="55"/>
              <w:spacing w:line="240" w:lineRule="exact"/>
              <w:ind w:firstLine="0" w:firstLineChars="0"/>
              <w:rPr>
                <w:color w:val="auto"/>
                <w:sz w:val="21"/>
                <w:szCs w:val="21"/>
              </w:rPr>
            </w:pPr>
            <w:r>
              <w:rPr>
                <w:color w:val="auto"/>
                <w:sz w:val="21"/>
                <w:szCs w:val="21"/>
              </w:rPr>
              <w:t>0.009</w:t>
            </w:r>
          </w:p>
        </w:tc>
        <w:tc>
          <w:tcPr>
            <w:tcW w:w="1701" w:type="dxa"/>
            <w:shd w:val="clear" w:color="auto" w:fill="auto"/>
            <w:tcMar>
              <w:top w:w="15" w:type="dxa"/>
              <w:left w:w="15" w:type="dxa"/>
              <w:right w:w="15" w:type="dxa"/>
            </w:tcMar>
            <w:vAlign w:val="center"/>
          </w:tcPr>
          <w:p w14:paraId="7419F408">
            <w:pPr>
              <w:pStyle w:val="55"/>
              <w:spacing w:line="240" w:lineRule="exact"/>
              <w:ind w:firstLine="0" w:firstLineChars="0"/>
              <w:rPr>
                <w:color w:val="auto"/>
                <w:sz w:val="21"/>
                <w:szCs w:val="21"/>
              </w:rPr>
            </w:pPr>
            <w:r>
              <w:rPr>
                <w:color w:val="auto"/>
                <w:sz w:val="21"/>
                <w:szCs w:val="21"/>
              </w:rPr>
              <w:t>0.012</w:t>
            </w:r>
          </w:p>
        </w:tc>
        <w:tc>
          <w:tcPr>
            <w:tcW w:w="1842" w:type="dxa"/>
            <w:shd w:val="clear" w:color="auto" w:fill="auto"/>
            <w:tcMar>
              <w:top w:w="15" w:type="dxa"/>
              <w:left w:w="15" w:type="dxa"/>
              <w:right w:w="15" w:type="dxa"/>
            </w:tcMar>
            <w:vAlign w:val="center"/>
          </w:tcPr>
          <w:p w14:paraId="1058B6B9">
            <w:pPr>
              <w:pStyle w:val="55"/>
              <w:spacing w:line="240" w:lineRule="exact"/>
              <w:ind w:firstLine="0" w:firstLineChars="0"/>
              <w:rPr>
                <w:color w:val="auto"/>
                <w:sz w:val="21"/>
                <w:szCs w:val="21"/>
              </w:rPr>
            </w:pPr>
            <w:r>
              <w:rPr>
                <w:color w:val="auto"/>
                <w:sz w:val="21"/>
                <w:szCs w:val="21"/>
              </w:rPr>
              <w:t>0.01</w:t>
            </w:r>
          </w:p>
        </w:tc>
        <w:tc>
          <w:tcPr>
            <w:tcW w:w="5739" w:type="dxa"/>
            <w:gridSpan w:val="2"/>
            <w:shd w:val="clear" w:color="auto" w:fill="auto"/>
            <w:tcMar>
              <w:top w:w="15" w:type="dxa"/>
              <w:left w:w="15" w:type="dxa"/>
              <w:right w:w="15" w:type="dxa"/>
            </w:tcMar>
            <w:vAlign w:val="center"/>
          </w:tcPr>
          <w:p w14:paraId="2759414C">
            <w:pPr>
              <w:pStyle w:val="55"/>
              <w:spacing w:line="240" w:lineRule="exact"/>
              <w:ind w:firstLine="0" w:firstLineChars="0"/>
              <w:rPr>
                <w:color w:val="auto"/>
                <w:sz w:val="21"/>
                <w:szCs w:val="21"/>
              </w:rPr>
            </w:pPr>
            <w:r>
              <w:rPr>
                <w:color w:val="auto"/>
                <w:sz w:val="21"/>
                <w:szCs w:val="21"/>
              </w:rPr>
              <w:t>≤0.1mg/L</w:t>
            </w:r>
          </w:p>
        </w:tc>
      </w:tr>
      <w:tr w14:paraId="06613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5A65D300">
            <w:pPr>
              <w:pStyle w:val="55"/>
              <w:spacing w:line="240" w:lineRule="exact"/>
              <w:ind w:firstLine="0" w:firstLineChars="0"/>
              <w:rPr>
                <w:color w:val="auto"/>
                <w:sz w:val="21"/>
                <w:szCs w:val="21"/>
              </w:rPr>
            </w:pPr>
            <w:r>
              <w:rPr>
                <w:color w:val="auto"/>
                <w:sz w:val="21"/>
                <w:szCs w:val="21"/>
              </w:rPr>
              <w:t>15</w:t>
            </w:r>
          </w:p>
        </w:tc>
        <w:tc>
          <w:tcPr>
            <w:tcW w:w="0" w:type="auto"/>
            <w:shd w:val="clear" w:color="auto" w:fill="auto"/>
            <w:tcMar>
              <w:top w:w="15" w:type="dxa"/>
              <w:left w:w="15" w:type="dxa"/>
              <w:right w:w="15" w:type="dxa"/>
            </w:tcMar>
            <w:vAlign w:val="center"/>
          </w:tcPr>
          <w:p w14:paraId="20E40FB1">
            <w:pPr>
              <w:pStyle w:val="55"/>
              <w:spacing w:line="240" w:lineRule="exact"/>
              <w:ind w:firstLine="0" w:firstLineChars="0"/>
              <w:rPr>
                <w:color w:val="auto"/>
                <w:sz w:val="21"/>
                <w:szCs w:val="21"/>
              </w:rPr>
            </w:pPr>
            <w:r>
              <w:rPr>
                <w:color w:val="auto"/>
                <w:sz w:val="21"/>
                <w:szCs w:val="21"/>
              </w:rPr>
              <w:t>砷（mg/L）</w:t>
            </w:r>
          </w:p>
        </w:tc>
        <w:tc>
          <w:tcPr>
            <w:tcW w:w="1624" w:type="dxa"/>
            <w:shd w:val="clear" w:color="auto" w:fill="auto"/>
            <w:tcMar>
              <w:top w:w="15" w:type="dxa"/>
              <w:left w:w="15" w:type="dxa"/>
              <w:right w:w="15" w:type="dxa"/>
            </w:tcMar>
            <w:vAlign w:val="center"/>
          </w:tcPr>
          <w:p w14:paraId="69D27E6F">
            <w:pPr>
              <w:pStyle w:val="55"/>
              <w:spacing w:line="240" w:lineRule="exact"/>
              <w:ind w:firstLine="0" w:firstLineChars="0"/>
              <w:rPr>
                <w:color w:val="auto"/>
                <w:sz w:val="21"/>
                <w:szCs w:val="21"/>
              </w:rPr>
            </w:pPr>
            <w:r>
              <w:rPr>
                <w:color w:val="auto"/>
                <w:sz w:val="21"/>
                <w:szCs w:val="21"/>
              </w:rPr>
              <w:t>＜0.002</w:t>
            </w:r>
          </w:p>
        </w:tc>
        <w:tc>
          <w:tcPr>
            <w:tcW w:w="1701" w:type="dxa"/>
            <w:shd w:val="clear" w:color="auto" w:fill="auto"/>
            <w:tcMar>
              <w:top w:w="15" w:type="dxa"/>
              <w:left w:w="15" w:type="dxa"/>
              <w:right w:w="15" w:type="dxa"/>
            </w:tcMar>
            <w:vAlign w:val="center"/>
          </w:tcPr>
          <w:p w14:paraId="0B4597A5">
            <w:pPr>
              <w:pStyle w:val="55"/>
              <w:spacing w:line="240" w:lineRule="exact"/>
              <w:ind w:firstLine="0" w:firstLineChars="0"/>
              <w:rPr>
                <w:color w:val="auto"/>
                <w:sz w:val="21"/>
                <w:szCs w:val="21"/>
              </w:rPr>
            </w:pPr>
            <w:r>
              <w:rPr>
                <w:color w:val="auto"/>
                <w:sz w:val="21"/>
                <w:szCs w:val="21"/>
              </w:rPr>
              <w:t>＜0.002</w:t>
            </w:r>
          </w:p>
        </w:tc>
        <w:tc>
          <w:tcPr>
            <w:tcW w:w="1842" w:type="dxa"/>
            <w:shd w:val="clear" w:color="auto" w:fill="auto"/>
            <w:tcMar>
              <w:top w:w="15" w:type="dxa"/>
              <w:left w:w="15" w:type="dxa"/>
              <w:right w:w="15" w:type="dxa"/>
            </w:tcMar>
            <w:vAlign w:val="center"/>
          </w:tcPr>
          <w:p w14:paraId="22BDC5C4">
            <w:pPr>
              <w:pStyle w:val="55"/>
              <w:spacing w:line="240" w:lineRule="exact"/>
              <w:ind w:firstLine="0" w:firstLineChars="0"/>
              <w:rPr>
                <w:color w:val="auto"/>
                <w:sz w:val="21"/>
                <w:szCs w:val="21"/>
              </w:rPr>
            </w:pPr>
            <w:r>
              <w:rPr>
                <w:color w:val="auto"/>
                <w:sz w:val="21"/>
                <w:szCs w:val="21"/>
              </w:rPr>
              <w:t>＜0.002</w:t>
            </w:r>
          </w:p>
        </w:tc>
        <w:tc>
          <w:tcPr>
            <w:tcW w:w="2835" w:type="dxa"/>
            <w:shd w:val="clear" w:color="auto" w:fill="auto"/>
            <w:tcMar>
              <w:top w:w="15" w:type="dxa"/>
              <w:left w:w="15" w:type="dxa"/>
              <w:right w:w="15" w:type="dxa"/>
            </w:tcMar>
            <w:vAlign w:val="center"/>
          </w:tcPr>
          <w:p w14:paraId="40B94CF0">
            <w:pPr>
              <w:pStyle w:val="55"/>
              <w:spacing w:line="240" w:lineRule="exact"/>
              <w:ind w:firstLine="0" w:firstLineChars="0"/>
              <w:rPr>
                <w:color w:val="auto"/>
                <w:sz w:val="21"/>
                <w:szCs w:val="21"/>
              </w:rPr>
            </w:pPr>
            <w:r>
              <w:rPr>
                <w:color w:val="auto"/>
                <w:sz w:val="21"/>
                <w:szCs w:val="21"/>
              </w:rPr>
              <w:t>≤0.05mg/L</w:t>
            </w:r>
          </w:p>
        </w:tc>
        <w:tc>
          <w:tcPr>
            <w:tcW w:w="0" w:type="auto"/>
            <w:shd w:val="clear" w:color="auto" w:fill="auto"/>
            <w:tcMar>
              <w:top w:w="15" w:type="dxa"/>
              <w:left w:w="15" w:type="dxa"/>
              <w:right w:w="15" w:type="dxa"/>
            </w:tcMar>
            <w:vAlign w:val="center"/>
          </w:tcPr>
          <w:p w14:paraId="2D08E984">
            <w:pPr>
              <w:pStyle w:val="55"/>
              <w:spacing w:line="240" w:lineRule="exact"/>
              <w:ind w:firstLine="0" w:firstLineChars="0"/>
              <w:rPr>
                <w:color w:val="auto"/>
                <w:sz w:val="21"/>
                <w:szCs w:val="21"/>
              </w:rPr>
            </w:pPr>
            <w:r>
              <w:rPr>
                <w:color w:val="auto"/>
                <w:sz w:val="21"/>
                <w:szCs w:val="21"/>
              </w:rPr>
              <w:t>≤0.05mg/L</w:t>
            </w:r>
          </w:p>
        </w:tc>
      </w:tr>
      <w:tr w14:paraId="7B954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3E0B007B">
            <w:pPr>
              <w:pStyle w:val="55"/>
              <w:spacing w:line="240" w:lineRule="exact"/>
              <w:ind w:firstLine="0" w:firstLineChars="0"/>
              <w:rPr>
                <w:color w:val="auto"/>
                <w:sz w:val="21"/>
                <w:szCs w:val="21"/>
              </w:rPr>
            </w:pPr>
            <w:r>
              <w:rPr>
                <w:color w:val="auto"/>
                <w:sz w:val="21"/>
                <w:szCs w:val="21"/>
              </w:rPr>
              <w:t>16</w:t>
            </w:r>
          </w:p>
        </w:tc>
        <w:tc>
          <w:tcPr>
            <w:tcW w:w="0" w:type="auto"/>
            <w:shd w:val="clear" w:color="auto" w:fill="auto"/>
            <w:tcMar>
              <w:top w:w="15" w:type="dxa"/>
              <w:left w:w="15" w:type="dxa"/>
              <w:right w:w="15" w:type="dxa"/>
            </w:tcMar>
            <w:vAlign w:val="center"/>
          </w:tcPr>
          <w:p w14:paraId="09ADABD3">
            <w:pPr>
              <w:pStyle w:val="55"/>
              <w:spacing w:line="240" w:lineRule="exact"/>
              <w:ind w:firstLine="0" w:firstLineChars="0"/>
              <w:rPr>
                <w:color w:val="auto"/>
                <w:sz w:val="21"/>
                <w:szCs w:val="21"/>
              </w:rPr>
            </w:pPr>
            <w:r>
              <w:rPr>
                <w:color w:val="auto"/>
                <w:sz w:val="21"/>
                <w:szCs w:val="21"/>
              </w:rPr>
              <w:t>锌（mg/L）</w:t>
            </w:r>
          </w:p>
        </w:tc>
        <w:tc>
          <w:tcPr>
            <w:tcW w:w="1624" w:type="dxa"/>
            <w:shd w:val="clear" w:color="auto" w:fill="auto"/>
            <w:tcMar>
              <w:top w:w="15" w:type="dxa"/>
              <w:left w:w="15" w:type="dxa"/>
              <w:right w:w="15" w:type="dxa"/>
            </w:tcMar>
            <w:vAlign w:val="center"/>
          </w:tcPr>
          <w:p w14:paraId="260577C2">
            <w:pPr>
              <w:pStyle w:val="55"/>
              <w:spacing w:line="240" w:lineRule="exact"/>
              <w:ind w:firstLine="0" w:firstLineChars="0"/>
              <w:rPr>
                <w:color w:val="auto"/>
                <w:sz w:val="21"/>
                <w:szCs w:val="21"/>
              </w:rPr>
            </w:pPr>
            <w:r>
              <w:rPr>
                <w:color w:val="auto"/>
                <w:sz w:val="21"/>
                <w:szCs w:val="21"/>
              </w:rPr>
              <w:t>0.005</w:t>
            </w:r>
          </w:p>
        </w:tc>
        <w:tc>
          <w:tcPr>
            <w:tcW w:w="1701" w:type="dxa"/>
            <w:shd w:val="clear" w:color="auto" w:fill="auto"/>
            <w:tcMar>
              <w:top w:w="15" w:type="dxa"/>
              <w:left w:w="15" w:type="dxa"/>
              <w:right w:w="15" w:type="dxa"/>
            </w:tcMar>
            <w:vAlign w:val="center"/>
          </w:tcPr>
          <w:p w14:paraId="4BBB9E38">
            <w:pPr>
              <w:pStyle w:val="55"/>
              <w:spacing w:line="240" w:lineRule="exact"/>
              <w:ind w:firstLine="0" w:firstLineChars="0"/>
              <w:rPr>
                <w:color w:val="auto"/>
                <w:sz w:val="21"/>
                <w:szCs w:val="21"/>
              </w:rPr>
            </w:pPr>
            <w:r>
              <w:rPr>
                <w:color w:val="auto"/>
                <w:sz w:val="21"/>
                <w:szCs w:val="21"/>
              </w:rPr>
              <w:t>0.004</w:t>
            </w:r>
          </w:p>
        </w:tc>
        <w:tc>
          <w:tcPr>
            <w:tcW w:w="1842" w:type="dxa"/>
            <w:shd w:val="clear" w:color="auto" w:fill="auto"/>
            <w:tcMar>
              <w:top w:w="15" w:type="dxa"/>
              <w:left w:w="15" w:type="dxa"/>
              <w:right w:w="15" w:type="dxa"/>
            </w:tcMar>
            <w:vAlign w:val="center"/>
          </w:tcPr>
          <w:p w14:paraId="23F9D189">
            <w:pPr>
              <w:pStyle w:val="55"/>
              <w:spacing w:line="240" w:lineRule="exact"/>
              <w:ind w:firstLine="0" w:firstLineChars="0"/>
              <w:rPr>
                <w:color w:val="auto"/>
                <w:sz w:val="21"/>
                <w:szCs w:val="21"/>
              </w:rPr>
            </w:pPr>
            <w:r>
              <w:rPr>
                <w:color w:val="auto"/>
                <w:sz w:val="21"/>
                <w:szCs w:val="21"/>
              </w:rPr>
              <w:t>0.006</w:t>
            </w:r>
          </w:p>
        </w:tc>
        <w:tc>
          <w:tcPr>
            <w:tcW w:w="2835" w:type="dxa"/>
            <w:shd w:val="clear" w:color="auto" w:fill="auto"/>
            <w:tcMar>
              <w:top w:w="15" w:type="dxa"/>
              <w:left w:w="15" w:type="dxa"/>
              <w:right w:w="15" w:type="dxa"/>
            </w:tcMar>
            <w:vAlign w:val="center"/>
          </w:tcPr>
          <w:p w14:paraId="3DF1F0E0">
            <w:pPr>
              <w:pStyle w:val="55"/>
              <w:spacing w:line="240" w:lineRule="exact"/>
              <w:ind w:firstLine="0" w:firstLineChars="0"/>
              <w:rPr>
                <w:color w:val="auto"/>
                <w:sz w:val="21"/>
                <w:szCs w:val="21"/>
              </w:rPr>
            </w:pPr>
            <w:r>
              <w:rPr>
                <w:color w:val="auto"/>
                <w:sz w:val="21"/>
                <w:szCs w:val="21"/>
              </w:rPr>
              <w:t>≤1.0mg/L</w:t>
            </w:r>
          </w:p>
        </w:tc>
        <w:tc>
          <w:tcPr>
            <w:tcW w:w="0" w:type="auto"/>
            <w:shd w:val="clear" w:color="auto" w:fill="auto"/>
            <w:tcMar>
              <w:top w:w="15" w:type="dxa"/>
              <w:left w:w="15" w:type="dxa"/>
              <w:right w:w="15" w:type="dxa"/>
            </w:tcMar>
            <w:vAlign w:val="center"/>
          </w:tcPr>
          <w:p w14:paraId="20C5F095">
            <w:pPr>
              <w:pStyle w:val="55"/>
              <w:spacing w:line="240" w:lineRule="exact"/>
              <w:ind w:firstLine="0" w:firstLineChars="0"/>
              <w:rPr>
                <w:color w:val="auto"/>
                <w:sz w:val="21"/>
                <w:szCs w:val="21"/>
              </w:rPr>
            </w:pPr>
            <w:r>
              <w:rPr>
                <w:color w:val="auto"/>
                <w:sz w:val="21"/>
                <w:szCs w:val="21"/>
              </w:rPr>
              <w:t>≤1.0mg/L</w:t>
            </w:r>
          </w:p>
        </w:tc>
      </w:tr>
      <w:tr w14:paraId="11D8B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1C38FE89">
            <w:pPr>
              <w:pStyle w:val="55"/>
              <w:spacing w:line="240" w:lineRule="exact"/>
              <w:ind w:firstLine="0" w:firstLineChars="0"/>
              <w:rPr>
                <w:color w:val="auto"/>
                <w:sz w:val="21"/>
                <w:szCs w:val="21"/>
              </w:rPr>
            </w:pPr>
            <w:r>
              <w:rPr>
                <w:color w:val="auto"/>
                <w:sz w:val="21"/>
                <w:szCs w:val="21"/>
              </w:rPr>
              <w:t>17</w:t>
            </w:r>
          </w:p>
        </w:tc>
        <w:tc>
          <w:tcPr>
            <w:tcW w:w="0" w:type="auto"/>
            <w:shd w:val="clear" w:color="auto" w:fill="auto"/>
            <w:tcMar>
              <w:top w:w="15" w:type="dxa"/>
              <w:left w:w="15" w:type="dxa"/>
              <w:right w:w="15" w:type="dxa"/>
            </w:tcMar>
            <w:vAlign w:val="center"/>
          </w:tcPr>
          <w:p w14:paraId="55D00B90">
            <w:pPr>
              <w:pStyle w:val="55"/>
              <w:spacing w:line="240" w:lineRule="exact"/>
              <w:ind w:firstLine="0" w:firstLineChars="0"/>
              <w:rPr>
                <w:color w:val="auto"/>
                <w:sz w:val="21"/>
                <w:szCs w:val="21"/>
              </w:rPr>
            </w:pPr>
            <w:r>
              <w:rPr>
                <w:color w:val="auto"/>
                <w:sz w:val="21"/>
                <w:szCs w:val="21"/>
              </w:rPr>
              <w:t>硒（mg/L）</w:t>
            </w:r>
          </w:p>
        </w:tc>
        <w:tc>
          <w:tcPr>
            <w:tcW w:w="1624" w:type="dxa"/>
            <w:shd w:val="clear" w:color="auto" w:fill="auto"/>
            <w:tcMar>
              <w:top w:w="15" w:type="dxa"/>
              <w:left w:w="15" w:type="dxa"/>
              <w:right w:w="15" w:type="dxa"/>
            </w:tcMar>
            <w:vAlign w:val="center"/>
          </w:tcPr>
          <w:p w14:paraId="093BC08F">
            <w:pPr>
              <w:pStyle w:val="55"/>
              <w:spacing w:line="240" w:lineRule="exact"/>
              <w:ind w:firstLine="0" w:firstLineChars="0"/>
              <w:rPr>
                <w:color w:val="auto"/>
                <w:sz w:val="21"/>
                <w:szCs w:val="21"/>
              </w:rPr>
            </w:pPr>
            <w:r>
              <w:rPr>
                <w:color w:val="auto"/>
                <w:sz w:val="21"/>
                <w:szCs w:val="21"/>
              </w:rPr>
              <w:t>＜0.003</w:t>
            </w:r>
          </w:p>
        </w:tc>
        <w:tc>
          <w:tcPr>
            <w:tcW w:w="1701" w:type="dxa"/>
            <w:shd w:val="clear" w:color="auto" w:fill="auto"/>
            <w:tcMar>
              <w:top w:w="15" w:type="dxa"/>
              <w:left w:w="15" w:type="dxa"/>
              <w:right w:w="15" w:type="dxa"/>
            </w:tcMar>
            <w:vAlign w:val="center"/>
          </w:tcPr>
          <w:p w14:paraId="3235D123">
            <w:pPr>
              <w:pStyle w:val="55"/>
              <w:spacing w:line="240" w:lineRule="exact"/>
              <w:ind w:firstLine="0" w:firstLineChars="0"/>
              <w:rPr>
                <w:color w:val="auto"/>
                <w:sz w:val="21"/>
                <w:szCs w:val="21"/>
              </w:rPr>
            </w:pPr>
            <w:r>
              <w:rPr>
                <w:color w:val="auto"/>
                <w:sz w:val="21"/>
                <w:szCs w:val="21"/>
              </w:rPr>
              <w:t>＜0.003</w:t>
            </w:r>
          </w:p>
        </w:tc>
        <w:tc>
          <w:tcPr>
            <w:tcW w:w="1842" w:type="dxa"/>
            <w:shd w:val="clear" w:color="auto" w:fill="auto"/>
            <w:tcMar>
              <w:top w:w="15" w:type="dxa"/>
              <w:left w:w="15" w:type="dxa"/>
              <w:right w:w="15" w:type="dxa"/>
            </w:tcMar>
            <w:vAlign w:val="center"/>
          </w:tcPr>
          <w:p w14:paraId="63D401C0">
            <w:pPr>
              <w:pStyle w:val="55"/>
              <w:spacing w:line="240" w:lineRule="exact"/>
              <w:ind w:firstLine="0" w:firstLineChars="0"/>
              <w:rPr>
                <w:color w:val="auto"/>
                <w:sz w:val="21"/>
                <w:szCs w:val="21"/>
              </w:rPr>
            </w:pPr>
            <w:r>
              <w:rPr>
                <w:color w:val="auto"/>
                <w:sz w:val="21"/>
                <w:szCs w:val="21"/>
              </w:rPr>
              <w:t>＜0.003</w:t>
            </w:r>
          </w:p>
        </w:tc>
        <w:tc>
          <w:tcPr>
            <w:tcW w:w="2835" w:type="dxa"/>
            <w:shd w:val="clear" w:color="auto" w:fill="auto"/>
            <w:tcMar>
              <w:top w:w="15" w:type="dxa"/>
              <w:left w:w="15" w:type="dxa"/>
              <w:right w:w="15" w:type="dxa"/>
            </w:tcMar>
            <w:vAlign w:val="center"/>
          </w:tcPr>
          <w:p w14:paraId="66121219">
            <w:pPr>
              <w:pStyle w:val="55"/>
              <w:spacing w:line="240" w:lineRule="exact"/>
              <w:ind w:firstLine="0" w:firstLineChars="0"/>
              <w:rPr>
                <w:color w:val="auto"/>
                <w:sz w:val="21"/>
                <w:szCs w:val="21"/>
              </w:rPr>
            </w:pPr>
            <w:r>
              <w:rPr>
                <w:color w:val="auto"/>
                <w:sz w:val="21"/>
                <w:szCs w:val="21"/>
              </w:rPr>
              <w:t>≤0.01mg/L</w:t>
            </w:r>
          </w:p>
        </w:tc>
        <w:tc>
          <w:tcPr>
            <w:tcW w:w="0" w:type="auto"/>
            <w:shd w:val="clear" w:color="auto" w:fill="auto"/>
            <w:tcMar>
              <w:top w:w="15" w:type="dxa"/>
              <w:left w:w="15" w:type="dxa"/>
              <w:right w:w="15" w:type="dxa"/>
            </w:tcMar>
            <w:vAlign w:val="center"/>
          </w:tcPr>
          <w:p w14:paraId="30C2054C">
            <w:pPr>
              <w:pStyle w:val="55"/>
              <w:spacing w:line="240" w:lineRule="exact"/>
              <w:ind w:firstLine="0" w:firstLineChars="0"/>
              <w:rPr>
                <w:color w:val="auto"/>
                <w:sz w:val="21"/>
                <w:szCs w:val="21"/>
              </w:rPr>
            </w:pPr>
            <w:r>
              <w:rPr>
                <w:color w:val="auto"/>
                <w:sz w:val="21"/>
                <w:szCs w:val="21"/>
              </w:rPr>
              <w:t>≤0.01mg/L</w:t>
            </w:r>
          </w:p>
        </w:tc>
      </w:tr>
      <w:tr w14:paraId="20320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76B06AF4">
            <w:pPr>
              <w:pStyle w:val="55"/>
              <w:spacing w:line="240" w:lineRule="exact"/>
              <w:ind w:firstLine="0" w:firstLineChars="0"/>
              <w:rPr>
                <w:color w:val="auto"/>
                <w:sz w:val="21"/>
                <w:szCs w:val="21"/>
              </w:rPr>
            </w:pPr>
            <w:r>
              <w:rPr>
                <w:color w:val="auto"/>
                <w:sz w:val="21"/>
                <w:szCs w:val="21"/>
              </w:rPr>
              <w:t>18</w:t>
            </w:r>
          </w:p>
        </w:tc>
        <w:tc>
          <w:tcPr>
            <w:tcW w:w="0" w:type="auto"/>
            <w:shd w:val="clear" w:color="auto" w:fill="auto"/>
            <w:tcMar>
              <w:top w:w="15" w:type="dxa"/>
              <w:left w:w="15" w:type="dxa"/>
              <w:right w:w="15" w:type="dxa"/>
            </w:tcMar>
            <w:vAlign w:val="center"/>
          </w:tcPr>
          <w:p w14:paraId="00E4D877">
            <w:pPr>
              <w:pStyle w:val="55"/>
              <w:spacing w:line="240" w:lineRule="exact"/>
              <w:ind w:firstLine="0" w:firstLineChars="0"/>
              <w:rPr>
                <w:color w:val="auto"/>
                <w:sz w:val="21"/>
                <w:szCs w:val="21"/>
              </w:rPr>
            </w:pPr>
            <w:r>
              <w:rPr>
                <w:color w:val="auto"/>
                <w:sz w:val="21"/>
                <w:szCs w:val="21"/>
              </w:rPr>
              <w:t>汞（mg/L）</w:t>
            </w:r>
          </w:p>
        </w:tc>
        <w:tc>
          <w:tcPr>
            <w:tcW w:w="1624" w:type="dxa"/>
            <w:shd w:val="clear" w:color="auto" w:fill="auto"/>
            <w:tcMar>
              <w:top w:w="15" w:type="dxa"/>
              <w:left w:w="15" w:type="dxa"/>
              <w:right w:w="15" w:type="dxa"/>
            </w:tcMar>
            <w:vAlign w:val="center"/>
          </w:tcPr>
          <w:p w14:paraId="79E7551B">
            <w:pPr>
              <w:pStyle w:val="55"/>
              <w:spacing w:line="240" w:lineRule="exact"/>
              <w:ind w:firstLine="0" w:firstLineChars="0"/>
              <w:rPr>
                <w:color w:val="auto"/>
                <w:sz w:val="21"/>
                <w:szCs w:val="21"/>
              </w:rPr>
            </w:pPr>
            <w:r>
              <w:rPr>
                <w:color w:val="auto"/>
                <w:sz w:val="21"/>
                <w:szCs w:val="21"/>
              </w:rPr>
              <w:t>＜0.0001</w:t>
            </w:r>
          </w:p>
        </w:tc>
        <w:tc>
          <w:tcPr>
            <w:tcW w:w="1701" w:type="dxa"/>
            <w:shd w:val="clear" w:color="auto" w:fill="auto"/>
            <w:tcMar>
              <w:top w:w="15" w:type="dxa"/>
              <w:left w:w="15" w:type="dxa"/>
              <w:right w:w="15" w:type="dxa"/>
            </w:tcMar>
            <w:vAlign w:val="center"/>
          </w:tcPr>
          <w:p w14:paraId="49656DF3">
            <w:pPr>
              <w:pStyle w:val="55"/>
              <w:spacing w:line="240" w:lineRule="exact"/>
              <w:ind w:firstLine="0" w:firstLineChars="0"/>
              <w:rPr>
                <w:color w:val="auto"/>
                <w:sz w:val="21"/>
                <w:szCs w:val="21"/>
              </w:rPr>
            </w:pPr>
            <w:r>
              <w:rPr>
                <w:color w:val="auto"/>
                <w:sz w:val="21"/>
                <w:szCs w:val="21"/>
              </w:rPr>
              <w:t>＜0.0001</w:t>
            </w:r>
          </w:p>
        </w:tc>
        <w:tc>
          <w:tcPr>
            <w:tcW w:w="1842" w:type="dxa"/>
            <w:shd w:val="clear" w:color="auto" w:fill="auto"/>
            <w:tcMar>
              <w:top w:w="15" w:type="dxa"/>
              <w:left w:w="15" w:type="dxa"/>
              <w:right w:w="15" w:type="dxa"/>
            </w:tcMar>
            <w:vAlign w:val="center"/>
          </w:tcPr>
          <w:p w14:paraId="08EF8448">
            <w:pPr>
              <w:pStyle w:val="55"/>
              <w:spacing w:line="240" w:lineRule="exact"/>
              <w:ind w:firstLine="0" w:firstLineChars="0"/>
              <w:rPr>
                <w:color w:val="auto"/>
                <w:sz w:val="21"/>
                <w:szCs w:val="21"/>
              </w:rPr>
            </w:pPr>
            <w:r>
              <w:rPr>
                <w:color w:val="auto"/>
                <w:sz w:val="21"/>
                <w:szCs w:val="21"/>
              </w:rPr>
              <w:t>＜0.0001</w:t>
            </w:r>
          </w:p>
        </w:tc>
        <w:tc>
          <w:tcPr>
            <w:tcW w:w="2835" w:type="dxa"/>
            <w:shd w:val="clear" w:color="auto" w:fill="auto"/>
            <w:tcMar>
              <w:top w:w="15" w:type="dxa"/>
              <w:left w:w="15" w:type="dxa"/>
              <w:right w:w="15" w:type="dxa"/>
            </w:tcMar>
            <w:vAlign w:val="center"/>
          </w:tcPr>
          <w:p w14:paraId="3329D14B">
            <w:pPr>
              <w:pStyle w:val="55"/>
              <w:spacing w:line="240" w:lineRule="exact"/>
              <w:ind w:firstLine="0" w:firstLineChars="0"/>
              <w:rPr>
                <w:color w:val="auto"/>
                <w:sz w:val="21"/>
                <w:szCs w:val="21"/>
              </w:rPr>
            </w:pPr>
            <w:r>
              <w:rPr>
                <w:color w:val="auto"/>
                <w:sz w:val="21"/>
                <w:szCs w:val="21"/>
              </w:rPr>
              <w:t>≤0.00005mg/L</w:t>
            </w:r>
          </w:p>
        </w:tc>
        <w:tc>
          <w:tcPr>
            <w:tcW w:w="0" w:type="auto"/>
            <w:shd w:val="clear" w:color="auto" w:fill="auto"/>
            <w:tcMar>
              <w:top w:w="15" w:type="dxa"/>
              <w:left w:w="15" w:type="dxa"/>
              <w:right w:w="15" w:type="dxa"/>
            </w:tcMar>
            <w:vAlign w:val="center"/>
          </w:tcPr>
          <w:p w14:paraId="2302ADE5">
            <w:pPr>
              <w:pStyle w:val="55"/>
              <w:spacing w:line="240" w:lineRule="exact"/>
              <w:ind w:firstLine="0" w:firstLineChars="0"/>
              <w:rPr>
                <w:color w:val="auto"/>
                <w:sz w:val="21"/>
                <w:szCs w:val="21"/>
              </w:rPr>
            </w:pPr>
            <w:r>
              <w:rPr>
                <w:color w:val="auto"/>
                <w:sz w:val="21"/>
                <w:szCs w:val="21"/>
              </w:rPr>
              <w:t>≤0.001mg/L</w:t>
            </w:r>
          </w:p>
        </w:tc>
      </w:tr>
      <w:tr w14:paraId="7126F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6EDBD3E4">
            <w:pPr>
              <w:pStyle w:val="55"/>
              <w:spacing w:line="240" w:lineRule="exact"/>
              <w:ind w:firstLine="0" w:firstLineChars="0"/>
              <w:rPr>
                <w:color w:val="auto"/>
                <w:sz w:val="21"/>
                <w:szCs w:val="21"/>
              </w:rPr>
            </w:pPr>
            <w:r>
              <w:rPr>
                <w:color w:val="auto"/>
                <w:sz w:val="21"/>
                <w:szCs w:val="21"/>
              </w:rPr>
              <w:t>19</w:t>
            </w:r>
          </w:p>
        </w:tc>
        <w:tc>
          <w:tcPr>
            <w:tcW w:w="0" w:type="auto"/>
            <w:shd w:val="clear" w:color="auto" w:fill="auto"/>
            <w:tcMar>
              <w:top w:w="15" w:type="dxa"/>
              <w:left w:w="15" w:type="dxa"/>
              <w:right w:w="15" w:type="dxa"/>
            </w:tcMar>
            <w:vAlign w:val="center"/>
          </w:tcPr>
          <w:p w14:paraId="6B88E657">
            <w:pPr>
              <w:pStyle w:val="55"/>
              <w:spacing w:line="240" w:lineRule="exact"/>
              <w:ind w:firstLine="0" w:firstLineChars="0"/>
              <w:rPr>
                <w:color w:val="auto"/>
                <w:sz w:val="21"/>
                <w:szCs w:val="21"/>
              </w:rPr>
            </w:pPr>
            <w:r>
              <w:rPr>
                <w:color w:val="auto"/>
                <w:sz w:val="21"/>
                <w:szCs w:val="21"/>
              </w:rPr>
              <w:t>镉（mg/L）</w:t>
            </w:r>
          </w:p>
        </w:tc>
        <w:tc>
          <w:tcPr>
            <w:tcW w:w="1624" w:type="dxa"/>
            <w:shd w:val="clear" w:color="auto" w:fill="auto"/>
            <w:tcMar>
              <w:top w:w="15" w:type="dxa"/>
              <w:left w:w="15" w:type="dxa"/>
              <w:right w:w="15" w:type="dxa"/>
            </w:tcMar>
            <w:vAlign w:val="center"/>
          </w:tcPr>
          <w:p w14:paraId="0DFFA921">
            <w:pPr>
              <w:pStyle w:val="55"/>
              <w:spacing w:line="240" w:lineRule="exact"/>
              <w:ind w:firstLine="0" w:firstLineChars="0"/>
              <w:rPr>
                <w:color w:val="auto"/>
                <w:sz w:val="21"/>
                <w:szCs w:val="21"/>
              </w:rPr>
            </w:pPr>
            <w:r>
              <w:rPr>
                <w:color w:val="auto"/>
                <w:sz w:val="21"/>
                <w:szCs w:val="21"/>
              </w:rPr>
              <w:t>＜0.001</w:t>
            </w:r>
          </w:p>
        </w:tc>
        <w:tc>
          <w:tcPr>
            <w:tcW w:w="1701" w:type="dxa"/>
            <w:shd w:val="clear" w:color="auto" w:fill="auto"/>
            <w:tcMar>
              <w:top w:w="15" w:type="dxa"/>
              <w:left w:w="15" w:type="dxa"/>
              <w:right w:w="15" w:type="dxa"/>
            </w:tcMar>
            <w:vAlign w:val="center"/>
          </w:tcPr>
          <w:p w14:paraId="4C980335">
            <w:pPr>
              <w:pStyle w:val="55"/>
              <w:spacing w:line="240" w:lineRule="exact"/>
              <w:ind w:firstLine="0" w:firstLineChars="0"/>
              <w:rPr>
                <w:color w:val="auto"/>
                <w:sz w:val="21"/>
                <w:szCs w:val="21"/>
              </w:rPr>
            </w:pPr>
            <w:r>
              <w:rPr>
                <w:color w:val="auto"/>
                <w:sz w:val="21"/>
                <w:szCs w:val="21"/>
              </w:rPr>
              <w:t>＜0.001</w:t>
            </w:r>
          </w:p>
        </w:tc>
        <w:tc>
          <w:tcPr>
            <w:tcW w:w="1842" w:type="dxa"/>
            <w:shd w:val="clear" w:color="auto" w:fill="auto"/>
            <w:tcMar>
              <w:top w:w="15" w:type="dxa"/>
              <w:left w:w="15" w:type="dxa"/>
              <w:right w:w="15" w:type="dxa"/>
            </w:tcMar>
            <w:vAlign w:val="center"/>
          </w:tcPr>
          <w:p w14:paraId="3149F52C">
            <w:pPr>
              <w:pStyle w:val="55"/>
              <w:spacing w:line="240" w:lineRule="exact"/>
              <w:ind w:firstLine="0" w:firstLineChars="0"/>
              <w:rPr>
                <w:color w:val="auto"/>
                <w:sz w:val="21"/>
                <w:szCs w:val="21"/>
              </w:rPr>
            </w:pPr>
            <w:r>
              <w:rPr>
                <w:color w:val="auto"/>
                <w:sz w:val="21"/>
                <w:szCs w:val="21"/>
              </w:rPr>
              <w:t>＜0.001</w:t>
            </w:r>
          </w:p>
        </w:tc>
        <w:tc>
          <w:tcPr>
            <w:tcW w:w="2835" w:type="dxa"/>
            <w:shd w:val="clear" w:color="auto" w:fill="auto"/>
            <w:tcMar>
              <w:top w:w="15" w:type="dxa"/>
              <w:left w:w="15" w:type="dxa"/>
              <w:right w:w="15" w:type="dxa"/>
            </w:tcMar>
            <w:vAlign w:val="center"/>
          </w:tcPr>
          <w:p w14:paraId="635C0E82">
            <w:pPr>
              <w:pStyle w:val="55"/>
              <w:spacing w:line="240" w:lineRule="exact"/>
              <w:ind w:firstLine="0" w:firstLineChars="0"/>
              <w:rPr>
                <w:color w:val="auto"/>
                <w:sz w:val="21"/>
                <w:szCs w:val="21"/>
              </w:rPr>
            </w:pPr>
            <w:r>
              <w:rPr>
                <w:color w:val="auto"/>
                <w:sz w:val="21"/>
                <w:szCs w:val="21"/>
              </w:rPr>
              <w:t>≤0.005mg/L</w:t>
            </w:r>
          </w:p>
        </w:tc>
        <w:tc>
          <w:tcPr>
            <w:tcW w:w="0" w:type="auto"/>
            <w:shd w:val="clear" w:color="auto" w:fill="auto"/>
            <w:tcMar>
              <w:top w:w="15" w:type="dxa"/>
              <w:left w:w="15" w:type="dxa"/>
              <w:right w:w="15" w:type="dxa"/>
            </w:tcMar>
            <w:vAlign w:val="center"/>
          </w:tcPr>
          <w:p w14:paraId="51A1ED1C">
            <w:pPr>
              <w:pStyle w:val="55"/>
              <w:spacing w:line="240" w:lineRule="exact"/>
              <w:ind w:firstLine="0" w:firstLineChars="0"/>
              <w:rPr>
                <w:color w:val="auto"/>
                <w:sz w:val="21"/>
                <w:szCs w:val="21"/>
              </w:rPr>
            </w:pPr>
            <w:r>
              <w:rPr>
                <w:color w:val="auto"/>
                <w:sz w:val="21"/>
                <w:szCs w:val="21"/>
              </w:rPr>
              <w:t>≤0.005mg/L</w:t>
            </w:r>
          </w:p>
        </w:tc>
      </w:tr>
      <w:tr w14:paraId="7BAA8C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02852642">
            <w:pPr>
              <w:pStyle w:val="55"/>
              <w:spacing w:line="240" w:lineRule="exact"/>
              <w:ind w:firstLine="0" w:firstLineChars="0"/>
              <w:rPr>
                <w:color w:val="auto"/>
                <w:sz w:val="21"/>
                <w:szCs w:val="21"/>
              </w:rPr>
            </w:pPr>
            <w:r>
              <w:rPr>
                <w:color w:val="auto"/>
                <w:sz w:val="21"/>
                <w:szCs w:val="21"/>
              </w:rPr>
              <w:t>20</w:t>
            </w:r>
          </w:p>
        </w:tc>
        <w:tc>
          <w:tcPr>
            <w:tcW w:w="0" w:type="auto"/>
            <w:shd w:val="clear" w:color="auto" w:fill="auto"/>
            <w:tcMar>
              <w:top w:w="15" w:type="dxa"/>
              <w:left w:w="15" w:type="dxa"/>
              <w:right w:w="15" w:type="dxa"/>
            </w:tcMar>
            <w:vAlign w:val="center"/>
          </w:tcPr>
          <w:p w14:paraId="138EAD76">
            <w:pPr>
              <w:pStyle w:val="55"/>
              <w:spacing w:line="240" w:lineRule="exact"/>
              <w:ind w:firstLine="0" w:firstLineChars="0"/>
              <w:rPr>
                <w:color w:val="auto"/>
                <w:sz w:val="21"/>
                <w:szCs w:val="21"/>
              </w:rPr>
            </w:pPr>
            <w:r>
              <w:rPr>
                <w:color w:val="auto"/>
                <w:sz w:val="21"/>
                <w:szCs w:val="21"/>
              </w:rPr>
              <w:t>铅（mg/L）</w:t>
            </w:r>
          </w:p>
        </w:tc>
        <w:tc>
          <w:tcPr>
            <w:tcW w:w="1624" w:type="dxa"/>
            <w:shd w:val="clear" w:color="auto" w:fill="auto"/>
            <w:tcMar>
              <w:top w:w="15" w:type="dxa"/>
              <w:left w:w="15" w:type="dxa"/>
              <w:right w:w="15" w:type="dxa"/>
            </w:tcMar>
            <w:vAlign w:val="center"/>
          </w:tcPr>
          <w:p w14:paraId="54F1E120">
            <w:pPr>
              <w:pStyle w:val="55"/>
              <w:spacing w:line="240" w:lineRule="exact"/>
              <w:ind w:firstLine="0" w:firstLineChars="0"/>
              <w:rPr>
                <w:color w:val="auto"/>
                <w:sz w:val="21"/>
                <w:szCs w:val="21"/>
              </w:rPr>
            </w:pPr>
            <w:r>
              <w:rPr>
                <w:color w:val="auto"/>
                <w:sz w:val="21"/>
                <w:szCs w:val="21"/>
              </w:rPr>
              <w:t>＜0.002</w:t>
            </w:r>
          </w:p>
        </w:tc>
        <w:tc>
          <w:tcPr>
            <w:tcW w:w="1701" w:type="dxa"/>
            <w:shd w:val="clear" w:color="auto" w:fill="auto"/>
            <w:tcMar>
              <w:top w:w="15" w:type="dxa"/>
              <w:left w:w="15" w:type="dxa"/>
              <w:right w:w="15" w:type="dxa"/>
            </w:tcMar>
            <w:vAlign w:val="center"/>
          </w:tcPr>
          <w:p w14:paraId="4E37FDCE">
            <w:pPr>
              <w:pStyle w:val="55"/>
              <w:spacing w:line="240" w:lineRule="exact"/>
              <w:ind w:firstLine="0" w:firstLineChars="0"/>
              <w:rPr>
                <w:color w:val="auto"/>
                <w:sz w:val="21"/>
                <w:szCs w:val="21"/>
              </w:rPr>
            </w:pPr>
            <w:r>
              <w:rPr>
                <w:color w:val="auto"/>
                <w:sz w:val="21"/>
                <w:szCs w:val="21"/>
              </w:rPr>
              <w:t>＜0.002</w:t>
            </w:r>
          </w:p>
        </w:tc>
        <w:tc>
          <w:tcPr>
            <w:tcW w:w="1842" w:type="dxa"/>
            <w:shd w:val="clear" w:color="auto" w:fill="auto"/>
            <w:tcMar>
              <w:top w:w="15" w:type="dxa"/>
              <w:left w:w="15" w:type="dxa"/>
              <w:right w:w="15" w:type="dxa"/>
            </w:tcMar>
            <w:vAlign w:val="center"/>
          </w:tcPr>
          <w:p w14:paraId="75B8DFB4">
            <w:pPr>
              <w:pStyle w:val="55"/>
              <w:spacing w:line="240" w:lineRule="exact"/>
              <w:ind w:firstLine="0" w:firstLineChars="0"/>
              <w:rPr>
                <w:color w:val="auto"/>
                <w:sz w:val="21"/>
                <w:szCs w:val="21"/>
              </w:rPr>
            </w:pPr>
            <w:r>
              <w:rPr>
                <w:color w:val="auto"/>
                <w:sz w:val="21"/>
                <w:szCs w:val="21"/>
              </w:rPr>
              <w:t>＜0.002</w:t>
            </w:r>
          </w:p>
        </w:tc>
        <w:tc>
          <w:tcPr>
            <w:tcW w:w="2835" w:type="dxa"/>
            <w:shd w:val="clear" w:color="auto" w:fill="auto"/>
            <w:tcMar>
              <w:top w:w="15" w:type="dxa"/>
              <w:left w:w="15" w:type="dxa"/>
              <w:right w:w="15" w:type="dxa"/>
            </w:tcMar>
            <w:vAlign w:val="center"/>
          </w:tcPr>
          <w:p w14:paraId="61E25792">
            <w:pPr>
              <w:pStyle w:val="55"/>
              <w:spacing w:line="240" w:lineRule="exact"/>
              <w:ind w:firstLine="0" w:firstLineChars="0"/>
              <w:rPr>
                <w:color w:val="auto"/>
                <w:sz w:val="21"/>
                <w:szCs w:val="21"/>
              </w:rPr>
            </w:pPr>
            <w:r>
              <w:rPr>
                <w:color w:val="auto"/>
                <w:sz w:val="21"/>
                <w:szCs w:val="21"/>
              </w:rPr>
              <w:t>≤0.01mg/L</w:t>
            </w:r>
          </w:p>
        </w:tc>
        <w:tc>
          <w:tcPr>
            <w:tcW w:w="0" w:type="auto"/>
            <w:shd w:val="clear" w:color="auto" w:fill="auto"/>
            <w:tcMar>
              <w:top w:w="15" w:type="dxa"/>
              <w:left w:w="15" w:type="dxa"/>
              <w:right w:w="15" w:type="dxa"/>
            </w:tcMar>
            <w:vAlign w:val="center"/>
          </w:tcPr>
          <w:p w14:paraId="044360A7">
            <w:pPr>
              <w:pStyle w:val="55"/>
              <w:spacing w:line="240" w:lineRule="exact"/>
              <w:ind w:firstLine="0" w:firstLineChars="0"/>
              <w:rPr>
                <w:color w:val="auto"/>
                <w:sz w:val="21"/>
                <w:szCs w:val="21"/>
              </w:rPr>
            </w:pPr>
            <w:r>
              <w:rPr>
                <w:color w:val="auto"/>
                <w:sz w:val="21"/>
                <w:szCs w:val="21"/>
              </w:rPr>
              <w:t>≤0.05mg/L</w:t>
            </w:r>
          </w:p>
        </w:tc>
      </w:tr>
      <w:tr w14:paraId="36F1E357">
        <w:tblPrEx>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791B8202">
            <w:pPr>
              <w:pStyle w:val="55"/>
              <w:spacing w:line="240" w:lineRule="exact"/>
              <w:ind w:firstLine="0" w:firstLineChars="0"/>
              <w:rPr>
                <w:color w:val="auto"/>
                <w:sz w:val="21"/>
                <w:szCs w:val="21"/>
              </w:rPr>
            </w:pPr>
            <w:r>
              <w:rPr>
                <w:color w:val="auto"/>
                <w:sz w:val="21"/>
                <w:szCs w:val="21"/>
              </w:rPr>
              <w:t>21</w:t>
            </w:r>
          </w:p>
        </w:tc>
        <w:tc>
          <w:tcPr>
            <w:tcW w:w="0" w:type="auto"/>
            <w:shd w:val="clear" w:color="auto" w:fill="auto"/>
            <w:tcMar>
              <w:top w:w="15" w:type="dxa"/>
              <w:left w:w="15" w:type="dxa"/>
              <w:right w:w="15" w:type="dxa"/>
            </w:tcMar>
            <w:vAlign w:val="center"/>
          </w:tcPr>
          <w:p w14:paraId="581AB1BE">
            <w:pPr>
              <w:pStyle w:val="55"/>
              <w:spacing w:line="240" w:lineRule="exact"/>
              <w:ind w:firstLine="0" w:firstLineChars="0"/>
              <w:rPr>
                <w:color w:val="auto"/>
                <w:sz w:val="21"/>
                <w:szCs w:val="21"/>
              </w:rPr>
            </w:pPr>
            <w:r>
              <w:rPr>
                <w:color w:val="auto"/>
                <w:sz w:val="21"/>
                <w:szCs w:val="21"/>
              </w:rPr>
              <w:t>阴离子表面活性剂（mg/L）</w:t>
            </w:r>
          </w:p>
        </w:tc>
        <w:tc>
          <w:tcPr>
            <w:tcW w:w="1624" w:type="dxa"/>
            <w:shd w:val="clear" w:color="auto" w:fill="auto"/>
            <w:tcMar>
              <w:top w:w="15" w:type="dxa"/>
              <w:left w:w="15" w:type="dxa"/>
              <w:right w:w="15" w:type="dxa"/>
            </w:tcMar>
            <w:vAlign w:val="center"/>
          </w:tcPr>
          <w:p w14:paraId="45C150F2">
            <w:pPr>
              <w:pStyle w:val="55"/>
              <w:spacing w:line="240" w:lineRule="exact"/>
              <w:ind w:firstLine="0" w:firstLineChars="0"/>
              <w:rPr>
                <w:color w:val="auto"/>
                <w:sz w:val="21"/>
                <w:szCs w:val="21"/>
              </w:rPr>
            </w:pPr>
            <w:r>
              <w:rPr>
                <w:color w:val="auto"/>
                <w:sz w:val="21"/>
                <w:szCs w:val="21"/>
              </w:rPr>
              <w:t>＜0.05</w:t>
            </w:r>
          </w:p>
        </w:tc>
        <w:tc>
          <w:tcPr>
            <w:tcW w:w="1701" w:type="dxa"/>
            <w:shd w:val="clear" w:color="auto" w:fill="auto"/>
            <w:tcMar>
              <w:top w:w="15" w:type="dxa"/>
              <w:left w:w="15" w:type="dxa"/>
              <w:right w:w="15" w:type="dxa"/>
            </w:tcMar>
            <w:vAlign w:val="center"/>
          </w:tcPr>
          <w:p w14:paraId="2BA9FC2E">
            <w:pPr>
              <w:pStyle w:val="55"/>
              <w:spacing w:line="240" w:lineRule="exact"/>
              <w:ind w:firstLine="0" w:firstLineChars="0"/>
              <w:rPr>
                <w:color w:val="auto"/>
                <w:sz w:val="21"/>
                <w:szCs w:val="21"/>
              </w:rPr>
            </w:pPr>
            <w:r>
              <w:rPr>
                <w:color w:val="auto"/>
                <w:sz w:val="21"/>
                <w:szCs w:val="21"/>
              </w:rPr>
              <w:t>＜0.05</w:t>
            </w:r>
          </w:p>
        </w:tc>
        <w:tc>
          <w:tcPr>
            <w:tcW w:w="1842" w:type="dxa"/>
            <w:shd w:val="clear" w:color="auto" w:fill="auto"/>
            <w:tcMar>
              <w:top w:w="15" w:type="dxa"/>
              <w:left w:w="15" w:type="dxa"/>
              <w:right w:w="15" w:type="dxa"/>
            </w:tcMar>
            <w:vAlign w:val="center"/>
          </w:tcPr>
          <w:p w14:paraId="2CACA124">
            <w:pPr>
              <w:pStyle w:val="55"/>
              <w:spacing w:line="240" w:lineRule="exact"/>
              <w:ind w:firstLine="0" w:firstLineChars="0"/>
              <w:rPr>
                <w:color w:val="auto"/>
                <w:sz w:val="21"/>
                <w:szCs w:val="21"/>
              </w:rPr>
            </w:pPr>
            <w:r>
              <w:rPr>
                <w:color w:val="auto"/>
                <w:sz w:val="21"/>
                <w:szCs w:val="21"/>
              </w:rPr>
              <w:t>＜0.05</w:t>
            </w:r>
          </w:p>
        </w:tc>
        <w:tc>
          <w:tcPr>
            <w:tcW w:w="2835" w:type="dxa"/>
            <w:shd w:val="clear" w:color="auto" w:fill="auto"/>
            <w:tcMar>
              <w:top w:w="15" w:type="dxa"/>
              <w:left w:w="15" w:type="dxa"/>
              <w:right w:w="15" w:type="dxa"/>
            </w:tcMar>
            <w:vAlign w:val="center"/>
          </w:tcPr>
          <w:p w14:paraId="6BC1A560">
            <w:pPr>
              <w:pStyle w:val="55"/>
              <w:spacing w:line="240" w:lineRule="exact"/>
              <w:ind w:firstLine="0" w:firstLineChars="0"/>
              <w:rPr>
                <w:color w:val="auto"/>
                <w:sz w:val="21"/>
                <w:szCs w:val="21"/>
              </w:rPr>
            </w:pPr>
            <w:r>
              <w:rPr>
                <w:color w:val="auto"/>
                <w:sz w:val="21"/>
                <w:szCs w:val="21"/>
              </w:rPr>
              <w:t>≤0.2mg/L</w:t>
            </w:r>
          </w:p>
        </w:tc>
        <w:tc>
          <w:tcPr>
            <w:tcW w:w="0" w:type="auto"/>
            <w:shd w:val="clear" w:color="auto" w:fill="auto"/>
            <w:tcMar>
              <w:top w:w="15" w:type="dxa"/>
              <w:left w:w="15" w:type="dxa"/>
              <w:right w:w="15" w:type="dxa"/>
            </w:tcMar>
            <w:vAlign w:val="center"/>
          </w:tcPr>
          <w:p w14:paraId="42BC61D6">
            <w:pPr>
              <w:pStyle w:val="55"/>
              <w:spacing w:line="240" w:lineRule="exact"/>
              <w:ind w:firstLine="0" w:firstLineChars="0"/>
              <w:rPr>
                <w:color w:val="auto"/>
                <w:sz w:val="21"/>
                <w:szCs w:val="21"/>
              </w:rPr>
            </w:pPr>
            <w:r>
              <w:rPr>
                <w:color w:val="auto"/>
                <w:sz w:val="21"/>
                <w:szCs w:val="21"/>
              </w:rPr>
              <w:t>≤0.2mg/L</w:t>
            </w:r>
          </w:p>
        </w:tc>
      </w:tr>
      <w:tr w14:paraId="1BD0A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2C6D8D5E">
            <w:pPr>
              <w:pStyle w:val="55"/>
              <w:spacing w:line="240" w:lineRule="exact"/>
              <w:ind w:firstLine="0" w:firstLineChars="0"/>
              <w:rPr>
                <w:color w:val="auto"/>
                <w:sz w:val="21"/>
                <w:szCs w:val="21"/>
              </w:rPr>
            </w:pPr>
            <w:r>
              <w:rPr>
                <w:color w:val="auto"/>
                <w:sz w:val="21"/>
                <w:szCs w:val="21"/>
              </w:rPr>
              <w:t>22</w:t>
            </w:r>
          </w:p>
        </w:tc>
        <w:tc>
          <w:tcPr>
            <w:tcW w:w="0" w:type="auto"/>
            <w:shd w:val="clear" w:color="auto" w:fill="auto"/>
            <w:tcMar>
              <w:top w:w="15" w:type="dxa"/>
              <w:left w:w="15" w:type="dxa"/>
              <w:right w:w="15" w:type="dxa"/>
            </w:tcMar>
            <w:vAlign w:val="center"/>
          </w:tcPr>
          <w:p w14:paraId="52426728">
            <w:pPr>
              <w:pStyle w:val="55"/>
              <w:spacing w:line="240" w:lineRule="exact"/>
              <w:ind w:firstLine="0" w:firstLineChars="0"/>
              <w:rPr>
                <w:color w:val="auto"/>
                <w:sz w:val="21"/>
                <w:szCs w:val="21"/>
              </w:rPr>
            </w:pPr>
            <w:r>
              <w:rPr>
                <w:color w:val="auto"/>
                <w:sz w:val="21"/>
                <w:szCs w:val="21"/>
              </w:rPr>
              <w:t>挥发酚（mg/L）</w:t>
            </w:r>
          </w:p>
        </w:tc>
        <w:tc>
          <w:tcPr>
            <w:tcW w:w="1624" w:type="dxa"/>
            <w:shd w:val="clear" w:color="auto" w:fill="auto"/>
            <w:tcMar>
              <w:top w:w="15" w:type="dxa"/>
              <w:left w:w="15" w:type="dxa"/>
              <w:right w:w="15" w:type="dxa"/>
            </w:tcMar>
            <w:vAlign w:val="center"/>
          </w:tcPr>
          <w:p w14:paraId="0DB7D084">
            <w:pPr>
              <w:pStyle w:val="55"/>
              <w:spacing w:line="240" w:lineRule="exact"/>
              <w:ind w:firstLine="0" w:firstLineChars="0"/>
              <w:rPr>
                <w:color w:val="auto"/>
                <w:sz w:val="21"/>
                <w:szCs w:val="21"/>
              </w:rPr>
            </w:pPr>
            <w:r>
              <w:rPr>
                <w:color w:val="auto"/>
                <w:sz w:val="21"/>
                <w:szCs w:val="21"/>
              </w:rPr>
              <w:t>＜0.002</w:t>
            </w:r>
          </w:p>
        </w:tc>
        <w:tc>
          <w:tcPr>
            <w:tcW w:w="1701" w:type="dxa"/>
            <w:shd w:val="clear" w:color="auto" w:fill="auto"/>
            <w:tcMar>
              <w:top w:w="15" w:type="dxa"/>
              <w:left w:w="15" w:type="dxa"/>
              <w:right w:w="15" w:type="dxa"/>
            </w:tcMar>
            <w:vAlign w:val="center"/>
          </w:tcPr>
          <w:p w14:paraId="6387D2DF">
            <w:pPr>
              <w:pStyle w:val="55"/>
              <w:spacing w:line="240" w:lineRule="exact"/>
              <w:ind w:firstLine="0" w:firstLineChars="0"/>
              <w:rPr>
                <w:color w:val="auto"/>
                <w:sz w:val="21"/>
                <w:szCs w:val="21"/>
              </w:rPr>
            </w:pPr>
            <w:r>
              <w:rPr>
                <w:color w:val="auto"/>
                <w:sz w:val="21"/>
                <w:szCs w:val="21"/>
              </w:rPr>
              <w:t>＜0.002</w:t>
            </w:r>
          </w:p>
        </w:tc>
        <w:tc>
          <w:tcPr>
            <w:tcW w:w="1842" w:type="dxa"/>
            <w:shd w:val="clear" w:color="auto" w:fill="auto"/>
            <w:tcMar>
              <w:top w:w="15" w:type="dxa"/>
              <w:left w:w="15" w:type="dxa"/>
              <w:right w:w="15" w:type="dxa"/>
            </w:tcMar>
            <w:vAlign w:val="center"/>
          </w:tcPr>
          <w:p w14:paraId="2C2255FA">
            <w:pPr>
              <w:pStyle w:val="55"/>
              <w:spacing w:line="240" w:lineRule="exact"/>
              <w:ind w:firstLine="0" w:firstLineChars="0"/>
              <w:rPr>
                <w:color w:val="auto"/>
                <w:sz w:val="21"/>
                <w:szCs w:val="21"/>
              </w:rPr>
            </w:pPr>
            <w:r>
              <w:rPr>
                <w:color w:val="auto"/>
                <w:sz w:val="21"/>
                <w:szCs w:val="21"/>
              </w:rPr>
              <w:t>＜0.002</w:t>
            </w:r>
          </w:p>
        </w:tc>
        <w:tc>
          <w:tcPr>
            <w:tcW w:w="2835" w:type="dxa"/>
            <w:shd w:val="clear" w:color="auto" w:fill="auto"/>
            <w:tcMar>
              <w:top w:w="15" w:type="dxa"/>
              <w:left w:w="15" w:type="dxa"/>
              <w:right w:w="15" w:type="dxa"/>
            </w:tcMar>
            <w:vAlign w:val="center"/>
          </w:tcPr>
          <w:p w14:paraId="7C3868F1">
            <w:pPr>
              <w:pStyle w:val="55"/>
              <w:spacing w:line="240" w:lineRule="exact"/>
              <w:ind w:firstLine="0" w:firstLineChars="0"/>
              <w:rPr>
                <w:color w:val="auto"/>
                <w:sz w:val="21"/>
                <w:szCs w:val="21"/>
              </w:rPr>
            </w:pPr>
            <w:r>
              <w:rPr>
                <w:color w:val="auto"/>
                <w:sz w:val="21"/>
                <w:szCs w:val="21"/>
              </w:rPr>
              <w:t>≤0.002mg/L</w:t>
            </w:r>
          </w:p>
        </w:tc>
        <w:tc>
          <w:tcPr>
            <w:tcW w:w="0" w:type="auto"/>
            <w:shd w:val="clear" w:color="auto" w:fill="auto"/>
            <w:tcMar>
              <w:top w:w="15" w:type="dxa"/>
              <w:left w:w="15" w:type="dxa"/>
              <w:right w:w="15" w:type="dxa"/>
            </w:tcMar>
            <w:vAlign w:val="center"/>
          </w:tcPr>
          <w:p w14:paraId="53E557B7">
            <w:pPr>
              <w:pStyle w:val="55"/>
              <w:spacing w:line="240" w:lineRule="exact"/>
              <w:ind w:firstLine="0" w:firstLineChars="0"/>
              <w:rPr>
                <w:color w:val="auto"/>
                <w:sz w:val="21"/>
                <w:szCs w:val="21"/>
              </w:rPr>
            </w:pPr>
            <w:r>
              <w:rPr>
                <w:color w:val="auto"/>
                <w:sz w:val="21"/>
                <w:szCs w:val="21"/>
              </w:rPr>
              <w:t>≤0.005mg/L</w:t>
            </w:r>
          </w:p>
        </w:tc>
      </w:tr>
      <w:tr w14:paraId="7AC1E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689A522E">
            <w:pPr>
              <w:pStyle w:val="55"/>
              <w:spacing w:line="240" w:lineRule="exact"/>
              <w:ind w:firstLine="0" w:firstLineChars="0"/>
              <w:rPr>
                <w:color w:val="auto"/>
                <w:sz w:val="21"/>
                <w:szCs w:val="21"/>
              </w:rPr>
            </w:pPr>
            <w:r>
              <w:rPr>
                <w:color w:val="auto"/>
                <w:sz w:val="21"/>
                <w:szCs w:val="21"/>
              </w:rPr>
              <w:t>23</w:t>
            </w:r>
          </w:p>
        </w:tc>
        <w:tc>
          <w:tcPr>
            <w:tcW w:w="0" w:type="auto"/>
            <w:shd w:val="clear" w:color="auto" w:fill="auto"/>
            <w:tcMar>
              <w:top w:w="15" w:type="dxa"/>
              <w:left w:w="15" w:type="dxa"/>
              <w:right w:w="15" w:type="dxa"/>
            </w:tcMar>
            <w:vAlign w:val="center"/>
          </w:tcPr>
          <w:p w14:paraId="5B2E0E98">
            <w:pPr>
              <w:pStyle w:val="55"/>
              <w:spacing w:line="240" w:lineRule="exact"/>
              <w:ind w:firstLine="0" w:firstLineChars="0"/>
              <w:rPr>
                <w:color w:val="auto"/>
                <w:sz w:val="21"/>
                <w:szCs w:val="21"/>
              </w:rPr>
            </w:pPr>
            <w:r>
              <w:rPr>
                <w:color w:val="auto"/>
                <w:sz w:val="21"/>
                <w:szCs w:val="21"/>
              </w:rPr>
              <w:t>氰化物（mg/L）</w:t>
            </w:r>
          </w:p>
        </w:tc>
        <w:tc>
          <w:tcPr>
            <w:tcW w:w="1624" w:type="dxa"/>
            <w:shd w:val="clear" w:color="auto" w:fill="auto"/>
            <w:tcMar>
              <w:top w:w="15" w:type="dxa"/>
              <w:left w:w="15" w:type="dxa"/>
              <w:right w:w="15" w:type="dxa"/>
            </w:tcMar>
            <w:vAlign w:val="center"/>
          </w:tcPr>
          <w:p w14:paraId="2954B4F1">
            <w:pPr>
              <w:pStyle w:val="55"/>
              <w:spacing w:line="240" w:lineRule="exact"/>
              <w:ind w:firstLine="0" w:firstLineChars="0"/>
              <w:rPr>
                <w:color w:val="auto"/>
                <w:sz w:val="21"/>
                <w:szCs w:val="21"/>
              </w:rPr>
            </w:pPr>
            <w:r>
              <w:rPr>
                <w:color w:val="auto"/>
                <w:sz w:val="21"/>
                <w:szCs w:val="21"/>
              </w:rPr>
              <w:t>＜0.002</w:t>
            </w:r>
          </w:p>
        </w:tc>
        <w:tc>
          <w:tcPr>
            <w:tcW w:w="1701" w:type="dxa"/>
            <w:shd w:val="clear" w:color="auto" w:fill="auto"/>
            <w:tcMar>
              <w:top w:w="15" w:type="dxa"/>
              <w:left w:w="15" w:type="dxa"/>
              <w:right w:w="15" w:type="dxa"/>
            </w:tcMar>
            <w:vAlign w:val="center"/>
          </w:tcPr>
          <w:p w14:paraId="4E771D36">
            <w:pPr>
              <w:pStyle w:val="55"/>
              <w:spacing w:line="240" w:lineRule="exact"/>
              <w:ind w:firstLine="0" w:firstLineChars="0"/>
              <w:rPr>
                <w:color w:val="auto"/>
                <w:sz w:val="21"/>
                <w:szCs w:val="21"/>
              </w:rPr>
            </w:pPr>
            <w:r>
              <w:rPr>
                <w:color w:val="auto"/>
                <w:sz w:val="21"/>
                <w:szCs w:val="21"/>
              </w:rPr>
              <w:t>＜0.002</w:t>
            </w:r>
          </w:p>
        </w:tc>
        <w:tc>
          <w:tcPr>
            <w:tcW w:w="1842" w:type="dxa"/>
            <w:shd w:val="clear" w:color="auto" w:fill="auto"/>
            <w:tcMar>
              <w:top w:w="15" w:type="dxa"/>
              <w:left w:w="15" w:type="dxa"/>
              <w:right w:w="15" w:type="dxa"/>
            </w:tcMar>
            <w:vAlign w:val="center"/>
          </w:tcPr>
          <w:p w14:paraId="23BD4325">
            <w:pPr>
              <w:pStyle w:val="55"/>
              <w:spacing w:line="240" w:lineRule="exact"/>
              <w:ind w:firstLine="0" w:firstLineChars="0"/>
              <w:rPr>
                <w:color w:val="auto"/>
                <w:sz w:val="21"/>
                <w:szCs w:val="21"/>
              </w:rPr>
            </w:pPr>
            <w:r>
              <w:rPr>
                <w:color w:val="auto"/>
                <w:sz w:val="21"/>
                <w:szCs w:val="21"/>
              </w:rPr>
              <w:t>＜0.002</w:t>
            </w:r>
          </w:p>
        </w:tc>
        <w:tc>
          <w:tcPr>
            <w:tcW w:w="2835" w:type="dxa"/>
            <w:shd w:val="clear" w:color="auto" w:fill="auto"/>
            <w:tcMar>
              <w:top w:w="15" w:type="dxa"/>
              <w:left w:w="15" w:type="dxa"/>
              <w:right w:w="15" w:type="dxa"/>
            </w:tcMar>
            <w:vAlign w:val="center"/>
          </w:tcPr>
          <w:p w14:paraId="7FAF1024">
            <w:pPr>
              <w:pStyle w:val="55"/>
              <w:spacing w:line="240" w:lineRule="exact"/>
              <w:ind w:firstLine="0" w:firstLineChars="0"/>
              <w:rPr>
                <w:color w:val="auto"/>
                <w:sz w:val="21"/>
                <w:szCs w:val="21"/>
              </w:rPr>
            </w:pPr>
            <w:r>
              <w:rPr>
                <w:color w:val="auto"/>
                <w:sz w:val="21"/>
                <w:szCs w:val="21"/>
              </w:rPr>
              <w:t>≤0.05mg/L</w:t>
            </w:r>
          </w:p>
        </w:tc>
        <w:tc>
          <w:tcPr>
            <w:tcW w:w="0" w:type="auto"/>
            <w:shd w:val="clear" w:color="auto" w:fill="auto"/>
            <w:tcMar>
              <w:top w:w="15" w:type="dxa"/>
              <w:left w:w="15" w:type="dxa"/>
              <w:right w:w="15" w:type="dxa"/>
            </w:tcMar>
            <w:vAlign w:val="center"/>
          </w:tcPr>
          <w:p w14:paraId="162ADF25">
            <w:pPr>
              <w:pStyle w:val="55"/>
              <w:spacing w:line="240" w:lineRule="exact"/>
              <w:ind w:firstLine="0" w:firstLineChars="0"/>
              <w:rPr>
                <w:color w:val="auto"/>
                <w:sz w:val="21"/>
                <w:szCs w:val="21"/>
              </w:rPr>
            </w:pPr>
            <w:r>
              <w:rPr>
                <w:color w:val="auto"/>
                <w:sz w:val="21"/>
                <w:szCs w:val="21"/>
              </w:rPr>
              <w:t>≤0.2mg/L</w:t>
            </w:r>
          </w:p>
        </w:tc>
      </w:tr>
      <w:tr w14:paraId="11A9C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49021597">
            <w:pPr>
              <w:pStyle w:val="55"/>
              <w:spacing w:line="240" w:lineRule="exact"/>
              <w:ind w:firstLine="0" w:firstLineChars="0"/>
              <w:rPr>
                <w:color w:val="auto"/>
                <w:sz w:val="21"/>
                <w:szCs w:val="21"/>
              </w:rPr>
            </w:pPr>
            <w:r>
              <w:rPr>
                <w:color w:val="auto"/>
                <w:sz w:val="21"/>
                <w:szCs w:val="21"/>
              </w:rPr>
              <w:t>24</w:t>
            </w:r>
          </w:p>
        </w:tc>
        <w:tc>
          <w:tcPr>
            <w:tcW w:w="0" w:type="auto"/>
            <w:shd w:val="clear" w:color="auto" w:fill="auto"/>
            <w:tcMar>
              <w:top w:w="15" w:type="dxa"/>
              <w:left w:w="15" w:type="dxa"/>
              <w:right w:w="15" w:type="dxa"/>
            </w:tcMar>
            <w:vAlign w:val="center"/>
          </w:tcPr>
          <w:p w14:paraId="07C17337">
            <w:pPr>
              <w:pStyle w:val="55"/>
              <w:spacing w:line="240" w:lineRule="exact"/>
              <w:ind w:firstLine="0" w:firstLineChars="0"/>
              <w:rPr>
                <w:color w:val="auto"/>
                <w:sz w:val="21"/>
                <w:szCs w:val="21"/>
              </w:rPr>
            </w:pPr>
            <w:r>
              <w:rPr>
                <w:color w:val="auto"/>
                <w:sz w:val="21"/>
                <w:szCs w:val="21"/>
              </w:rPr>
              <w:t>铬（六价）（mg/L）</w:t>
            </w:r>
          </w:p>
        </w:tc>
        <w:tc>
          <w:tcPr>
            <w:tcW w:w="1624" w:type="dxa"/>
            <w:shd w:val="clear" w:color="auto" w:fill="auto"/>
            <w:tcMar>
              <w:top w:w="15" w:type="dxa"/>
              <w:left w:w="15" w:type="dxa"/>
              <w:right w:w="15" w:type="dxa"/>
            </w:tcMar>
            <w:vAlign w:val="center"/>
          </w:tcPr>
          <w:p w14:paraId="3BAE233C">
            <w:pPr>
              <w:pStyle w:val="55"/>
              <w:spacing w:line="240" w:lineRule="exact"/>
              <w:ind w:firstLine="0" w:firstLineChars="0"/>
              <w:rPr>
                <w:color w:val="auto"/>
                <w:sz w:val="21"/>
                <w:szCs w:val="21"/>
              </w:rPr>
            </w:pPr>
            <w:r>
              <w:rPr>
                <w:color w:val="auto"/>
                <w:sz w:val="21"/>
                <w:szCs w:val="21"/>
              </w:rPr>
              <w:t>＜0.004</w:t>
            </w:r>
          </w:p>
        </w:tc>
        <w:tc>
          <w:tcPr>
            <w:tcW w:w="1701" w:type="dxa"/>
            <w:shd w:val="clear" w:color="auto" w:fill="auto"/>
            <w:tcMar>
              <w:top w:w="15" w:type="dxa"/>
              <w:left w:w="15" w:type="dxa"/>
              <w:right w:w="15" w:type="dxa"/>
            </w:tcMar>
            <w:vAlign w:val="center"/>
          </w:tcPr>
          <w:p w14:paraId="116DCF12">
            <w:pPr>
              <w:pStyle w:val="55"/>
              <w:spacing w:line="240" w:lineRule="exact"/>
              <w:ind w:firstLine="0" w:firstLineChars="0"/>
              <w:rPr>
                <w:color w:val="auto"/>
                <w:sz w:val="21"/>
                <w:szCs w:val="21"/>
              </w:rPr>
            </w:pPr>
            <w:r>
              <w:rPr>
                <w:color w:val="auto"/>
                <w:sz w:val="21"/>
                <w:szCs w:val="21"/>
              </w:rPr>
              <w:t>＜0.004</w:t>
            </w:r>
          </w:p>
        </w:tc>
        <w:tc>
          <w:tcPr>
            <w:tcW w:w="1842" w:type="dxa"/>
            <w:shd w:val="clear" w:color="auto" w:fill="auto"/>
            <w:tcMar>
              <w:top w:w="15" w:type="dxa"/>
              <w:left w:w="15" w:type="dxa"/>
              <w:right w:w="15" w:type="dxa"/>
            </w:tcMar>
            <w:vAlign w:val="center"/>
          </w:tcPr>
          <w:p w14:paraId="2D9F51F7">
            <w:pPr>
              <w:pStyle w:val="55"/>
              <w:spacing w:line="240" w:lineRule="exact"/>
              <w:ind w:firstLine="0" w:firstLineChars="0"/>
              <w:rPr>
                <w:color w:val="auto"/>
                <w:sz w:val="21"/>
                <w:szCs w:val="21"/>
              </w:rPr>
            </w:pPr>
            <w:r>
              <w:rPr>
                <w:color w:val="auto"/>
                <w:sz w:val="21"/>
                <w:szCs w:val="21"/>
              </w:rPr>
              <w:t>＜0.004</w:t>
            </w:r>
          </w:p>
        </w:tc>
        <w:tc>
          <w:tcPr>
            <w:tcW w:w="2835" w:type="dxa"/>
            <w:shd w:val="clear" w:color="auto" w:fill="auto"/>
            <w:tcMar>
              <w:top w:w="15" w:type="dxa"/>
              <w:left w:w="15" w:type="dxa"/>
              <w:right w:w="15" w:type="dxa"/>
            </w:tcMar>
            <w:vAlign w:val="center"/>
          </w:tcPr>
          <w:p w14:paraId="69503C1F">
            <w:pPr>
              <w:pStyle w:val="55"/>
              <w:spacing w:line="240" w:lineRule="exact"/>
              <w:ind w:firstLine="0" w:firstLineChars="0"/>
              <w:rPr>
                <w:color w:val="auto"/>
                <w:sz w:val="21"/>
                <w:szCs w:val="21"/>
              </w:rPr>
            </w:pPr>
            <w:r>
              <w:rPr>
                <w:color w:val="auto"/>
                <w:sz w:val="21"/>
                <w:szCs w:val="21"/>
              </w:rPr>
              <w:t>≤0.05mg/L</w:t>
            </w:r>
          </w:p>
        </w:tc>
        <w:tc>
          <w:tcPr>
            <w:tcW w:w="0" w:type="auto"/>
            <w:shd w:val="clear" w:color="auto" w:fill="auto"/>
            <w:tcMar>
              <w:top w:w="15" w:type="dxa"/>
              <w:left w:w="15" w:type="dxa"/>
              <w:right w:w="15" w:type="dxa"/>
            </w:tcMar>
            <w:vAlign w:val="center"/>
          </w:tcPr>
          <w:p w14:paraId="7490724B">
            <w:pPr>
              <w:pStyle w:val="55"/>
              <w:spacing w:line="240" w:lineRule="exact"/>
              <w:ind w:firstLine="0" w:firstLineChars="0"/>
              <w:rPr>
                <w:color w:val="auto"/>
                <w:sz w:val="21"/>
                <w:szCs w:val="21"/>
              </w:rPr>
            </w:pPr>
            <w:r>
              <w:rPr>
                <w:color w:val="auto"/>
                <w:sz w:val="21"/>
                <w:szCs w:val="21"/>
              </w:rPr>
              <w:t>≤0.05mg/L</w:t>
            </w:r>
          </w:p>
        </w:tc>
      </w:tr>
      <w:tr w14:paraId="48536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11DFF004">
            <w:pPr>
              <w:pStyle w:val="55"/>
              <w:spacing w:line="240" w:lineRule="exact"/>
              <w:ind w:firstLine="0" w:firstLineChars="0"/>
              <w:rPr>
                <w:color w:val="auto"/>
                <w:sz w:val="21"/>
                <w:szCs w:val="21"/>
              </w:rPr>
            </w:pPr>
            <w:r>
              <w:rPr>
                <w:color w:val="auto"/>
                <w:sz w:val="21"/>
                <w:szCs w:val="21"/>
              </w:rPr>
              <w:t>25</w:t>
            </w:r>
          </w:p>
        </w:tc>
        <w:tc>
          <w:tcPr>
            <w:tcW w:w="0" w:type="auto"/>
            <w:shd w:val="clear" w:color="auto" w:fill="auto"/>
            <w:tcMar>
              <w:top w:w="15" w:type="dxa"/>
              <w:left w:w="15" w:type="dxa"/>
              <w:right w:w="15" w:type="dxa"/>
            </w:tcMar>
            <w:vAlign w:val="center"/>
          </w:tcPr>
          <w:p w14:paraId="1C40C863">
            <w:pPr>
              <w:pStyle w:val="55"/>
              <w:spacing w:line="240" w:lineRule="exact"/>
              <w:ind w:firstLine="0" w:firstLineChars="0"/>
              <w:rPr>
                <w:color w:val="auto"/>
                <w:sz w:val="21"/>
                <w:szCs w:val="21"/>
              </w:rPr>
            </w:pPr>
            <w:r>
              <w:rPr>
                <w:color w:val="auto"/>
                <w:sz w:val="21"/>
                <w:szCs w:val="21"/>
              </w:rPr>
              <w:t>硫化物（mg/L）</w:t>
            </w:r>
          </w:p>
        </w:tc>
        <w:tc>
          <w:tcPr>
            <w:tcW w:w="1624" w:type="dxa"/>
            <w:shd w:val="clear" w:color="auto" w:fill="auto"/>
            <w:tcMar>
              <w:top w:w="15" w:type="dxa"/>
              <w:left w:w="15" w:type="dxa"/>
              <w:right w:w="15" w:type="dxa"/>
            </w:tcMar>
            <w:vAlign w:val="center"/>
          </w:tcPr>
          <w:p w14:paraId="54D42FB9">
            <w:pPr>
              <w:pStyle w:val="55"/>
              <w:spacing w:line="240" w:lineRule="exact"/>
              <w:ind w:firstLine="0" w:firstLineChars="0"/>
              <w:rPr>
                <w:color w:val="auto"/>
                <w:sz w:val="21"/>
                <w:szCs w:val="21"/>
              </w:rPr>
            </w:pPr>
            <w:r>
              <w:rPr>
                <w:color w:val="auto"/>
                <w:sz w:val="21"/>
                <w:szCs w:val="21"/>
              </w:rPr>
              <w:t>＜0.002</w:t>
            </w:r>
          </w:p>
        </w:tc>
        <w:tc>
          <w:tcPr>
            <w:tcW w:w="1701" w:type="dxa"/>
            <w:shd w:val="clear" w:color="auto" w:fill="auto"/>
            <w:tcMar>
              <w:top w:w="15" w:type="dxa"/>
              <w:left w:w="15" w:type="dxa"/>
              <w:right w:w="15" w:type="dxa"/>
            </w:tcMar>
            <w:vAlign w:val="center"/>
          </w:tcPr>
          <w:p w14:paraId="140A5A6C">
            <w:pPr>
              <w:pStyle w:val="55"/>
              <w:spacing w:line="240" w:lineRule="exact"/>
              <w:ind w:firstLine="0" w:firstLineChars="0"/>
              <w:rPr>
                <w:color w:val="auto"/>
                <w:sz w:val="21"/>
                <w:szCs w:val="21"/>
              </w:rPr>
            </w:pPr>
            <w:r>
              <w:rPr>
                <w:color w:val="auto"/>
                <w:sz w:val="21"/>
                <w:szCs w:val="21"/>
              </w:rPr>
              <w:t>＜0.002</w:t>
            </w:r>
          </w:p>
        </w:tc>
        <w:tc>
          <w:tcPr>
            <w:tcW w:w="1842" w:type="dxa"/>
            <w:shd w:val="clear" w:color="auto" w:fill="auto"/>
            <w:tcMar>
              <w:top w:w="15" w:type="dxa"/>
              <w:left w:w="15" w:type="dxa"/>
              <w:right w:w="15" w:type="dxa"/>
            </w:tcMar>
            <w:vAlign w:val="center"/>
          </w:tcPr>
          <w:p w14:paraId="78185BDF">
            <w:pPr>
              <w:pStyle w:val="55"/>
              <w:spacing w:line="240" w:lineRule="exact"/>
              <w:ind w:firstLine="0" w:firstLineChars="0"/>
              <w:rPr>
                <w:color w:val="auto"/>
                <w:sz w:val="21"/>
                <w:szCs w:val="21"/>
              </w:rPr>
            </w:pPr>
            <w:r>
              <w:rPr>
                <w:color w:val="auto"/>
                <w:sz w:val="21"/>
                <w:szCs w:val="21"/>
              </w:rPr>
              <w:t>＜0.002</w:t>
            </w:r>
          </w:p>
        </w:tc>
        <w:tc>
          <w:tcPr>
            <w:tcW w:w="2835" w:type="dxa"/>
            <w:shd w:val="clear" w:color="auto" w:fill="auto"/>
            <w:tcMar>
              <w:top w:w="15" w:type="dxa"/>
              <w:left w:w="15" w:type="dxa"/>
              <w:right w:w="15" w:type="dxa"/>
            </w:tcMar>
            <w:vAlign w:val="center"/>
          </w:tcPr>
          <w:p w14:paraId="22B9F506">
            <w:pPr>
              <w:pStyle w:val="55"/>
              <w:spacing w:line="240" w:lineRule="exact"/>
              <w:ind w:firstLine="0" w:firstLineChars="0"/>
              <w:rPr>
                <w:color w:val="auto"/>
                <w:sz w:val="21"/>
                <w:szCs w:val="21"/>
              </w:rPr>
            </w:pPr>
            <w:r>
              <w:rPr>
                <w:color w:val="auto"/>
                <w:sz w:val="21"/>
                <w:szCs w:val="21"/>
              </w:rPr>
              <w:t>≤0.1mg/L</w:t>
            </w:r>
          </w:p>
        </w:tc>
        <w:tc>
          <w:tcPr>
            <w:tcW w:w="0" w:type="auto"/>
            <w:shd w:val="clear" w:color="auto" w:fill="auto"/>
            <w:tcMar>
              <w:top w:w="15" w:type="dxa"/>
              <w:left w:w="15" w:type="dxa"/>
              <w:right w:w="15" w:type="dxa"/>
            </w:tcMar>
            <w:vAlign w:val="center"/>
          </w:tcPr>
          <w:p w14:paraId="5F545BD4">
            <w:pPr>
              <w:pStyle w:val="55"/>
              <w:spacing w:line="240" w:lineRule="exact"/>
              <w:ind w:firstLine="0" w:firstLineChars="0"/>
              <w:rPr>
                <w:color w:val="auto"/>
                <w:sz w:val="21"/>
                <w:szCs w:val="21"/>
              </w:rPr>
            </w:pPr>
            <w:r>
              <w:rPr>
                <w:color w:val="auto"/>
                <w:sz w:val="21"/>
                <w:szCs w:val="21"/>
              </w:rPr>
              <w:t>≤0.2mg/L</w:t>
            </w:r>
          </w:p>
        </w:tc>
      </w:tr>
      <w:tr w14:paraId="66BFB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46790781">
            <w:pPr>
              <w:pStyle w:val="55"/>
              <w:spacing w:line="240" w:lineRule="exact"/>
              <w:ind w:firstLine="0" w:firstLineChars="0"/>
              <w:rPr>
                <w:color w:val="auto"/>
                <w:sz w:val="21"/>
                <w:szCs w:val="21"/>
              </w:rPr>
            </w:pPr>
            <w:r>
              <w:rPr>
                <w:color w:val="auto"/>
                <w:sz w:val="21"/>
                <w:szCs w:val="21"/>
              </w:rPr>
              <w:t>26</w:t>
            </w:r>
          </w:p>
        </w:tc>
        <w:tc>
          <w:tcPr>
            <w:tcW w:w="0" w:type="auto"/>
            <w:shd w:val="clear" w:color="auto" w:fill="auto"/>
            <w:tcMar>
              <w:top w:w="15" w:type="dxa"/>
              <w:left w:w="15" w:type="dxa"/>
              <w:right w:w="15" w:type="dxa"/>
            </w:tcMar>
            <w:vAlign w:val="center"/>
          </w:tcPr>
          <w:p w14:paraId="1BFE6E4E">
            <w:pPr>
              <w:pStyle w:val="55"/>
              <w:spacing w:line="240" w:lineRule="exact"/>
              <w:ind w:firstLine="0" w:firstLineChars="0"/>
              <w:rPr>
                <w:color w:val="auto"/>
                <w:sz w:val="21"/>
                <w:szCs w:val="21"/>
              </w:rPr>
            </w:pPr>
            <w:r>
              <w:rPr>
                <w:color w:val="auto"/>
                <w:sz w:val="21"/>
                <w:szCs w:val="21"/>
              </w:rPr>
              <w:t>总磷（mg/L）</w:t>
            </w:r>
          </w:p>
        </w:tc>
        <w:tc>
          <w:tcPr>
            <w:tcW w:w="1624" w:type="dxa"/>
            <w:shd w:val="clear" w:color="auto" w:fill="auto"/>
            <w:tcMar>
              <w:top w:w="15" w:type="dxa"/>
              <w:left w:w="15" w:type="dxa"/>
              <w:right w:w="15" w:type="dxa"/>
            </w:tcMar>
            <w:vAlign w:val="center"/>
          </w:tcPr>
          <w:p w14:paraId="02B4CEBA">
            <w:pPr>
              <w:pStyle w:val="55"/>
              <w:spacing w:line="240" w:lineRule="exact"/>
              <w:ind w:firstLine="0" w:firstLineChars="0"/>
              <w:rPr>
                <w:color w:val="auto"/>
                <w:sz w:val="21"/>
                <w:szCs w:val="21"/>
              </w:rPr>
            </w:pPr>
            <w:r>
              <w:rPr>
                <w:color w:val="auto"/>
                <w:sz w:val="21"/>
                <w:szCs w:val="21"/>
              </w:rPr>
              <w:t>0.084</w:t>
            </w:r>
          </w:p>
        </w:tc>
        <w:tc>
          <w:tcPr>
            <w:tcW w:w="1701" w:type="dxa"/>
            <w:shd w:val="clear" w:color="auto" w:fill="auto"/>
            <w:tcMar>
              <w:top w:w="15" w:type="dxa"/>
              <w:left w:w="15" w:type="dxa"/>
              <w:right w:w="15" w:type="dxa"/>
            </w:tcMar>
            <w:vAlign w:val="center"/>
          </w:tcPr>
          <w:p w14:paraId="68E699FE">
            <w:pPr>
              <w:pStyle w:val="55"/>
              <w:spacing w:line="240" w:lineRule="exact"/>
              <w:ind w:firstLine="0" w:firstLineChars="0"/>
              <w:rPr>
                <w:color w:val="auto"/>
                <w:sz w:val="21"/>
                <w:szCs w:val="21"/>
              </w:rPr>
            </w:pPr>
            <w:r>
              <w:rPr>
                <w:color w:val="auto"/>
                <w:sz w:val="21"/>
                <w:szCs w:val="21"/>
              </w:rPr>
              <w:t>0.138</w:t>
            </w:r>
          </w:p>
        </w:tc>
        <w:tc>
          <w:tcPr>
            <w:tcW w:w="1842" w:type="dxa"/>
            <w:shd w:val="clear" w:color="auto" w:fill="auto"/>
            <w:tcMar>
              <w:top w:w="15" w:type="dxa"/>
              <w:left w:w="15" w:type="dxa"/>
              <w:right w:w="15" w:type="dxa"/>
            </w:tcMar>
            <w:vAlign w:val="center"/>
          </w:tcPr>
          <w:p w14:paraId="65035CDA">
            <w:pPr>
              <w:pStyle w:val="55"/>
              <w:spacing w:line="240" w:lineRule="exact"/>
              <w:ind w:firstLine="0" w:firstLineChars="0"/>
              <w:rPr>
                <w:color w:val="auto"/>
                <w:sz w:val="21"/>
                <w:szCs w:val="21"/>
              </w:rPr>
            </w:pPr>
            <w:r>
              <w:rPr>
                <w:color w:val="auto"/>
                <w:sz w:val="21"/>
                <w:szCs w:val="21"/>
              </w:rPr>
              <w:t>0.075</w:t>
            </w:r>
          </w:p>
        </w:tc>
        <w:tc>
          <w:tcPr>
            <w:tcW w:w="2835" w:type="dxa"/>
            <w:shd w:val="clear" w:color="auto" w:fill="auto"/>
            <w:tcMar>
              <w:top w:w="15" w:type="dxa"/>
              <w:left w:w="15" w:type="dxa"/>
              <w:right w:w="15" w:type="dxa"/>
            </w:tcMar>
            <w:vAlign w:val="center"/>
          </w:tcPr>
          <w:p w14:paraId="512CEDE5">
            <w:pPr>
              <w:pStyle w:val="55"/>
              <w:spacing w:line="240" w:lineRule="exact"/>
              <w:ind w:firstLine="0" w:firstLineChars="0"/>
              <w:rPr>
                <w:color w:val="auto"/>
                <w:sz w:val="21"/>
                <w:szCs w:val="21"/>
              </w:rPr>
            </w:pPr>
            <w:r>
              <w:rPr>
                <w:color w:val="auto"/>
                <w:sz w:val="21"/>
                <w:szCs w:val="21"/>
              </w:rPr>
              <w:t>≤0.1mg/L</w:t>
            </w:r>
            <w:r>
              <w:rPr>
                <w:color w:val="auto"/>
                <w:sz w:val="21"/>
                <w:szCs w:val="21"/>
              </w:rPr>
              <w:br w:type="textWrapping"/>
            </w:r>
            <w:r>
              <w:rPr>
                <w:color w:val="auto"/>
                <w:sz w:val="21"/>
                <w:szCs w:val="21"/>
              </w:rPr>
              <w:t>（湖、库0.025）</w:t>
            </w:r>
          </w:p>
        </w:tc>
        <w:tc>
          <w:tcPr>
            <w:tcW w:w="0" w:type="auto"/>
            <w:shd w:val="clear" w:color="auto" w:fill="auto"/>
            <w:tcMar>
              <w:top w:w="15" w:type="dxa"/>
              <w:left w:w="15" w:type="dxa"/>
              <w:right w:w="15" w:type="dxa"/>
            </w:tcMar>
            <w:vAlign w:val="center"/>
          </w:tcPr>
          <w:p w14:paraId="1A1E7809">
            <w:pPr>
              <w:pStyle w:val="55"/>
              <w:spacing w:line="240" w:lineRule="exact"/>
              <w:ind w:firstLine="0" w:firstLineChars="0"/>
              <w:rPr>
                <w:color w:val="auto"/>
                <w:sz w:val="21"/>
                <w:szCs w:val="21"/>
              </w:rPr>
            </w:pPr>
            <w:r>
              <w:rPr>
                <w:color w:val="auto"/>
                <w:sz w:val="21"/>
                <w:szCs w:val="21"/>
              </w:rPr>
              <w:t>≤0.2mg/L</w:t>
            </w:r>
            <w:r>
              <w:rPr>
                <w:color w:val="auto"/>
                <w:sz w:val="21"/>
                <w:szCs w:val="21"/>
              </w:rPr>
              <w:br w:type="textWrapping"/>
            </w:r>
            <w:r>
              <w:rPr>
                <w:color w:val="auto"/>
                <w:sz w:val="21"/>
                <w:szCs w:val="21"/>
              </w:rPr>
              <w:t>（湖、库0.05）</w:t>
            </w:r>
          </w:p>
        </w:tc>
      </w:tr>
      <w:tr w14:paraId="7FF4B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51D769D7">
            <w:pPr>
              <w:pStyle w:val="55"/>
              <w:spacing w:line="240" w:lineRule="exact"/>
              <w:ind w:firstLine="0" w:firstLineChars="0"/>
              <w:rPr>
                <w:color w:val="auto"/>
                <w:sz w:val="21"/>
                <w:szCs w:val="21"/>
              </w:rPr>
            </w:pPr>
            <w:r>
              <w:rPr>
                <w:color w:val="auto"/>
                <w:sz w:val="21"/>
                <w:szCs w:val="21"/>
              </w:rPr>
              <w:t>27</w:t>
            </w:r>
          </w:p>
        </w:tc>
        <w:tc>
          <w:tcPr>
            <w:tcW w:w="0" w:type="auto"/>
            <w:shd w:val="clear" w:color="auto" w:fill="auto"/>
            <w:tcMar>
              <w:top w:w="15" w:type="dxa"/>
              <w:left w:w="15" w:type="dxa"/>
              <w:right w:w="15" w:type="dxa"/>
            </w:tcMar>
            <w:vAlign w:val="center"/>
          </w:tcPr>
          <w:p w14:paraId="0A745B1B">
            <w:pPr>
              <w:pStyle w:val="55"/>
              <w:spacing w:line="240" w:lineRule="exact"/>
              <w:ind w:firstLine="0" w:firstLineChars="0"/>
              <w:rPr>
                <w:color w:val="auto"/>
                <w:sz w:val="21"/>
                <w:szCs w:val="21"/>
              </w:rPr>
            </w:pPr>
            <w:r>
              <w:rPr>
                <w:color w:val="auto"/>
                <w:sz w:val="21"/>
                <w:szCs w:val="21"/>
              </w:rPr>
              <w:t>总氮（mg/L）</w:t>
            </w:r>
          </w:p>
        </w:tc>
        <w:tc>
          <w:tcPr>
            <w:tcW w:w="1624" w:type="dxa"/>
            <w:shd w:val="clear" w:color="auto" w:fill="auto"/>
            <w:tcMar>
              <w:top w:w="15" w:type="dxa"/>
              <w:left w:w="15" w:type="dxa"/>
              <w:right w:w="15" w:type="dxa"/>
            </w:tcMar>
            <w:vAlign w:val="center"/>
          </w:tcPr>
          <w:p w14:paraId="137F4256">
            <w:pPr>
              <w:pStyle w:val="55"/>
              <w:spacing w:line="240" w:lineRule="exact"/>
              <w:ind w:firstLine="0" w:firstLineChars="0"/>
              <w:rPr>
                <w:color w:val="auto"/>
                <w:sz w:val="21"/>
                <w:szCs w:val="21"/>
              </w:rPr>
            </w:pPr>
            <w:r>
              <w:rPr>
                <w:color w:val="auto"/>
                <w:sz w:val="21"/>
                <w:szCs w:val="21"/>
              </w:rPr>
              <w:t>1.48</w:t>
            </w:r>
          </w:p>
        </w:tc>
        <w:tc>
          <w:tcPr>
            <w:tcW w:w="1701" w:type="dxa"/>
            <w:shd w:val="clear" w:color="auto" w:fill="auto"/>
            <w:tcMar>
              <w:top w:w="15" w:type="dxa"/>
              <w:left w:w="15" w:type="dxa"/>
              <w:right w:w="15" w:type="dxa"/>
            </w:tcMar>
            <w:vAlign w:val="center"/>
          </w:tcPr>
          <w:p w14:paraId="1B5F2A60">
            <w:pPr>
              <w:pStyle w:val="55"/>
              <w:spacing w:line="240" w:lineRule="exact"/>
              <w:ind w:firstLine="0" w:firstLineChars="0"/>
              <w:rPr>
                <w:color w:val="auto"/>
                <w:sz w:val="21"/>
                <w:szCs w:val="21"/>
              </w:rPr>
            </w:pPr>
            <w:r>
              <w:rPr>
                <w:color w:val="auto"/>
                <w:sz w:val="21"/>
                <w:szCs w:val="21"/>
              </w:rPr>
              <w:t>2.24</w:t>
            </w:r>
          </w:p>
        </w:tc>
        <w:tc>
          <w:tcPr>
            <w:tcW w:w="1842" w:type="dxa"/>
            <w:shd w:val="clear" w:color="auto" w:fill="auto"/>
            <w:tcMar>
              <w:top w:w="15" w:type="dxa"/>
              <w:left w:w="15" w:type="dxa"/>
              <w:right w:w="15" w:type="dxa"/>
            </w:tcMar>
            <w:vAlign w:val="center"/>
          </w:tcPr>
          <w:p w14:paraId="1C1C8BA5">
            <w:pPr>
              <w:pStyle w:val="55"/>
              <w:spacing w:line="240" w:lineRule="exact"/>
              <w:ind w:firstLine="0" w:firstLineChars="0"/>
              <w:rPr>
                <w:color w:val="auto"/>
                <w:sz w:val="21"/>
                <w:szCs w:val="21"/>
              </w:rPr>
            </w:pPr>
            <w:r>
              <w:rPr>
                <w:color w:val="auto"/>
                <w:sz w:val="21"/>
                <w:szCs w:val="21"/>
              </w:rPr>
              <w:t>1.26</w:t>
            </w:r>
          </w:p>
        </w:tc>
        <w:tc>
          <w:tcPr>
            <w:tcW w:w="2835" w:type="dxa"/>
            <w:shd w:val="clear" w:color="auto" w:fill="auto"/>
            <w:tcMar>
              <w:top w:w="15" w:type="dxa"/>
              <w:left w:w="15" w:type="dxa"/>
              <w:right w:w="15" w:type="dxa"/>
            </w:tcMar>
            <w:vAlign w:val="center"/>
          </w:tcPr>
          <w:p w14:paraId="116A9519">
            <w:pPr>
              <w:pStyle w:val="55"/>
              <w:spacing w:line="240" w:lineRule="exact"/>
              <w:ind w:firstLine="0" w:firstLineChars="0"/>
              <w:rPr>
                <w:color w:val="auto"/>
                <w:sz w:val="21"/>
                <w:szCs w:val="21"/>
              </w:rPr>
            </w:pPr>
            <w:r>
              <w:rPr>
                <w:color w:val="auto"/>
                <w:sz w:val="21"/>
                <w:szCs w:val="21"/>
              </w:rPr>
              <w:t>≤0.5mg/L</w:t>
            </w:r>
          </w:p>
        </w:tc>
        <w:tc>
          <w:tcPr>
            <w:tcW w:w="0" w:type="auto"/>
            <w:shd w:val="clear" w:color="auto" w:fill="auto"/>
            <w:tcMar>
              <w:top w:w="15" w:type="dxa"/>
              <w:left w:w="15" w:type="dxa"/>
              <w:right w:w="15" w:type="dxa"/>
            </w:tcMar>
            <w:vAlign w:val="center"/>
          </w:tcPr>
          <w:p w14:paraId="1D19516B">
            <w:pPr>
              <w:pStyle w:val="55"/>
              <w:spacing w:line="240" w:lineRule="exact"/>
              <w:ind w:firstLine="0" w:firstLineChars="0"/>
              <w:rPr>
                <w:color w:val="auto"/>
                <w:sz w:val="21"/>
                <w:szCs w:val="21"/>
              </w:rPr>
            </w:pPr>
            <w:r>
              <w:rPr>
                <w:color w:val="auto"/>
                <w:sz w:val="21"/>
                <w:szCs w:val="21"/>
              </w:rPr>
              <w:t>≤1mg/L</w:t>
            </w:r>
          </w:p>
        </w:tc>
      </w:tr>
      <w:tr w14:paraId="485C3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shd w:val="clear" w:color="auto" w:fill="auto"/>
            <w:tcMar>
              <w:top w:w="15" w:type="dxa"/>
              <w:left w:w="15" w:type="dxa"/>
              <w:right w:w="15" w:type="dxa"/>
            </w:tcMar>
            <w:vAlign w:val="center"/>
          </w:tcPr>
          <w:p w14:paraId="3592194D">
            <w:pPr>
              <w:pStyle w:val="55"/>
              <w:spacing w:line="240" w:lineRule="exact"/>
              <w:ind w:firstLine="0" w:firstLineChars="0"/>
              <w:rPr>
                <w:color w:val="auto"/>
                <w:sz w:val="21"/>
                <w:szCs w:val="21"/>
              </w:rPr>
            </w:pPr>
            <w:r>
              <w:rPr>
                <w:color w:val="auto"/>
                <w:sz w:val="21"/>
                <w:szCs w:val="21"/>
              </w:rPr>
              <w:t>28</w:t>
            </w:r>
          </w:p>
        </w:tc>
        <w:tc>
          <w:tcPr>
            <w:tcW w:w="0" w:type="auto"/>
            <w:shd w:val="clear" w:color="auto" w:fill="auto"/>
            <w:tcMar>
              <w:top w:w="15" w:type="dxa"/>
              <w:left w:w="15" w:type="dxa"/>
              <w:right w:w="15" w:type="dxa"/>
            </w:tcMar>
            <w:vAlign w:val="center"/>
          </w:tcPr>
          <w:p w14:paraId="26492E01">
            <w:pPr>
              <w:pStyle w:val="55"/>
              <w:spacing w:line="240" w:lineRule="exact"/>
              <w:ind w:firstLine="0" w:firstLineChars="0"/>
              <w:rPr>
                <w:color w:val="auto"/>
                <w:sz w:val="21"/>
                <w:szCs w:val="21"/>
              </w:rPr>
            </w:pPr>
            <w:r>
              <w:rPr>
                <w:color w:val="auto"/>
                <w:sz w:val="21"/>
                <w:szCs w:val="21"/>
              </w:rPr>
              <w:t>氨氮（mg/L）</w:t>
            </w:r>
          </w:p>
        </w:tc>
        <w:tc>
          <w:tcPr>
            <w:tcW w:w="1624" w:type="dxa"/>
            <w:shd w:val="clear" w:color="auto" w:fill="auto"/>
            <w:tcMar>
              <w:top w:w="15" w:type="dxa"/>
              <w:left w:w="15" w:type="dxa"/>
              <w:right w:w="15" w:type="dxa"/>
            </w:tcMar>
            <w:vAlign w:val="center"/>
          </w:tcPr>
          <w:p w14:paraId="6A35A731">
            <w:pPr>
              <w:pStyle w:val="55"/>
              <w:spacing w:line="240" w:lineRule="exact"/>
              <w:ind w:firstLine="0" w:firstLineChars="0"/>
              <w:rPr>
                <w:color w:val="auto"/>
                <w:sz w:val="21"/>
                <w:szCs w:val="21"/>
              </w:rPr>
            </w:pPr>
            <w:r>
              <w:rPr>
                <w:color w:val="auto"/>
                <w:sz w:val="21"/>
                <w:szCs w:val="21"/>
              </w:rPr>
              <w:t>0.097</w:t>
            </w:r>
          </w:p>
        </w:tc>
        <w:tc>
          <w:tcPr>
            <w:tcW w:w="1701" w:type="dxa"/>
            <w:shd w:val="clear" w:color="auto" w:fill="auto"/>
            <w:tcMar>
              <w:top w:w="15" w:type="dxa"/>
              <w:left w:w="15" w:type="dxa"/>
              <w:right w:w="15" w:type="dxa"/>
            </w:tcMar>
            <w:vAlign w:val="center"/>
          </w:tcPr>
          <w:p w14:paraId="6C49F40B">
            <w:pPr>
              <w:pStyle w:val="55"/>
              <w:spacing w:line="240" w:lineRule="exact"/>
              <w:ind w:firstLine="0" w:firstLineChars="0"/>
              <w:rPr>
                <w:color w:val="auto"/>
                <w:sz w:val="21"/>
                <w:szCs w:val="21"/>
              </w:rPr>
            </w:pPr>
            <w:r>
              <w:rPr>
                <w:color w:val="auto"/>
                <w:sz w:val="21"/>
                <w:szCs w:val="21"/>
              </w:rPr>
              <w:t>0.138</w:t>
            </w:r>
          </w:p>
        </w:tc>
        <w:tc>
          <w:tcPr>
            <w:tcW w:w="1842" w:type="dxa"/>
            <w:shd w:val="clear" w:color="auto" w:fill="auto"/>
            <w:tcMar>
              <w:top w:w="15" w:type="dxa"/>
              <w:left w:w="15" w:type="dxa"/>
              <w:right w:w="15" w:type="dxa"/>
            </w:tcMar>
            <w:vAlign w:val="center"/>
          </w:tcPr>
          <w:p w14:paraId="23105EEA">
            <w:pPr>
              <w:pStyle w:val="55"/>
              <w:spacing w:line="240" w:lineRule="exact"/>
              <w:ind w:firstLine="0" w:firstLineChars="0"/>
              <w:rPr>
                <w:color w:val="auto"/>
                <w:sz w:val="21"/>
                <w:szCs w:val="21"/>
              </w:rPr>
            </w:pPr>
            <w:r>
              <w:rPr>
                <w:color w:val="auto"/>
                <w:sz w:val="21"/>
                <w:szCs w:val="21"/>
              </w:rPr>
              <w:t>＜0.02</w:t>
            </w:r>
          </w:p>
        </w:tc>
        <w:tc>
          <w:tcPr>
            <w:tcW w:w="2835" w:type="dxa"/>
            <w:shd w:val="clear" w:color="auto" w:fill="auto"/>
            <w:tcMar>
              <w:top w:w="15" w:type="dxa"/>
              <w:left w:w="15" w:type="dxa"/>
              <w:right w:w="15" w:type="dxa"/>
            </w:tcMar>
            <w:vAlign w:val="center"/>
          </w:tcPr>
          <w:p w14:paraId="0DCC0535">
            <w:pPr>
              <w:pStyle w:val="55"/>
              <w:spacing w:line="240" w:lineRule="exact"/>
              <w:ind w:firstLine="0" w:firstLineChars="0"/>
              <w:rPr>
                <w:color w:val="auto"/>
                <w:sz w:val="21"/>
                <w:szCs w:val="21"/>
              </w:rPr>
            </w:pPr>
            <w:r>
              <w:rPr>
                <w:color w:val="auto"/>
                <w:sz w:val="21"/>
                <w:szCs w:val="21"/>
              </w:rPr>
              <w:t>≤0.5mg/L</w:t>
            </w:r>
          </w:p>
        </w:tc>
        <w:tc>
          <w:tcPr>
            <w:tcW w:w="0" w:type="auto"/>
            <w:shd w:val="clear" w:color="auto" w:fill="auto"/>
            <w:tcMar>
              <w:top w:w="15" w:type="dxa"/>
              <w:left w:w="15" w:type="dxa"/>
              <w:right w:w="15" w:type="dxa"/>
            </w:tcMar>
            <w:vAlign w:val="center"/>
          </w:tcPr>
          <w:p w14:paraId="65112ED1">
            <w:pPr>
              <w:pStyle w:val="55"/>
              <w:spacing w:line="240" w:lineRule="exact"/>
              <w:ind w:firstLine="0" w:firstLineChars="0"/>
              <w:rPr>
                <w:color w:val="auto"/>
                <w:sz w:val="21"/>
                <w:szCs w:val="21"/>
              </w:rPr>
            </w:pPr>
            <w:r>
              <w:rPr>
                <w:color w:val="auto"/>
                <w:sz w:val="21"/>
                <w:szCs w:val="21"/>
              </w:rPr>
              <w:t>≤1mg/L</w:t>
            </w:r>
          </w:p>
        </w:tc>
      </w:tr>
    </w:tbl>
    <w:p w14:paraId="0D64E0AC">
      <w:pPr>
        <w:tabs>
          <w:tab w:val="left" w:pos="5580"/>
        </w:tabs>
        <w:ind w:firstLine="0" w:firstLineChars="0"/>
        <w:rPr>
          <w:b/>
          <w:color w:val="auto"/>
        </w:rPr>
      </w:pPr>
      <w:r>
        <w:rPr>
          <w:b/>
          <w:color w:val="auto"/>
        </w:rPr>
        <w:t>表6.3-2                           丰收坝水厂取水口断面水质监测结果一览表</w:t>
      </w:r>
    </w:p>
    <w:tbl>
      <w:tblPr>
        <w:tblStyle w:val="21"/>
        <w:tblW w:w="1369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26"/>
        <w:gridCol w:w="2360"/>
        <w:gridCol w:w="1624"/>
        <w:gridCol w:w="1701"/>
        <w:gridCol w:w="1842"/>
        <w:gridCol w:w="2835"/>
        <w:gridCol w:w="2904"/>
      </w:tblGrid>
      <w:tr w14:paraId="755035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426" w:type="dxa"/>
            <w:vMerge w:val="restart"/>
            <w:tcMar>
              <w:top w:w="15" w:type="dxa"/>
              <w:left w:w="15" w:type="dxa"/>
              <w:right w:w="15" w:type="dxa"/>
            </w:tcMar>
            <w:vAlign w:val="center"/>
          </w:tcPr>
          <w:p w14:paraId="7CA90856">
            <w:pPr>
              <w:widowControl/>
              <w:spacing w:line="360" w:lineRule="exact"/>
              <w:ind w:firstLine="0" w:firstLineChars="0"/>
              <w:jc w:val="center"/>
              <w:textAlignment w:val="center"/>
              <w:rPr>
                <w:bCs/>
                <w:color w:val="auto"/>
                <w:sz w:val="18"/>
                <w:szCs w:val="18"/>
              </w:rPr>
            </w:pPr>
            <w:r>
              <w:rPr>
                <w:bCs/>
                <w:color w:val="auto"/>
                <w:sz w:val="18"/>
                <w:szCs w:val="18"/>
                <w:lang w:bidi="ar"/>
              </w:rPr>
              <w:t>序号</w:t>
            </w:r>
          </w:p>
        </w:tc>
        <w:tc>
          <w:tcPr>
            <w:tcW w:w="2360" w:type="dxa"/>
            <w:tcMar>
              <w:top w:w="15" w:type="dxa"/>
              <w:left w:w="15" w:type="dxa"/>
              <w:right w:w="15" w:type="dxa"/>
            </w:tcMar>
            <w:vAlign w:val="center"/>
          </w:tcPr>
          <w:p w14:paraId="25C0AC9D">
            <w:pPr>
              <w:widowControl/>
              <w:spacing w:line="360" w:lineRule="exact"/>
              <w:ind w:firstLine="0" w:firstLineChars="0"/>
              <w:jc w:val="center"/>
              <w:textAlignment w:val="center"/>
              <w:rPr>
                <w:bCs/>
                <w:color w:val="auto"/>
                <w:sz w:val="18"/>
                <w:szCs w:val="18"/>
              </w:rPr>
            </w:pPr>
            <w:r>
              <w:rPr>
                <w:bCs/>
                <w:color w:val="auto"/>
                <w:sz w:val="18"/>
                <w:szCs w:val="18"/>
                <w:lang w:bidi="ar"/>
              </w:rPr>
              <w:t>监测</w:t>
            </w:r>
          </w:p>
        </w:tc>
        <w:tc>
          <w:tcPr>
            <w:tcW w:w="5167" w:type="dxa"/>
            <w:gridSpan w:val="3"/>
            <w:tcMar>
              <w:top w:w="15" w:type="dxa"/>
              <w:left w:w="15" w:type="dxa"/>
              <w:right w:w="15" w:type="dxa"/>
            </w:tcMar>
            <w:vAlign w:val="center"/>
          </w:tcPr>
          <w:p w14:paraId="005407A4">
            <w:pPr>
              <w:widowControl/>
              <w:spacing w:line="360" w:lineRule="exact"/>
              <w:ind w:firstLine="0" w:firstLineChars="0"/>
              <w:jc w:val="center"/>
              <w:textAlignment w:val="center"/>
              <w:rPr>
                <w:bCs/>
                <w:color w:val="auto"/>
                <w:sz w:val="18"/>
                <w:szCs w:val="18"/>
              </w:rPr>
            </w:pPr>
            <w:r>
              <w:rPr>
                <w:bCs/>
                <w:color w:val="auto"/>
                <w:sz w:val="18"/>
                <w:szCs w:val="18"/>
                <w:lang w:bidi="ar"/>
              </w:rPr>
              <w:t>检测结果（</w:t>
            </w:r>
            <w:r>
              <w:rPr>
                <w:color w:val="auto"/>
                <w:sz w:val="18"/>
                <w:szCs w:val="18"/>
                <w:lang w:bidi="ar"/>
              </w:rPr>
              <w:t>mg/L</w:t>
            </w:r>
            <w:r>
              <w:rPr>
                <w:bCs/>
                <w:color w:val="auto"/>
                <w:sz w:val="18"/>
                <w:szCs w:val="18"/>
                <w:lang w:bidi="ar"/>
              </w:rPr>
              <w:t>）</w:t>
            </w:r>
          </w:p>
        </w:tc>
        <w:tc>
          <w:tcPr>
            <w:tcW w:w="2835" w:type="dxa"/>
            <w:vMerge w:val="restart"/>
            <w:tcMar>
              <w:top w:w="15" w:type="dxa"/>
              <w:left w:w="15" w:type="dxa"/>
              <w:right w:w="15" w:type="dxa"/>
            </w:tcMar>
            <w:vAlign w:val="center"/>
          </w:tcPr>
          <w:p w14:paraId="696781C0">
            <w:pPr>
              <w:widowControl/>
              <w:spacing w:line="360" w:lineRule="exact"/>
              <w:ind w:firstLine="0" w:firstLineChars="0"/>
              <w:jc w:val="center"/>
              <w:textAlignment w:val="center"/>
              <w:rPr>
                <w:bCs/>
                <w:color w:val="auto"/>
                <w:sz w:val="18"/>
                <w:szCs w:val="18"/>
              </w:rPr>
            </w:pPr>
            <w:r>
              <w:rPr>
                <w:bCs/>
                <w:color w:val="auto"/>
                <w:sz w:val="18"/>
                <w:szCs w:val="18"/>
                <w:lang w:bidi="ar"/>
              </w:rPr>
              <w:t>GB3838-2002地表水环境质量标准水质限值（II类）</w:t>
            </w:r>
          </w:p>
        </w:tc>
        <w:tc>
          <w:tcPr>
            <w:tcW w:w="2904" w:type="dxa"/>
            <w:vMerge w:val="restart"/>
            <w:tcMar>
              <w:top w:w="15" w:type="dxa"/>
              <w:left w:w="15" w:type="dxa"/>
              <w:right w:w="15" w:type="dxa"/>
            </w:tcMar>
            <w:vAlign w:val="center"/>
          </w:tcPr>
          <w:p w14:paraId="1DCB5A54">
            <w:pPr>
              <w:widowControl/>
              <w:spacing w:line="360" w:lineRule="exact"/>
              <w:ind w:firstLine="0" w:firstLineChars="0"/>
              <w:jc w:val="center"/>
              <w:textAlignment w:val="center"/>
              <w:rPr>
                <w:bCs/>
                <w:color w:val="auto"/>
                <w:sz w:val="18"/>
                <w:szCs w:val="18"/>
              </w:rPr>
            </w:pPr>
            <w:r>
              <w:rPr>
                <w:bCs/>
                <w:color w:val="auto"/>
                <w:sz w:val="18"/>
                <w:szCs w:val="18"/>
                <w:lang w:bidi="ar"/>
              </w:rPr>
              <w:t>GB3838-2002地表水环境质量标准水质限值（III类）</w:t>
            </w:r>
          </w:p>
        </w:tc>
      </w:tr>
      <w:tr w14:paraId="7B3D38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426" w:type="dxa"/>
            <w:vMerge w:val="continue"/>
            <w:tcMar>
              <w:top w:w="15" w:type="dxa"/>
              <w:left w:w="15" w:type="dxa"/>
              <w:right w:w="15" w:type="dxa"/>
            </w:tcMar>
            <w:vAlign w:val="center"/>
          </w:tcPr>
          <w:p w14:paraId="107BF57E">
            <w:pPr>
              <w:spacing w:line="360" w:lineRule="exact"/>
              <w:ind w:firstLine="0" w:firstLineChars="0"/>
              <w:jc w:val="center"/>
              <w:rPr>
                <w:color w:val="auto"/>
                <w:sz w:val="18"/>
                <w:szCs w:val="18"/>
              </w:rPr>
            </w:pPr>
          </w:p>
        </w:tc>
        <w:tc>
          <w:tcPr>
            <w:tcW w:w="2360" w:type="dxa"/>
            <w:tcMar>
              <w:top w:w="15" w:type="dxa"/>
              <w:left w:w="15" w:type="dxa"/>
              <w:right w:w="15" w:type="dxa"/>
            </w:tcMar>
            <w:vAlign w:val="center"/>
          </w:tcPr>
          <w:p w14:paraId="5E1909E3">
            <w:pPr>
              <w:widowControl/>
              <w:spacing w:line="360" w:lineRule="exact"/>
              <w:ind w:firstLine="0" w:firstLineChars="0"/>
              <w:jc w:val="center"/>
              <w:textAlignment w:val="center"/>
              <w:rPr>
                <w:bCs/>
                <w:color w:val="auto"/>
                <w:sz w:val="18"/>
                <w:szCs w:val="18"/>
              </w:rPr>
            </w:pPr>
            <w:r>
              <w:rPr>
                <w:bCs/>
                <w:color w:val="auto"/>
                <w:sz w:val="18"/>
                <w:szCs w:val="18"/>
                <w:lang w:bidi="ar"/>
              </w:rPr>
              <w:t>项目</w:t>
            </w:r>
          </w:p>
        </w:tc>
        <w:tc>
          <w:tcPr>
            <w:tcW w:w="1624" w:type="dxa"/>
            <w:tcMar>
              <w:top w:w="15" w:type="dxa"/>
              <w:left w:w="15" w:type="dxa"/>
              <w:right w:w="15" w:type="dxa"/>
            </w:tcMar>
          </w:tcPr>
          <w:p w14:paraId="1D575988">
            <w:pPr>
              <w:widowControl/>
              <w:spacing w:line="360" w:lineRule="exact"/>
              <w:ind w:firstLine="0" w:firstLineChars="0"/>
              <w:jc w:val="center"/>
              <w:textAlignment w:val="top"/>
              <w:rPr>
                <w:bCs/>
                <w:color w:val="auto"/>
                <w:sz w:val="18"/>
                <w:szCs w:val="18"/>
              </w:rPr>
            </w:pPr>
            <w:r>
              <w:rPr>
                <w:bCs/>
                <w:color w:val="auto"/>
                <w:sz w:val="18"/>
                <w:szCs w:val="18"/>
                <w:lang w:bidi="ar"/>
              </w:rPr>
              <w:t>2019年1月</w:t>
            </w:r>
          </w:p>
        </w:tc>
        <w:tc>
          <w:tcPr>
            <w:tcW w:w="1701" w:type="dxa"/>
            <w:tcMar>
              <w:top w:w="15" w:type="dxa"/>
              <w:left w:w="15" w:type="dxa"/>
              <w:right w:w="15" w:type="dxa"/>
            </w:tcMar>
          </w:tcPr>
          <w:p w14:paraId="60933A51">
            <w:pPr>
              <w:widowControl/>
              <w:spacing w:line="360" w:lineRule="exact"/>
              <w:ind w:firstLine="0" w:firstLineChars="0"/>
              <w:jc w:val="center"/>
              <w:textAlignment w:val="top"/>
              <w:rPr>
                <w:bCs/>
                <w:color w:val="auto"/>
                <w:sz w:val="18"/>
                <w:szCs w:val="18"/>
              </w:rPr>
            </w:pPr>
            <w:r>
              <w:rPr>
                <w:bCs/>
                <w:color w:val="auto"/>
                <w:sz w:val="18"/>
                <w:szCs w:val="18"/>
                <w:lang w:bidi="ar"/>
              </w:rPr>
              <w:t>2019年7月</w:t>
            </w:r>
          </w:p>
        </w:tc>
        <w:tc>
          <w:tcPr>
            <w:tcW w:w="1842" w:type="dxa"/>
            <w:tcMar>
              <w:top w:w="15" w:type="dxa"/>
              <w:left w:w="15" w:type="dxa"/>
              <w:right w:w="15" w:type="dxa"/>
            </w:tcMar>
            <w:vAlign w:val="center"/>
          </w:tcPr>
          <w:p w14:paraId="72D75F88">
            <w:pPr>
              <w:widowControl/>
              <w:spacing w:line="360" w:lineRule="exact"/>
              <w:ind w:firstLine="0" w:firstLineChars="0"/>
              <w:jc w:val="center"/>
              <w:textAlignment w:val="center"/>
              <w:rPr>
                <w:bCs/>
                <w:color w:val="auto"/>
                <w:sz w:val="18"/>
                <w:szCs w:val="18"/>
              </w:rPr>
            </w:pPr>
            <w:r>
              <w:rPr>
                <w:bCs/>
                <w:color w:val="auto"/>
                <w:sz w:val="18"/>
                <w:szCs w:val="18"/>
                <w:lang w:bidi="ar"/>
              </w:rPr>
              <w:t>2019年10月</w:t>
            </w:r>
          </w:p>
        </w:tc>
        <w:tc>
          <w:tcPr>
            <w:tcW w:w="2835" w:type="dxa"/>
            <w:vMerge w:val="continue"/>
            <w:tcMar>
              <w:top w:w="15" w:type="dxa"/>
              <w:left w:w="15" w:type="dxa"/>
              <w:right w:w="15" w:type="dxa"/>
            </w:tcMar>
            <w:vAlign w:val="center"/>
          </w:tcPr>
          <w:p w14:paraId="74980335">
            <w:pPr>
              <w:spacing w:line="360" w:lineRule="exact"/>
              <w:ind w:firstLine="0" w:firstLineChars="0"/>
              <w:jc w:val="center"/>
              <w:rPr>
                <w:color w:val="auto"/>
                <w:sz w:val="18"/>
                <w:szCs w:val="18"/>
              </w:rPr>
            </w:pPr>
          </w:p>
        </w:tc>
        <w:tc>
          <w:tcPr>
            <w:tcW w:w="2904" w:type="dxa"/>
            <w:vMerge w:val="continue"/>
            <w:tcMar>
              <w:top w:w="15" w:type="dxa"/>
              <w:left w:w="15" w:type="dxa"/>
              <w:right w:w="15" w:type="dxa"/>
            </w:tcMar>
            <w:vAlign w:val="center"/>
          </w:tcPr>
          <w:p w14:paraId="54F529DA">
            <w:pPr>
              <w:spacing w:line="360" w:lineRule="exact"/>
              <w:ind w:firstLine="0" w:firstLineChars="0"/>
              <w:jc w:val="center"/>
              <w:rPr>
                <w:color w:val="auto"/>
                <w:sz w:val="18"/>
                <w:szCs w:val="18"/>
              </w:rPr>
            </w:pPr>
          </w:p>
        </w:tc>
      </w:tr>
      <w:tr w14:paraId="7983A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1DB1A326">
            <w:pPr>
              <w:widowControl/>
              <w:spacing w:line="360" w:lineRule="exact"/>
              <w:ind w:firstLine="0" w:firstLineChars="0"/>
              <w:jc w:val="center"/>
              <w:textAlignment w:val="center"/>
              <w:rPr>
                <w:color w:val="auto"/>
                <w:sz w:val="18"/>
                <w:szCs w:val="18"/>
              </w:rPr>
            </w:pPr>
            <w:r>
              <w:rPr>
                <w:color w:val="auto"/>
                <w:sz w:val="18"/>
                <w:szCs w:val="18"/>
                <w:lang w:bidi="ar"/>
              </w:rPr>
              <w:t>1</w:t>
            </w:r>
          </w:p>
        </w:tc>
        <w:tc>
          <w:tcPr>
            <w:tcW w:w="2360" w:type="dxa"/>
            <w:tcMar>
              <w:top w:w="15" w:type="dxa"/>
              <w:left w:w="15" w:type="dxa"/>
              <w:right w:w="15" w:type="dxa"/>
            </w:tcMar>
            <w:vAlign w:val="center"/>
          </w:tcPr>
          <w:p w14:paraId="782D26FC">
            <w:pPr>
              <w:widowControl/>
              <w:spacing w:line="360" w:lineRule="exact"/>
              <w:ind w:firstLine="0" w:firstLineChars="0"/>
              <w:jc w:val="center"/>
              <w:textAlignment w:val="center"/>
              <w:rPr>
                <w:color w:val="auto"/>
                <w:sz w:val="18"/>
                <w:szCs w:val="18"/>
              </w:rPr>
            </w:pPr>
            <w:r>
              <w:rPr>
                <w:color w:val="auto"/>
                <w:sz w:val="18"/>
                <w:szCs w:val="18"/>
                <w:lang w:bidi="ar"/>
              </w:rPr>
              <w:t>水温（℃）</w:t>
            </w:r>
          </w:p>
        </w:tc>
        <w:tc>
          <w:tcPr>
            <w:tcW w:w="1624" w:type="dxa"/>
            <w:tcMar>
              <w:top w:w="15" w:type="dxa"/>
              <w:left w:w="15" w:type="dxa"/>
              <w:right w:w="15" w:type="dxa"/>
            </w:tcMar>
            <w:vAlign w:val="center"/>
          </w:tcPr>
          <w:p w14:paraId="00F82AD2">
            <w:pPr>
              <w:widowControl/>
              <w:spacing w:line="360" w:lineRule="exact"/>
              <w:ind w:firstLine="0" w:firstLineChars="0"/>
              <w:jc w:val="center"/>
              <w:textAlignment w:val="center"/>
              <w:rPr>
                <w:color w:val="auto"/>
                <w:sz w:val="18"/>
                <w:szCs w:val="18"/>
              </w:rPr>
            </w:pPr>
            <w:r>
              <w:rPr>
                <w:color w:val="auto"/>
                <w:sz w:val="18"/>
                <w:szCs w:val="18"/>
                <w:lang w:bidi="ar"/>
              </w:rPr>
              <w:t>14.5</w:t>
            </w:r>
          </w:p>
        </w:tc>
        <w:tc>
          <w:tcPr>
            <w:tcW w:w="1701" w:type="dxa"/>
            <w:tcMar>
              <w:top w:w="15" w:type="dxa"/>
              <w:left w:w="15" w:type="dxa"/>
              <w:right w:w="15" w:type="dxa"/>
            </w:tcMar>
            <w:vAlign w:val="center"/>
          </w:tcPr>
          <w:p w14:paraId="49B13DC2">
            <w:pPr>
              <w:widowControl/>
              <w:spacing w:line="360" w:lineRule="exact"/>
              <w:ind w:firstLine="0" w:firstLineChars="0"/>
              <w:jc w:val="center"/>
              <w:textAlignment w:val="center"/>
              <w:rPr>
                <w:color w:val="auto"/>
                <w:sz w:val="18"/>
                <w:szCs w:val="18"/>
              </w:rPr>
            </w:pPr>
            <w:r>
              <w:rPr>
                <w:color w:val="auto"/>
                <w:sz w:val="18"/>
                <w:szCs w:val="18"/>
                <w:lang w:bidi="ar"/>
              </w:rPr>
              <w:t>25.5</w:t>
            </w:r>
          </w:p>
        </w:tc>
        <w:tc>
          <w:tcPr>
            <w:tcW w:w="1842" w:type="dxa"/>
            <w:tcMar>
              <w:top w:w="15" w:type="dxa"/>
              <w:left w:w="15" w:type="dxa"/>
              <w:right w:w="15" w:type="dxa"/>
            </w:tcMar>
            <w:vAlign w:val="center"/>
          </w:tcPr>
          <w:p w14:paraId="381F6230">
            <w:pPr>
              <w:widowControl/>
              <w:spacing w:line="360" w:lineRule="exact"/>
              <w:ind w:firstLine="0" w:firstLineChars="0"/>
              <w:jc w:val="center"/>
              <w:textAlignment w:val="center"/>
              <w:rPr>
                <w:color w:val="auto"/>
                <w:sz w:val="18"/>
                <w:szCs w:val="18"/>
              </w:rPr>
            </w:pPr>
            <w:r>
              <w:rPr>
                <w:color w:val="auto"/>
                <w:sz w:val="18"/>
                <w:szCs w:val="18"/>
                <w:lang w:bidi="ar"/>
              </w:rPr>
              <w:t>22.8</w:t>
            </w:r>
          </w:p>
        </w:tc>
        <w:tc>
          <w:tcPr>
            <w:tcW w:w="5739" w:type="dxa"/>
            <w:gridSpan w:val="2"/>
            <w:tcMar>
              <w:top w:w="15" w:type="dxa"/>
              <w:left w:w="15" w:type="dxa"/>
              <w:right w:w="15" w:type="dxa"/>
            </w:tcMar>
            <w:vAlign w:val="center"/>
          </w:tcPr>
          <w:p w14:paraId="42FE33EE">
            <w:pPr>
              <w:widowControl/>
              <w:spacing w:line="360" w:lineRule="exact"/>
              <w:ind w:firstLine="0" w:firstLineChars="0"/>
              <w:jc w:val="center"/>
              <w:textAlignment w:val="center"/>
              <w:rPr>
                <w:color w:val="auto"/>
                <w:sz w:val="18"/>
                <w:szCs w:val="18"/>
              </w:rPr>
            </w:pPr>
            <w:r>
              <w:rPr>
                <w:color w:val="auto"/>
                <w:sz w:val="18"/>
                <w:szCs w:val="18"/>
                <w:lang w:bidi="ar"/>
              </w:rPr>
              <w:t>人为造成的环境水温变化应限制在：</w:t>
            </w:r>
            <w:r>
              <w:rPr>
                <w:color w:val="auto"/>
                <w:sz w:val="18"/>
                <w:szCs w:val="18"/>
                <w:lang w:bidi="ar"/>
              </w:rPr>
              <w:br w:type="textWrapping"/>
            </w:r>
            <w:r>
              <w:rPr>
                <w:color w:val="auto"/>
                <w:sz w:val="18"/>
                <w:szCs w:val="18"/>
                <w:lang w:bidi="ar"/>
              </w:rPr>
              <w:t>周平均最大温升≤1</w:t>
            </w:r>
            <w:r>
              <w:rPr>
                <w:color w:val="auto"/>
                <w:sz w:val="18"/>
                <w:szCs w:val="18"/>
                <w:lang w:bidi="ar"/>
              </w:rPr>
              <w:br w:type="textWrapping"/>
            </w:r>
            <w:r>
              <w:rPr>
                <w:color w:val="auto"/>
                <w:sz w:val="18"/>
                <w:szCs w:val="18"/>
                <w:lang w:bidi="ar"/>
              </w:rPr>
              <w:t>周平均最大温降≤2</w:t>
            </w:r>
          </w:p>
        </w:tc>
      </w:tr>
      <w:tr w14:paraId="46546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2D602A74">
            <w:pPr>
              <w:widowControl/>
              <w:spacing w:line="360" w:lineRule="exact"/>
              <w:ind w:firstLine="0" w:firstLineChars="0"/>
              <w:jc w:val="center"/>
              <w:textAlignment w:val="center"/>
              <w:rPr>
                <w:color w:val="auto"/>
                <w:sz w:val="18"/>
                <w:szCs w:val="18"/>
              </w:rPr>
            </w:pPr>
            <w:r>
              <w:rPr>
                <w:color w:val="auto"/>
                <w:sz w:val="18"/>
                <w:szCs w:val="18"/>
                <w:lang w:bidi="ar"/>
              </w:rPr>
              <w:t>2</w:t>
            </w:r>
          </w:p>
        </w:tc>
        <w:tc>
          <w:tcPr>
            <w:tcW w:w="2360" w:type="dxa"/>
            <w:tcMar>
              <w:top w:w="15" w:type="dxa"/>
              <w:left w:w="15" w:type="dxa"/>
              <w:right w:w="15" w:type="dxa"/>
            </w:tcMar>
            <w:vAlign w:val="center"/>
          </w:tcPr>
          <w:p w14:paraId="26FC985E">
            <w:pPr>
              <w:widowControl/>
              <w:spacing w:line="360" w:lineRule="exact"/>
              <w:ind w:firstLine="0" w:firstLineChars="0"/>
              <w:jc w:val="center"/>
              <w:textAlignment w:val="center"/>
              <w:rPr>
                <w:color w:val="auto"/>
                <w:sz w:val="18"/>
                <w:szCs w:val="18"/>
              </w:rPr>
            </w:pPr>
            <w:r>
              <w:rPr>
                <w:color w:val="auto"/>
                <w:sz w:val="18"/>
                <w:szCs w:val="18"/>
                <w:lang w:bidi="ar"/>
              </w:rPr>
              <w:t>pH</w:t>
            </w:r>
          </w:p>
        </w:tc>
        <w:tc>
          <w:tcPr>
            <w:tcW w:w="1624" w:type="dxa"/>
            <w:tcMar>
              <w:top w:w="15" w:type="dxa"/>
              <w:left w:w="15" w:type="dxa"/>
              <w:right w:w="15" w:type="dxa"/>
            </w:tcMar>
            <w:vAlign w:val="center"/>
          </w:tcPr>
          <w:p w14:paraId="78AB74FF">
            <w:pPr>
              <w:widowControl/>
              <w:spacing w:line="360" w:lineRule="exact"/>
              <w:ind w:firstLine="0" w:firstLineChars="0"/>
              <w:jc w:val="center"/>
              <w:textAlignment w:val="center"/>
              <w:rPr>
                <w:color w:val="auto"/>
                <w:sz w:val="18"/>
                <w:szCs w:val="18"/>
              </w:rPr>
            </w:pPr>
            <w:r>
              <w:rPr>
                <w:color w:val="auto"/>
                <w:sz w:val="18"/>
                <w:szCs w:val="18"/>
                <w:lang w:bidi="ar"/>
              </w:rPr>
              <w:t>8.21</w:t>
            </w:r>
          </w:p>
        </w:tc>
        <w:tc>
          <w:tcPr>
            <w:tcW w:w="1701" w:type="dxa"/>
            <w:tcMar>
              <w:top w:w="15" w:type="dxa"/>
              <w:left w:w="15" w:type="dxa"/>
              <w:right w:w="15" w:type="dxa"/>
            </w:tcMar>
            <w:vAlign w:val="center"/>
          </w:tcPr>
          <w:p w14:paraId="0C9B8DB6">
            <w:pPr>
              <w:widowControl/>
              <w:spacing w:line="360" w:lineRule="exact"/>
              <w:ind w:firstLine="0" w:firstLineChars="0"/>
              <w:jc w:val="center"/>
              <w:textAlignment w:val="center"/>
              <w:rPr>
                <w:color w:val="auto"/>
                <w:sz w:val="18"/>
                <w:szCs w:val="18"/>
              </w:rPr>
            </w:pPr>
            <w:r>
              <w:rPr>
                <w:color w:val="auto"/>
                <w:sz w:val="18"/>
                <w:szCs w:val="18"/>
                <w:lang w:bidi="ar"/>
              </w:rPr>
              <w:t>7.88</w:t>
            </w:r>
          </w:p>
        </w:tc>
        <w:tc>
          <w:tcPr>
            <w:tcW w:w="1842" w:type="dxa"/>
            <w:tcMar>
              <w:top w:w="15" w:type="dxa"/>
              <w:left w:w="15" w:type="dxa"/>
              <w:right w:w="15" w:type="dxa"/>
            </w:tcMar>
            <w:vAlign w:val="center"/>
          </w:tcPr>
          <w:p w14:paraId="70497C2E">
            <w:pPr>
              <w:widowControl/>
              <w:spacing w:line="360" w:lineRule="exact"/>
              <w:ind w:firstLine="0" w:firstLineChars="0"/>
              <w:jc w:val="center"/>
              <w:textAlignment w:val="center"/>
              <w:rPr>
                <w:color w:val="auto"/>
                <w:sz w:val="18"/>
                <w:szCs w:val="18"/>
              </w:rPr>
            </w:pPr>
            <w:r>
              <w:rPr>
                <w:color w:val="auto"/>
                <w:sz w:val="18"/>
                <w:szCs w:val="18"/>
                <w:lang w:bidi="ar"/>
              </w:rPr>
              <w:t>8.06</w:t>
            </w:r>
          </w:p>
        </w:tc>
        <w:tc>
          <w:tcPr>
            <w:tcW w:w="5739" w:type="dxa"/>
            <w:gridSpan w:val="2"/>
            <w:tcMar>
              <w:top w:w="15" w:type="dxa"/>
              <w:left w:w="15" w:type="dxa"/>
              <w:right w:w="15" w:type="dxa"/>
            </w:tcMar>
            <w:vAlign w:val="center"/>
          </w:tcPr>
          <w:p w14:paraId="435DD605">
            <w:pPr>
              <w:widowControl/>
              <w:spacing w:line="360" w:lineRule="exact"/>
              <w:ind w:firstLine="0" w:firstLineChars="0"/>
              <w:jc w:val="center"/>
              <w:textAlignment w:val="center"/>
              <w:rPr>
                <w:color w:val="auto"/>
                <w:sz w:val="18"/>
                <w:szCs w:val="18"/>
              </w:rPr>
            </w:pPr>
            <w:r>
              <w:rPr>
                <w:color w:val="auto"/>
                <w:sz w:val="18"/>
                <w:szCs w:val="18"/>
                <w:lang w:bidi="ar"/>
              </w:rPr>
              <w:t>6~9</w:t>
            </w:r>
          </w:p>
        </w:tc>
      </w:tr>
      <w:tr w14:paraId="653C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3BFC7141">
            <w:pPr>
              <w:widowControl/>
              <w:spacing w:line="360" w:lineRule="exact"/>
              <w:ind w:firstLine="0" w:firstLineChars="0"/>
              <w:jc w:val="center"/>
              <w:textAlignment w:val="center"/>
              <w:rPr>
                <w:color w:val="auto"/>
                <w:sz w:val="18"/>
                <w:szCs w:val="18"/>
              </w:rPr>
            </w:pPr>
            <w:r>
              <w:rPr>
                <w:color w:val="auto"/>
                <w:sz w:val="18"/>
                <w:szCs w:val="18"/>
                <w:lang w:bidi="ar"/>
              </w:rPr>
              <w:t>3</w:t>
            </w:r>
          </w:p>
        </w:tc>
        <w:tc>
          <w:tcPr>
            <w:tcW w:w="2360" w:type="dxa"/>
            <w:tcMar>
              <w:top w:w="15" w:type="dxa"/>
              <w:left w:w="15" w:type="dxa"/>
              <w:right w:w="15" w:type="dxa"/>
            </w:tcMar>
            <w:vAlign w:val="center"/>
          </w:tcPr>
          <w:p w14:paraId="3731916A">
            <w:pPr>
              <w:widowControl/>
              <w:spacing w:line="360" w:lineRule="exact"/>
              <w:ind w:firstLine="0" w:firstLineChars="0"/>
              <w:jc w:val="center"/>
              <w:textAlignment w:val="center"/>
              <w:rPr>
                <w:color w:val="auto"/>
                <w:sz w:val="18"/>
                <w:szCs w:val="18"/>
              </w:rPr>
            </w:pPr>
            <w:r>
              <w:rPr>
                <w:color w:val="auto"/>
                <w:sz w:val="18"/>
                <w:szCs w:val="18"/>
                <w:lang w:bidi="ar"/>
              </w:rPr>
              <w:t>高锰酸钾指数（mg/L）</w:t>
            </w:r>
          </w:p>
        </w:tc>
        <w:tc>
          <w:tcPr>
            <w:tcW w:w="1624" w:type="dxa"/>
            <w:tcMar>
              <w:top w:w="15" w:type="dxa"/>
              <w:left w:w="15" w:type="dxa"/>
              <w:right w:w="15" w:type="dxa"/>
            </w:tcMar>
            <w:vAlign w:val="center"/>
          </w:tcPr>
          <w:p w14:paraId="74AC9FCD">
            <w:pPr>
              <w:widowControl/>
              <w:spacing w:line="360" w:lineRule="exact"/>
              <w:ind w:firstLine="0" w:firstLineChars="0"/>
              <w:jc w:val="center"/>
              <w:textAlignment w:val="center"/>
              <w:rPr>
                <w:color w:val="auto"/>
                <w:sz w:val="18"/>
                <w:szCs w:val="18"/>
              </w:rPr>
            </w:pPr>
            <w:r>
              <w:rPr>
                <w:color w:val="auto"/>
                <w:sz w:val="18"/>
                <w:szCs w:val="18"/>
                <w:lang w:bidi="ar"/>
              </w:rPr>
              <w:t>1.55</w:t>
            </w:r>
          </w:p>
        </w:tc>
        <w:tc>
          <w:tcPr>
            <w:tcW w:w="1701" w:type="dxa"/>
            <w:tcMar>
              <w:top w:w="15" w:type="dxa"/>
              <w:left w:w="15" w:type="dxa"/>
              <w:right w:w="15" w:type="dxa"/>
            </w:tcMar>
            <w:vAlign w:val="center"/>
          </w:tcPr>
          <w:p w14:paraId="41D5CC45">
            <w:pPr>
              <w:widowControl/>
              <w:spacing w:line="360" w:lineRule="exact"/>
              <w:ind w:firstLine="0" w:firstLineChars="0"/>
              <w:jc w:val="center"/>
              <w:textAlignment w:val="center"/>
              <w:rPr>
                <w:color w:val="auto"/>
                <w:sz w:val="18"/>
                <w:szCs w:val="18"/>
              </w:rPr>
            </w:pPr>
            <w:r>
              <w:rPr>
                <w:color w:val="auto"/>
                <w:sz w:val="18"/>
                <w:szCs w:val="18"/>
                <w:lang w:bidi="ar"/>
              </w:rPr>
              <w:t>1.86</w:t>
            </w:r>
          </w:p>
        </w:tc>
        <w:tc>
          <w:tcPr>
            <w:tcW w:w="1842" w:type="dxa"/>
            <w:tcMar>
              <w:top w:w="15" w:type="dxa"/>
              <w:left w:w="15" w:type="dxa"/>
              <w:right w:w="15" w:type="dxa"/>
            </w:tcMar>
            <w:vAlign w:val="center"/>
          </w:tcPr>
          <w:p w14:paraId="4EB71019">
            <w:pPr>
              <w:widowControl/>
              <w:spacing w:line="360" w:lineRule="exact"/>
              <w:ind w:firstLine="0" w:firstLineChars="0"/>
              <w:jc w:val="center"/>
              <w:textAlignment w:val="center"/>
              <w:rPr>
                <w:color w:val="auto"/>
                <w:sz w:val="18"/>
                <w:szCs w:val="18"/>
              </w:rPr>
            </w:pPr>
            <w:r>
              <w:rPr>
                <w:color w:val="auto"/>
                <w:sz w:val="18"/>
                <w:szCs w:val="18"/>
                <w:lang w:bidi="ar"/>
              </w:rPr>
              <w:t>1.49</w:t>
            </w:r>
          </w:p>
        </w:tc>
        <w:tc>
          <w:tcPr>
            <w:tcW w:w="2835" w:type="dxa"/>
            <w:tcMar>
              <w:top w:w="15" w:type="dxa"/>
              <w:left w:w="15" w:type="dxa"/>
              <w:right w:w="15" w:type="dxa"/>
            </w:tcMar>
            <w:vAlign w:val="center"/>
          </w:tcPr>
          <w:p w14:paraId="7F9BDE0C">
            <w:pPr>
              <w:widowControl/>
              <w:spacing w:line="360" w:lineRule="exact"/>
              <w:ind w:firstLine="0" w:firstLineChars="0"/>
              <w:jc w:val="center"/>
              <w:textAlignment w:val="center"/>
              <w:rPr>
                <w:color w:val="auto"/>
                <w:sz w:val="18"/>
                <w:szCs w:val="18"/>
              </w:rPr>
            </w:pPr>
            <w:r>
              <w:rPr>
                <w:color w:val="auto"/>
                <w:sz w:val="18"/>
                <w:szCs w:val="18"/>
                <w:lang w:bidi="ar"/>
              </w:rPr>
              <w:t>≤4mg/L</w:t>
            </w:r>
          </w:p>
        </w:tc>
        <w:tc>
          <w:tcPr>
            <w:tcW w:w="2904" w:type="dxa"/>
            <w:tcMar>
              <w:top w:w="15" w:type="dxa"/>
              <w:left w:w="15" w:type="dxa"/>
              <w:right w:w="15" w:type="dxa"/>
            </w:tcMar>
            <w:vAlign w:val="center"/>
          </w:tcPr>
          <w:p w14:paraId="05069F79">
            <w:pPr>
              <w:widowControl/>
              <w:spacing w:line="360" w:lineRule="exact"/>
              <w:ind w:firstLine="0" w:firstLineChars="0"/>
              <w:jc w:val="center"/>
              <w:textAlignment w:val="center"/>
              <w:rPr>
                <w:color w:val="auto"/>
                <w:sz w:val="18"/>
                <w:szCs w:val="18"/>
              </w:rPr>
            </w:pPr>
            <w:r>
              <w:rPr>
                <w:color w:val="auto"/>
                <w:sz w:val="18"/>
                <w:szCs w:val="18"/>
                <w:lang w:bidi="ar"/>
              </w:rPr>
              <w:t>≤6mg/L</w:t>
            </w:r>
          </w:p>
        </w:tc>
      </w:tr>
      <w:tr w14:paraId="60005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004BCFBB">
            <w:pPr>
              <w:widowControl/>
              <w:spacing w:line="360" w:lineRule="exact"/>
              <w:ind w:firstLine="0" w:firstLineChars="0"/>
              <w:jc w:val="center"/>
              <w:textAlignment w:val="center"/>
              <w:rPr>
                <w:color w:val="auto"/>
                <w:sz w:val="18"/>
                <w:szCs w:val="18"/>
              </w:rPr>
            </w:pPr>
            <w:r>
              <w:rPr>
                <w:color w:val="auto"/>
                <w:sz w:val="18"/>
                <w:szCs w:val="18"/>
                <w:lang w:bidi="ar"/>
              </w:rPr>
              <w:t>4</w:t>
            </w:r>
          </w:p>
        </w:tc>
        <w:tc>
          <w:tcPr>
            <w:tcW w:w="2360" w:type="dxa"/>
            <w:tcMar>
              <w:top w:w="15" w:type="dxa"/>
              <w:left w:w="15" w:type="dxa"/>
              <w:right w:w="15" w:type="dxa"/>
            </w:tcMar>
            <w:vAlign w:val="center"/>
          </w:tcPr>
          <w:p w14:paraId="4F51C41B">
            <w:pPr>
              <w:widowControl/>
              <w:spacing w:line="360" w:lineRule="exact"/>
              <w:ind w:firstLine="0" w:firstLineChars="0"/>
              <w:jc w:val="center"/>
              <w:textAlignment w:val="center"/>
              <w:rPr>
                <w:color w:val="auto"/>
                <w:sz w:val="18"/>
                <w:szCs w:val="18"/>
              </w:rPr>
            </w:pPr>
            <w:r>
              <w:rPr>
                <w:color w:val="auto"/>
                <w:sz w:val="18"/>
                <w:szCs w:val="18"/>
                <w:lang w:bidi="ar"/>
              </w:rPr>
              <w:t>溶解氧（mg/L）</w:t>
            </w:r>
          </w:p>
        </w:tc>
        <w:tc>
          <w:tcPr>
            <w:tcW w:w="1624" w:type="dxa"/>
            <w:tcMar>
              <w:top w:w="15" w:type="dxa"/>
              <w:left w:w="15" w:type="dxa"/>
              <w:right w:w="15" w:type="dxa"/>
            </w:tcMar>
            <w:vAlign w:val="center"/>
          </w:tcPr>
          <w:p w14:paraId="132354CC">
            <w:pPr>
              <w:widowControl/>
              <w:spacing w:line="360" w:lineRule="exact"/>
              <w:ind w:firstLine="0" w:firstLineChars="0"/>
              <w:jc w:val="center"/>
              <w:textAlignment w:val="center"/>
              <w:rPr>
                <w:color w:val="auto"/>
                <w:sz w:val="18"/>
                <w:szCs w:val="18"/>
              </w:rPr>
            </w:pPr>
            <w:r>
              <w:rPr>
                <w:color w:val="auto"/>
                <w:sz w:val="18"/>
                <w:szCs w:val="18"/>
                <w:lang w:bidi="ar"/>
              </w:rPr>
              <w:t>9.75</w:t>
            </w:r>
          </w:p>
        </w:tc>
        <w:tc>
          <w:tcPr>
            <w:tcW w:w="1701" w:type="dxa"/>
            <w:tcMar>
              <w:top w:w="15" w:type="dxa"/>
              <w:left w:w="15" w:type="dxa"/>
              <w:right w:w="15" w:type="dxa"/>
            </w:tcMar>
            <w:vAlign w:val="center"/>
          </w:tcPr>
          <w:p w14:paraId="7384D105">
            <w:pPr>
              <w:widowControl/>
              <w:spacing w:line="360" w:lineRule="exact"/>
              <w:ind w:firstLine="0" w:firstLineChars="0"/>
              <w:jc w:val="center"/>
              <w:textAlignment w:val="center"/>
              <w:rPr>
                <w:color w:val="auto"/>
                <w:sz w:val="18"/>
                <w:szCs w:val="18"/>
              </w:rPr>
            </w:pPr>
            <w:r>
              <w:rPr>
                <w:color w:val="auto"/>
                <w:sz w:val="18"/>
                <w:szCs w:val="18"/>
                <w:lang w:bidi="ar"/>
              </w:rPr>
              <w:t>7.88</w:t>
            </w:r>
          </w:p>
        </w:tc>
        <w:tc>
          <w:tcPr>
            <w:tcW w:w="1842" w:type="dxa"/>
            <w:tcMar>
              <w:top w:w="15" w:type="dxa"/>
              <w:left w:w="15" w:type="dxa"/>
              <w:right w:w="15" w:type="dxa"/>
            </w:tcMar>
            <w:vAlign w:val="center"/>
          </w:tcPr>
          <w:p w14:paraId="067BCEFF">
            <w:pPr>
              <w:widowControl/>
              <w:spacing w:line="360" w:lineRule="exact"/>
              <w:ind w:firstLine="0" w:firstLineChars="0"/>
              <w:jc w:val="center"/>
              <w:textAlignment w:val="center"/>
              <w:rPr>
                <w:color w:val="auto"/>
                <w:sz w:val="18"/>
                <w:szCs w:val="18"/>
              </w:rPr>
            </w:pPr>
            <w:r>
              <w:rPr>
                <w:color w:val="auto"/>
                <w:sz w:val="18"/>
                <w:szCs w:val="18"/>
                <w:lang w:bidi="ar"/>
              </w:rPr>
              <w:t>8.23</w:t>
            </w:r>
          </w:p>
        </w:tc>
        <w:tc>
          <w:tcPr>
            <w:tcW w:w="2835" w:type="dxa"/>
            <w:tcMar>
              <w:top w:w="15" w:type="dxa"/>
              <w:left w:w="15" w:type="dxa"/>
              <w:right w:w="15" w:type="dxa"/>
            </w:tcMar>
            <w:vAlign w:val="center"/>
          </w:tcPr>
          <w:p w14:paraId="41BDA4CB">
            <w:pPr>
              <w:widowControl/>
              <w:spacing w:line="360" w:lineRule="exact"/>
              <w:ind w:firstLine="0" w:firstLineChars="0"/>
              <w:jc w:val="center"/>
              <w:textAlignment w:val="center"/>
              <w:rPr>
                <w:color w:val="auto"/>
                <w:sz w:val="18"/>
                <w:szCs w:val="18"/>
              </w:rPr>
            </w:pPr>
            <w:r>
              <w:rPr>
                <w:color w:val="auto"/>
                <w:sz w:val="18"/>
                <w:szCs w:val="18"/>
                <w:lang w:bidi="ar"/>
              </w:rPr>
              <w:t>≥6mg/L</w:t>
            </w:r>
          </w:p>
        </w:tc>
        <w:tc>
          <w:tcPr>
            <w:tcW w:w="2904" w:type="dxa"/>
            <w:tcMar>
              <w:top w:w="15" w:type="dxa"/>
              <w:left w:w="15" w:type="dxa"/>
              <w:right w:w="15" w:type="dxa"/>
            </w:tcMar>
            <w:vAlign w:val="center"/>
          </w:tcPr>
          <w:p w14:paraId="37E3A83A">
            <w:pPr>
              <w:widowControl/>
              <w:spacing w:line="360" w:lineRule="exact"/>
              <w:ind w:firstLine="0" w:firstLineChars="0"/>
              <w:jc w:val="center"/>
              <w:textAlignment w:val="center"/>
              <w:rPr>
                <w:color w:val="auto"/>
                <w:sz w:val="18"/>
                <w:szCs w:val="18"/>
              </w:rPr>
            </w:pPr>
            <w:r>
              <w:rPr>
                <w:color w:val="auto"/>
                <w:sz w:val="18"/>
                <w:szCs w:val="18"/>
                <w:lang w:bidi="ar"/>
              </w:rPr>
              <w:t>≥5mg/L</w:t>
            </w:r>
          </w:p>
        </w:tc>
      </w:tr>
      <w:tr w14:paraId="525A9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20F03EEA">
            <w:pPr>
              <w:widowControl/>
              <w:spacing w:line="360" w:lineRule="exact"/>
              <w:ind w:firstLine="0" w:firstLineChars="0"/>
              <w:jc w:val="center"/>
              <w:textAlignment w:val="center"/>
              <w:rPr>
                <w:color w:val="auto"/>
                <w:sz w:val="18"/>
                <w:szCs w:val="18"/>
              </w:rPr>
            </w:pPr>
            <w:r>
              <w:rPr>
                <w:color w:val="auto"/>
                <w:sz w:val="18"/>
                <w:szCs w:val="18"/>
                <w:lang w:bidi="ar"/>
              </w:rPr>
              <w:t>5</w:t>
            </w:r>
          </w:p>
        </w:tc>
        <w:tc>
          <w:tcPr>
            <w:tcW w:w="2360" w:type="dxa"/>
            <w:tcMar>
              <w:top w:w="15" w:type="dxa"/>
              <w:left w:w="15" w:type="dxa"/>
              <w:right w:w="15" w:type="dxa"/>
            </w:tcMar>
            <w:vAlign w:val="center"/>
          </w:tcPr>
          <w:p w14:paraId="2AC2E8DF">
            <w:pPr>
              <w:widowControl/>
              <w:spacing w:line="360" w:lineRule="exact"/>
              <w:ind w:firstLine="0" w:firstLineChars="0"/>
              <w:jc w:val="center"/>
              <w:textAlignment w:val="center"/>
              <w:rPr>
                <w:color w:val="auto"/>
                <w:sz w:val="18"/>
                <w:szCs w:val="18"/>
              </w:rPr>
            </w:pPr>
            <w:r>
              <w:rPr>
                <w:color w:val="auto"/>
                <w:sz w:val="18"/>
                <w:szCs w:val="18"/>
                <w:lang w:bidi="ar"/>
              </w:rPr>
              <w:t>化学需氧量（mg/L）</w:t>
            </w:r>
          </w:p>
        </w:tc>
        <w:tc>
          <w:tcPr>
            <w:tcW w:w="1624" w:type="dxa"/>
            <w:tcMar>
              <w:top w:w="15" w:type="dxa"/>
              <w:left w:w="15" w:type="dxa"/>
              <w:right w:w="15" w:type="dxa"/>
            </w:tcMar>
            <w:vAlign w:val="center"/>
          </w:tcPr>
          <w:p w14:paraId="30F46194">
            <w:pPr>
              <w:widowControl/>
              <w:spacing w:line="360" w:lineRule="exact"/>
              <w:ind w:firstLine="0" w:firstLineChars="0"/>
              <w:jc w:val="center"/>
              <w:textAlignment w:val="center"/>
              <w:rPr>
                <w:color w:val="auto"/>
                <w:sz w:val="18"/>
                <w:szCs w:val="18"/>
              </w:rPr>
            </w:pPr>
            <w:r>
              <w:rPr>
                <w:color w:val="auto"/>
                <w:sz w:val="18"/>
                <w:szCs w:val="18"/>
                <w:lang w:bidi="ar"/>
              </w:rPr>
              <w:t>3.1</w:t>
            </w:r>
          </w:p>
        </w:tc>
        <w:tc>
          <w:tcPr>
            <w:tcW w:w="1701" w:type="dxa"/>
            <w:tcMar>
              <w:top w:w="15" w:type="dxa"/>
              <w:left w:w="15" w:type="dxa"/>
              <w:right w:w="15" w:type="dxa"/>
            </w:tcMar>
            <w:vAlign w:val="center"/>
          </w:tcPr>
          <w:p w14:paraId="4D5D1A6A">
            <w:pPr>
              <w:widowControl/>
              <w:spacing w:line="360" w:lineRule="exact"/>
              <w:ind w:firstLine="0" w:firstLineChars="0"/>
              <w:jc w:val="center"/>
              <w:textAlignment w:val="center"/>
              <w:rPr>
                <w:color w:val="auto"/>
                <w:sz w:val="18"/>
                <w:szCs w:val="18"/>
              </w:rPr>
            </w:pPr>
            <w:r>
              <w:rPr>
                <w:color w:val="auto"/>
                <w:sz w:val="18"/>
                <w:szCs w:val="18"/>
                <w:lang w:bidi="ar"/>
              </w:rPr>
              <w:t>2.3</w:t>
            </w:r>
          </w:p>
        </w:tc>
        <w:tc>
          <w:tcPr>
            <w:tcW w:w="1842" w:type="dxa"/>
            <w:tcMar>
              <w:top w:w="15" w:type="dxa"/>
              <w:left w:w="15" w:type="dxa"/>
              <w:right w:w="15" w:type="dxa"/>
            </w:tcMar>
            <w:vAlign w:val="center"/>
          </w:tcPr>
          <w:p w14:paraId="7A73B3D5">
            <w:pPr>
              <w:widowControl/>
              <w:spacing w:line="360" w:lineRule="exact"/>
              <w:ind w:firstLine="0" w:firstLineChars="0"/>
              <w:jc w:val="center"/>
              <w:textAlignment w:val="center"/>
              <w:rPr>
                <w:color w:val="auto"/>
                <w:sz w:val="18"/>
                <w:szCs w:val="18"/>
              </w:rPr>
            </w:pPr>
            <w:r>
              <w:rPr>
                <w:color w:val="auto"/>
                <w:sz w:val="18"/>
                <w:szCs w:val="18"/>
                <w:lang w:bidi="ar"/>
              </w:rPr>
              <w:t>5.5</w:t>
            </w:r>
          </w:p>
        </w:tc>
        <w:tc>
          <w:tcPr>
            <w:tcW w:w="2835" w:type="dxa"/>
            <w:tcMar>
              <w:top w:w="15" w:type="dxa"/>
              <w:left w:w="15" w:type="dxa"/>
              <w:right w:w="15" w:type="dxa"/>
            </w:tcMar>
            <w:vAlign w:val="center"/>
          </w:tcPr>
          <w:p w14:paraId="4A3FD702">
            <w:pPr>
              <w:widowControl/>
              <w:spacing w:line="360" w:lineRule="exact"/>
              <w:ind w:firstLine="0" w:firstLineChars="0"/>
              <w:jc w:val="center"/>
              <w:textAlignment w:val="center"/>
              <w:rPr>
                <w:color w:val="auto"/>
                <w:sz w:val="18"/>
                <w:szCs w:val="18"/>
              </w:rPr>
            </w:pPr>
            <w:r>
              <w:rPr>
                <w:color w:val="auto"/>
                <w:sz w:val="18"/>
                <w:szCs w:val="18"/>
                <w:lang w:bidi="ar"/>
              </w:rPr>
              <w:t>≤15mg/L</w:t>
            </w:r>
          </w:p>
        </w:tc>
        <w:tc>
          <w:tcPr>
            <w:tcW w:w="2904" w:type="dxa"/>
            <w:tcMar>
              <w:top w:w="15" w:type="dxa"/>
              <w:left w:w="15" w:type="dxa"/>
              <w:right w:w="15" w:type="dxa"/>
            </w:tcMar>
            <w:vAlign w:val="center"/>
          </w:tcPr>
          <w:p w14:paraId="6F85B272">
            <w:pPr>
              <w:widowControl/>
              <w:spacing w:line="360" w:lineRule="exact"/>
              <w:ind w:firstLine="0" w:firstLineChars="0"/>
              <w:jc w:val="center"/>
              <w:textAlignment w:val="center"/>
              <w:rPr>
                <w:color w:val="auto"/>
                <w:sz w:val="18"/>
                <w:szCs w:val="18"/>
              </w:rPr>
            </w:pPr>
            <w:r>
              <w:rPr>
                <w:color w:val="auto"/>
                <w:sz w:val="18"/>
                <w:szCs w:val="18"/>
                <w:lang w:bidi="ar"/>
              </w:rPr>
              <w:t>≤20mg/L</w:t>
            </w:r>
          </w:p>
        </w:tc>
      </w:tr>
      <w:tr w14:paraId="62450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3CD07D57">
            <w:pPr>
              <w:widowControl/>
              <w:spacing w:line="360" w:lineRule="exact"/>
              <w:ind w:firstLine="0" w:firstLineChars="0"/>
              <w:jc w:val="center"/>
              <w:textAlignment w:val="center"/>
              <w:rPr>
                <w:color w:val="auto"/>
                <w:sz w:val="18"/>
                <w:szCs w:val="18"/>
              </w:rPr>
            </w:pPr>
            <w:r>
              <w:rPr>
                <w:color w:val="auto"/>
                <w:sz w:val="18"/>
                <w:szCs w:val="18"/>
                <w:lang w:bidi="ar"/>
              </w:rPr>
              <w:t>6</w:t>
            </w:r>
          </w:p>
        </w:tc>
        <w:tc>
          <w:tcPr>
            <w:tcW w:w="2360" w:type="dxa"/>
            <w:tcMar>
              <w:top w:w="15" w:type="dxa"/>
              <w:left w:w="15" w:type="dxa"/>
              <w:right w:w="15" w:type="dxa"/>
            </w:tcMar>
            <w:vAlign w:val="center"/>
          </w:tcPr>
          <w:p w14:paraId="702675CB">
            <w:pPr>
              <w:widowControl/>
              <w:spacing w:line="360" w:lineRule="exact"/>
              <w:ind w:firstLine="0" w:firstLineChars="0"/>
              <w:jc w:val="center"/>
              <w:textAlignment w:val="center"/>
              <w:rPr>
                <w:color w:val="auto"/>
                <w:sz w:val="18"/>
                <w:szCs w:val="18"/>
              </w:rPr>
            </w:pPr>
            <w:r>
              <w:rPr>
                <w:color w:val="auto"/>
                <w:sz w:val="18"/>
                <w:szCs w:val="18"/>
                <w:lang w:bidi="ar"/>
              </w:rPr>
              <w:t>五日生化需氧量（mg/L）</w:t>
            </w:r>
          </w:p>
        </w:tc>
        <w:tc>
          <w:tcPr>
            <w:tcW w:w="1624" w:type="dxa"/>
            <w:tcMar>
              <w:top w:w="15" w:type="dxa"/>
              <w:left w:w="15" w:type="dxa"/>
              <w:right w:w="15" w:type="dxa"/>
            </w:tcMar>
            <w:vAlign w:val="center"/>
          </w:tcPr>
          <w:p w14:paraId="61566570">
            <w:pPr>
              <w:widowControl/>
              <w:spacing w:line="360" w:lineRule="exact"/>
              <w:ind w:firstLine="0" w:firstLineChars="0"/>
              <w:jc w:val="center"/>
              <w:textAlignment w:val="center"/>
              <w:rPr>
                <w:color w:val="auto"/>
                <w:sz w:val="18"/>
                <w:szCs w:val="18"/>
              </w:rPr>
            </w:pPr>
            <w:r>
              <w:rPr>
                <w:color w:val="auto"/>
                <w:sz w:val="18"/>
                <w:szCs w:val="18"/>
                <w:lang w:bidi="ar"/>
              </w:rPr>
              <w:t>＜2</w:t>
            </w:r>
          </w:p>
        </w:tc>
        <w:tc>
          <w:tcPr>
            <w:tcW w:w="1701" w:type="dxa"/>
            <w:tcMar>
              <w:top w:w="15" w:type="dxa"/>
              <w:left w:w="15" w:type="dxa"/>
              <w:right w:w="15" w:type="dxa"/>
            </w:tcMar>
            <w:vAlign w:val="center"/>
          </w:tcPr>
          <w:p w14:paraId="54787DA2">
            <w:pPr>
              <w:widowControl/>
              <w:spacing w:line="360" w:lineRule="exact"/>
              <w:ind w:firstLine="0" w:firstLineChars="0"/>
              <w:jc w:val="center"/>
              <w:textAlignment w:val="center"/>
              <w:rPr>
                <w:color w:val="auto"/>
                <w:sz w:val="18"/>
                <w:szCs w:val="18"/>
              </w:rPr>
            </w:pPr>
            <w:r>
              <w:rPr>
                <w:color w:val="auto"/>
                <w:sz w:val="18"/>
                <w:szCs w:val="18"/>
                <w:lang w:bidi="ar"/>
              </w:rPr>
              <w:t>＜2</w:t>
            </w:r>
          </w:p>
        </w:tc>
        <w:tc>
          <w:tcPr>
            <w:tcW w:w="1842" w:type="dxa"/>
            <w:tcMar>
              <w:top w:w="15" w:type="dxa"/>
              <w:left w:w="15" w:type="dxa"/>
              <w:right w:w="15" w:type="dxa"/>
            </w:tcMar>
            <w:vAlign w:val="center"/>
          </w:tcPr>
          <w:p w14:paraId="56B89F4B">
            <w:pPr>
              <w:widowControl/>
              <w:spacing w:line="360" w:lineRule="exact"/>
              <w:ind w:firstLine="0" w:firstLineChars="0"/>
              <w:jc w:val="center"/>
              <w:textAlignment w:val="center"/>
              <w:rPr>
                <w:color w:val="auto"/>
                <w:sz w:val="18"/>
                <w:szCs w:val="18"/>
              </w:rPr>
            </w:pPr>
            <w:r>
              <w:rPr>
                <w:color w:val="auto"/>
                <w:sz w:val="18"/>
                <w:szCs w:val="18"/>
                <w:lang w:bidi="ar"/>
              </w:rPr>
              <w:t>＜2</w:t>
            </w:r>
          </w:p>
        </w:tc>
        <w:tc>
          <w:tcPr>
            <w:tcW w:w="2835" w:type="dxa"/>
            <w:tcMar>
              <w:top w:w="15" w:type="dxa"/>
              <w:left w:w="15" w:type="dxa"/>
              <w:right w:w="15" w:type="dxa"/>
            </w:tcMar>
            <w:vAlign w:val="center"/>
          </w:tcPr>
          <w:p w14:paraId="7EBD8BA7">
            <w:pPr>
              <w:widowControl/>
              <w:spacing w:line="360" w:lineRule="exact"/>
              <w:ind w:firstLine="0" w:firstLineChars="0"/>
              <w:jc w:val="center"/>
              <w:textAlignment w:val="center"/>
              <w:rPr>
                <w:color w:val="auto"/>
                <w:sz w:val="18"/>
                <w:szCs w:val="18"/>
              </w:rPr>
            </w:pPr>
            <w:r>
              <w:rPr>
                <w:color w:val="auto"/>
                <w:sz w:val="18"/>
                <w:szCs w:val="18"/>
                <w:lang w:bidi="ar"/>
              </w:rPr>
              <w:t>≤3mg/L</w:t>
            </w:r>
          </w:p>
        </w:tc>
        <w:tc>
          <w:tcPr>
            <w:tcW w:w="2904" w:type="dxa"/>
            <w:tcMar>
              <w:top w:w="15" w:type="dxa"/>
              <w:left w:w="15" w:type="dxa"/>
              <w:right w:w="15" w:type="dxa"/>
            </w:tcMar>
            <w:vAlign w:val="center"/>
          </w:tcPr>
          <w:p w14:paraId="59F22499">
            <w:pPr>
              <w:widowControl/>
              <w:spacing w:line="360" w:lineRule="exact"/>
              <w:ind w:firstLine="0" w:firstLineChars="0"/>
              <w:jc w:val="center"/>
              <w:textAlignment w:val="center"/>
              <w:rPr>
                <w:color w:val="auto"/>
                <w:sz w:val="18"/>
                <w:szCs w:val="18"/>
              </w:rPr>
            </w:pPr>
            <w:r>
              <w:rPr>
                <w:color w:val="auto"/>
                <w:sz w:val="18"/>
                <w:szCs w:val="18"/>
                <w:lang w:bidi="ar"/>
              </w:rPr>
              <w:t>≤4mg/L</w:t>
            </w:r>
          </w:p>
        </w:tc>
      </w:tr>
      <w:tr w14:paraId="5A47D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0F890EF1">
            <w:pPr>
              <w:widowControl/>
              <w:spacing w:line="360" w:lineRule="exact"/>
              <w:ind w:firstLine="0" w:firstLineChars="0"/>
              <w:jc w:val="center"/>
              <w:textAlignment w:val="center"/>
              <w:rPr>
                <w:color w:val="auto"/>
                <w:sz w:val="18"/>
                <w:szCs w:val="18"/>
              </w:rPr>
            </w:pPr>
            <w:r>
              <w:rPr>
                <w:color w:val="auto"/>
                <w:sz w:val="18"/>
                <w:szCs w:val="18"/>
                <w:lang w:bidi="ar"/>
              </w:rPr>
              <w:t>7</w:t>
            </w:r>
          </w:p>
        </w:tc>
        <w:tc>
          <w:tcPr>
            <w:tcW w:w="2360" w:type="dxa"/>
            <w:tcMar>
              <w:top w:w="15" w:type="dxa"/>
              <w:left w:w="15" w:type="dxa"/>
              <w:right w:w="15" w:type="dxa"/>
            </w:tcMar>
            <w:vAlign w:val="center"/>
          </w:tcPr>
          <w:p w14:paraId="0DB808DA">
            <w:pPr>
              <w:widowControl/>
              <w:spacing w:line="360" w:lineRule="exact"/>
              <w:ind w:firstLine="0" w:firstLineChars="0"/>
              <w:jc w:val="center"/>
              <w:textAlignment w:val="center"/>
              <w:rPr>
                <w:color w:val="auto"/>
                <w:sz w:val="18"/>
                <w:szCs w:val="18"/>
              </w:rPr>
            </w:pPr>
            <w:r>
              <w:rPr>
                <w:color w:val="auto"/>
                <w:sz w:val="18"/>
                <w:szCs w:val="18"/>
                <w:lang w:bidi="ar"/>
              </w:rPr>
              <w:t>粪大肠菌群（个/L）</w:t>
            </w:r>
          </w:p>
        </w:tc>
        <w:tc>
          <w:tcPr>
            <w:tcW w:w="1624" w:type="dxa"/>
            <w:tcMar>
              <w:top w:w="15" w:type="dxa"/>
              <w:left w:w="15" w:type="dxa"/>
              <w:right w:w="15" w:type="dxa"/>
            </w:tcMar>
            <w:vAlign w:val="center"/>
          </w:tcPr>
          <w:p w14:paraId="0F9C7B75">
            <w:pPr>
              <w:widowControl/>
              <w:spacing w:line="360" w:lineRule="exact"/>
              <w:ind w:firstLine="0" w:firstLineChars="0"/>
              <w:jc w:val="center"/>
              <w:textAlignment w:val="center"/>
              <w:rPr>
                <w:color w:val="auto"/>
                <w:sz w:val="18"/>
                <w:szCs w:val="18"/>
              </w:rPr>
            </w:pPr>
            <w:r>
              <w:rPr>
                <w:color w:val="auto"/>
                <w:sz w:val="18"/>
                <w:szCs w:val="18"/>
                <w:lang w:bidi="ar"/>
              </w:rPr>
              <w:t>8000</w:t>
            </w:r>
          </w:p>
        </w:tc>
        <w:tc>
          <w:tcPr>
            <w:tcW w:w="1701" w:type="dxa"/>
            <w:tcMar>
              <w:top w:w="15" w:type="dxa"/>
              <w:left w:w="15" w:type="dxa"/>
              <w:right w:w="15" w:type="dxa"/>
            </w:tcMar>
            <w:vAlign w:val="center"/>
          </w:tcPr>
          <w:p w14:paraId="79039C25">
            <w:pPr>
              <w:widowControl/>
              <w:spacing w:line="360" w:lineRule="exact"/>
              <w:ind w:firstLine="0" w:firstLineChars="0"/>
              <w:jc w:val="center"/>
              <w:textAlignment w:val="center"/>
              <w:rPr>
                <w:color w:val="auto"/>
                <w:sz w:val="18"/>
                <w:szCs w:val="18"/>
              </w:rPr>
            </w:pPr>
            <w:r>
              <w:rPr>
                <w:color w:val="auto"/>
                <w:sz w:val="18"/>
                <w:szCs w:val="18"/>
                <w:lang w:bidi="ar"/>
              </w:rPr>
              <w:t>27000</w:t>
            </w:r>
          </w:p>
        </w:tc>
        <w:tc>
          <w:tcPr>
            <w:tcW w:w="1842" w:type="dxa"/>
            <w:tcMar>
              <w:top w:w="15" w:type="dxa"/>
              <w:left w:w="15" w:type="dxa"/>
              <w:right w:w="15" w:type="dxa"/>
            </w:tcMar>
            <w:vAlign w:val="center"/>
          </w:tcPr>
          <w:p w14:paraId="63DAF245">
            <w:pPr>
              <w:widowControl/>
              <w:spacing w:line="360" w:lineRule="exact"/>
              <w:ind w:firstLine="0" w:firstLineChars="0"/>
              <w:jc w:val="center"/>
              <w:textAlignment w:val="center"/>
              <w:rPr>
                <w:color w:val="auto"/>
                <w:sz w:val="18"/>
                <w:szCs w:val="18"/>
              </w:rPr>
            </w:pPr>
            <w:r>
              <w:rPr>
                <w:color w:val="auto"/>
                <w:sz w:val="18"/>
                <w:szCs w:val="18"/>
                <w:lang w:bidi="ar"/>
              </w:rPr>
              <w:t>17000</w:t>
            </w:r>
          </w:p>
        </w:tc>
        <w:tc>
          <w:tcPr>
            <w:tcW w:w="2835" w:type="dxa"/>
            <w:tcMar>
              <w:top w:w="15" w:type="dxa"/>
              <w:left w:w="15" w:type="dxa"/>
              <w:right w:w="15" w:type="dxa"/>
            </w:tcMar>
            <w:vAlign w:val="center"/>
          </w:tcPr>
          <w:p w14:paraId="5669DCEE">
            <w:pPr>
              <w:widowControl/>
              <w:spacing w:line="360" w:lineRule="exact"/>
              <w:ind w:firstLine="0" w:firstLineChars="0"/>
              <w:jc w:val="center"/>
              <w:textAlignment w:val="center"/>
              <w:rPr>
                <w:color w:val="auto"/>
                <w:sz w:val="18"/>
                <w:szCs w:val="18"/>
              </w:rPr>
            </w:pPr>
            <w:r>
              <w:rPr>
                <w:color w:val="auto"/>
                <w:sz w:val="18"/>
                <w:szCs w:val="18"/>
                <w:lang w:bidi="ar"/>
              </w:rPr>
              <w:t>≤2000个/L</w:t>
            </w:r>
          </w:p>
        </w:tc>
        <w:tc>
          <w:tcPr>
            <w:tcW w:w="2904" w:type="dxa"/>
            <w:tcMar>
              <w:top w:w="15" w:type="dxa"/>
              <w:left w:w="15" w:type="dxa"/>
              <w:right w:w="15" w:type="dxa"/>
            </w:tcMar>
            <w:vAlign w:val="center"/>
          </w:tcPr>
          <w:p w14:paraId="7C619266">
            <w:pPr>
              <w:widowControl/>
              <w:spacing w:line="360" w:lineRule="exact"/>
              <w:ind w:firstLine="0" w:firstLineChars="0"/>
              <w:jc w:val="center"/>
              <w:textAlignment w:val="center"/>
              <w:rPr>
                <w:color w:val="auto"/>
                <w:sz w:val="18"/>
                <w:szCs w:val="18"/>
              </w:rPr>
            </w:pPr>
            <w:r>
              <w:rPr>
                <w:color w:val="auto"/>
                <w:sz w:val="18"/>
                <w:szCs w:val="18"/>
                <w:lang w:bidi="ar"/>
              </w:rPr>
              <w:t>≤10000个/L</w:t>
            </w:r>
          </w:p>
        </w:tc>
      </w:tr>
      <w:tr w14:paraId="34B3E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2BA0BCAA">
            <w:pPr>
              <w:widowControl/>
              <w:spacing w:line="360" w:lineRule="exact"/>
              <w:ind w:firstLine="0" w:firstLineChars="0"/>
              <w:jc w:val="center"/>
              <w:textAlignment w:val="center"/>
              <w:rPr>
                <w:color w:val="auto"/>
                <w:sz w:val="18"/>
                <w:szCs w:val="18"/>
              </w:rPr>
            </w:pPr>
            <w:r>
              <w:rPr>
                <w:color w:val="auto"/>
                <w:sz w:val="18"/>
                <w:szCs w:val="18"/>
                <w:lang w:bidi="ar"/>
              </w:rPr>
              <w:t>8</w:t>
            </w:r>
          </w:p>
        </w:tc>
        <w:tc>
          <w:tcPr>
            <w:tcW w:w="2360" w:type="dxa"/>
            <w:tcMar>
              <w:top w:w="15" w:type="dxa"/>
              <w:left w:w="15" w:type="dxa"/>
              <w:right w:w="15" w:type="dxa"/>
            </w:tcMar>
            <w:vAlign w:val="center"/>
          </w:tcPr>
          <w:p w14:paraId="59DA14A9">
            <w:pPr>
              <w:widowControl/>
              <w:spacing w:line="360" w:lineRule="exact"/>
              <w:ind w:firstLine="0" w:firstLineChars="0"/>
              <w:jc w:val="center"/>
              <w:textAlignment w:val="center"/>
              <w:rPr>
                <w:color w:val="auto"/>
                <w:sz w:val="18"/>
                <w:szCs w:val="18"/>
              </w:rPr>
            </w:pPr>
            <w:r>
              <w:rPr>
                <w:color w:val="auto"/>
                <w:sz w:val="18"/>
                <w:szCs w:val="18"/>
                <w:lang w:bidi="ar"/>
              </w:rPr>
              <w:t>氟化物（mg/L）</w:t>
            </w:r>
          </w:p>
        </w:tc>
        <w:tc>
          <w:tcPr>
            <w:tcW w:w="1624" w:type="dxa"/>
            <w:tcMar>
              <w:top w:w="15" w:type="dxa"/>
              <w:left w:w="15" w:type="dxa"/>
              <w:right w:w="15" w:type="dxa"/>
            </w:tcMar>
            <w:vAlign w:val="center"/>
          </w:tcPr>
          <w:p w14:paraId="1C11FF68">
            <w:pPr>
              <w:widowControl/>
              <w:spacing w:line="360" w:lineRule="exact"/>
              <w:ind w:firstLine="0" w:firstLineChars="0"/>
              <w:jc w:val="center"/>
              <w:textAlignment w:val="center"/>
              <w:rPr>
                <w:color w:val="auto"/>
                <w:sz w:val="18"/>
                <w:szCs w:val="18"/>
              </w:rPr>
            </w:pPr>
            <w:r>
              <w:rPr>
                <w:color w:val="auto"/>
                <w:sz w:val="18"/>
                <w:szCs w:val="18"/>
                <w:lang w:bidi="ar"/>
              </w:rPr>
              <w:t>0.141</w:t>
            </w:r>
          </w:p>
        </w:tc>
        <w:tc>
          <w:tcPr>
            <w:tcW w:w="1701" w:type="dxa"/>
            <w:tcMar>
              <w:top w:w="15" w:type="dxa"/>
              <w:left w:w="15" w:type="dxa"/>
              <w:right w:w="15" w:type="dxa"/>
            </w:tcMar>
            <w:vAlign w:val="center"/>
          </w:tcPr>
          <w:p w14:paraId="7DFD0A73">
            <w:pPr>
              <w:widowControl/>
              <w:spacing w:line="360" w:lineRule="exact"/>
              <w:ind w:firstLine="0" w:firstLineChars="0"/>
              <w:jc w:val="center"/>
              <w:textAlignment w:val="center"/>
              <w:rPr>
                <w:color w:val="auto"/>
                <w:sz w:val="18"/>
                <w:szCs w:val="18"/>
              </w:rPr>
            </w:pPr>
            <w:r>
              <w:rPr>
                <w:color w:val="auto"/>
                <w:sz w:val="18"/>
                <w:szCs w:val="18"/>
                <w:lang w:bidi="ar"/>
              </w:rPr>
              <w:t>0.174</w:t>
            </w:r>
          </w:p>
        </w:tc>
        <w:tc>
          <w:tcPr>
            <w:tcW w:w="1842" w:type="dxa"/>
            <w:tcMar>
              <w:top w:w="15" w:type="dxa"/>
              <w:left w:w="15" w:type="dxa"/>
              <w:right w:w="15" w:type="dxa"/>
            </w:tcMar>
            <w:vAlign w:val="center"/>
          </w:tcPr>
          <w:p w14:paraId="33153F2E">
            <w:pPr>
              <w:widowControl/>
              <w:spacing w:line="360" w:lineRule="exact"/>
              <w:ind w:firstLine="0" w:firstLineChars="0"/>
              <w:jc w:val="center"/>
              <w:textAlignment w:val="center"/>
              <w:rPr>
                <w:color w:val="auto"/>
                <w:sz w:val="18"/>
                <w:szCs w:val="18"/>
              </w:rPr>
            </w:pPr>
            <w:r>
              <w:rPr>
                <w:color w:val="auto"/>
                <w:sz w:val="18"/>
                <w:szCs w:val="18"/>
                <w:lang w:bidi="ar"/>
              </w:rPr>
              <w:t>0.139</w:t>
            </w:r>
          </w:p>
        </w:tc>
        <w:tc>
          <w:tcPr>
            <w:tcW w:w="2835" w:type="dxa"/>
            <w:tcMar>
              <w:top w:w="15" w:type="dxa"/>
              <w:left w:w="15" w:type="dxa"/>
              <w:right w:w="15" w:type="dxa"/>
            </w:tcMar>
            <w:vAlign w:val="center"/>
          </w:tcPr>
          <w:p w14:paraId="4B3874AE">
            <w:pPr>
              <w:widowControl/>
              <w:spacing w:line="360" w:lineRule="exact"/>
              <w:ind w:firstLine="0" w:firstLineChars="0"/>
              <w:jc w:val="center"/>
              <w:textAlignment w:val="center"/>
              <w:rPr>
                <w:color w:val="auto"/>
                <w:sz w:val="18"/>
                <w:szCs w:val="18"/>
              </w:rPr>
            </w:pPr>
            <w:r>
              <w:rPr>
                <w:color w:val="auto"/>
                <w:sz w:val="18"/>
                <w:szCs w:val="18"/>
                <w:lang w:bidi="ar"/>
              </w:rPr>
              <w:t>≤1.0mg/L</w:t>
            </w:r>
          </w:p>
        </w:tc>
        <w:tc>
          <w:tcPr>
            <w:tcW w:w="2904" w:type="dxa"/>
            <w:tcMar>
              <w:top w:w="15" w:type="dxa"/>
              <w:left w:w="15" w:type="dxa"/>
              <w:right w:w="15" w:type="dxa"/>
            </w:tcMar>
            <w:vAlign w:val="center"/>
          </w:tcPr>
          <w:p w14:paraId="24E3A339">
            <w:pPr>
              <w:widowControl/>
              <w:spacing w:line="360" w:lineRule="exact"/>
              <w:ind w:firstLine="0" w:firstLineChars="0"/>
              <w:jc w:val="center"/>
              <w:textAlignment w:val="center"/>
              <w:rPr>
                <w:color w:val="auto"/>
                <w:sz w:val="18"/>
                <w:szCs w:val="18"/>
              </w:rPr>
            </w:pPr>
            <w:r>
              <w:rPr>
                <w:color w:val="auto"/>
                <w:sz w:val="18"/>
                <w:szCs w:val="18"/>
                <w:lang w:bidi="ar"/>
              </w:rPr>
              <w:t>≤1.0mg/L</w:t>
            </w:r>
          </w:p>
        </w:tc>
      </w:tr>
      <w:tr w14:paraId="2B8B3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709190E3">
            <w:pPr>
              <w:widowControl/>
              <w:spacing w:line="360" w:lineRule="exact"/>
              <w:ind w:firstLine="0" w:firstLineChars="0"/>
              <w:jc w:val="center"/>
              <w:textAlignment w:val="center"/>
              <w:rPr>
                <w:color w:val="auto"/>
                <w:sz w:val="18"/>
                <w:szCs w:val="18"/>
              </w:rPr>
            </w:pPr>
            <w:r>
              <w:rPr>
                <w:color w:val="auto"/>
                <w:sz w:val="18"/>
                <w:szCs w:val="18"/>
                <w:lang w:bidi="ar"/>
              </w:rPr>
              <w:t>9</w:t>
            </w:r>
          </w:p>
        </w:tc>
        <w:tc>
          <w:tcPr>
            <w:tcW w:w="2360" w:type="dxa"/>
            <w:tcMar>
              <w:top w:w="15" w:type="dxa"/>
              <w:left w:w="15" w:type="dxa"/>
              <w:right w:w="15" w:type="dxa"/>
            </w:tcMar>
            <w:vAlign w:val="center"/>
          </w:tcPr>
          <w:p w14:paraId="717928B4">
            <w:pPr>
              <w:widowControl/>
              <w:spacing w:line="360" w:lineRule="exact"/>
              <w:ind w:firstLine="0" w:firstLineChars="0"/>
              <w:jc w:val="center"/>
              <w:textAlignment w:val="center"/>
              <w:rPr>
                <w:color w:val="auto"/>
                <w:sz w:val="18"/>
                <w:szCs w:val="18"/>
              </w:rPr>
            </w:pPr>
            <w:r>
              <w:rPr>
                <w:color w:val="auto"/>
                <w:sz w:val="18"/>
                <w:szCs w:val="18"/>
                <w:lang w:bidi="ar"/>
              </w:rPr>
              <w:t>氯化物（mg/L）</w:t>
            </w:r>
          </w:p>
        </w:tc>
        <w:tc>
          <w:tcPr>
            <w:tcW w:w="1624" w:type="dxa"/>
            <w:tcMar>
              <w:top w:w="15" w:type="dxa"/>
              <w:left w:w="15" w:type="dxa"/>
              <w:right w:w="15" w:type="dxa"/>
            </w:tcMar>
            <w:vAlign w:val="center"/>
          </w:tcPr>
          <w:p w14:paraId="7646F6F5">
            <w:pPr>
              <w:widowControl/>
              <w:spacing w:line="360" w:lineRule="exact"/>
              <w:ind w:firstLine="0" w:firstLineChars="0"/>
              <w:jc w:val="center"/>
              <w:textAlignment w:val="center"/>
              <w:rPr>
                <w:color w:val="auto"/>
                <w:sz w:val="18"/>
                <w:szCs w:val="18"/>
              </w:rPr>
            </w:pPr>
            <w:r>
              <w:rPr>
                <w:color w:val="auto"/>
                <w:sz w:val="18"/>
                <w:szCs w:val="18"/>
                <w:lang w:bidi="ar"/>
              </w:rPr>
              <w:t>30.0</w:t>
            </w:r>
          </w:p>
        </w:tc>
        <w:tc>
          <w:tcPr>
            <w:tcW w:w="1701" w:type="dxa"/>
            <w:tcMar>
              <w:top w:w="15" w:type="dxa"/>
              <w:left w:w="15" w:type="dxa"/>
              <w:right w:w="15" w:type="dxa"/>
            </w:tcMar>
            <w:vAlign w:val="center"/>
          </w:tcPr>
          <w:p w14:paraId="2CBE8A7B">
            <w:pPr>
              <w:widowControl/>
              <w:spacing w:line="360" w:lineRule="exact"/>
              <w:ind w:firstLine="0" w:firstLineChars="0"/>
              <w:jc w:val="center"/>
              <w:textAlignment w:val="center"/>
              <w:rPr>
                <w:color w:val="auto"/>
                <w:sz w:val="18"/>
                <w:szCs w:val="18"/>
              </w:rPr>
            </w:pPr>
            <w:r>
              <w:rPr>
                <w:color w:val="auto"/>
                <w:sz w:val="18"/>
                <w:szCs w:val="18"/>
                <w:lang w:bidi="ar"/>
              </w:rPr>
              <w:t>27.7</w:t>
            </w:r>
          </w:p>
        </w:tc>
        <w:tc>
          <w:tcPr>
            <w:tcW w:w="1842" w:type="dxa"/>
            <w:tcMar>
              <w:top w:w="15" w:type="dxa"/>
              <w:left w:w="15" w:type="dxa"/>
              <w:right w:w="15" w:type="dxa"/>
            </w:tcMar>
            <w:vAlign w:val="center"/>
          </w:tcPr>
          <w:p w14:paraId="026CAC01">
            <w:pPr>
              <w:widowControl/>
              <w:spacing w:line="360" w:lineRule="exact"/>
              <w:ind w:firstLine="0" w:firstLineChars="0"/>
              <w:jc w:val="center"/>
              <w:textAlignment w:val="center"/>
              <w:rPr>
                <w:color w:val="auto"/>
                <w:sz w:val="18"/>
                <w:szCs w:val="18"/>
              </w:rPr>
            </w:pPr>
            <w:r>
              <w:rPr>
                <w:color w:val="auto"/>
                <w:sz w:val="18"/>
                <w:szCs w:val="18"/>
                <w:lang w:bidi="ar"/>
              </w:rPr>
              <w:t>26.2</w:t>
            </w:r>
          </w:p>
        </w:tc>
        <w:tc>
          <w:tcPr>
            <w:tcW w:w="5739" w:type="dxa"/>
            <w:gridSpan w:val="2"/>
            <w:tcMar>
              <w:top w:w="15" w:type="dxa"/>
              <w:left w:w="15" w:type="dxa"/>
              <w:right w:w="15" w:type="dxa"/>
            </w:tcMar>
            <w:vAlign w:val="center"/>
          </w:tcPr>
          <w:p w14:paraId="65FED459">
            <w:pPr>
              <w:widowControl/>
              <w:spacing w:line="360" w:lineRule="exact"/>
              <w:ind w:firstLine="0" w:firstLineChars="0"/>
              <w:jc w:val="center"/>
              <w:textAlignment w:val="center"/>
              <w:rPr>
                <w:color w:val="auto"/>
                <w:sz w:val="18"/>
                <w:szCs w:val="18"/>
              </w:rPr>
            </w:pPr>
            <w:r>
              <w:rPr>
                <w:color w:val="auto"/>
                <w:sz w:val="18"/>
                <w:szCs w:val="18"/>
                <w:lang w:bidi="ar"/>
              </w:rPr>
              <w:t>≤250mg/L</w:t>
            </w:r>
          </w:p>
        </w:tc>
      </w:tr>
      <w:tr w14:paraId="38CCF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07CBC046">
            <w:pPr>
              <w:widowControl/>
              <w:spacing w:line="360" w:lineRule="exact"/>
              <w:ind w:firstLine="0" w:firstLineChars="0"/>
              <w:jc w:val="center"/>
              <w:textAlignment w:val="center"/>
              <w:rPr>
                <w:color w:val="auto"/>
                <w:sz w:val="18"/>
                <w:szCs w:val="18"/>
              </w:rPr>
            </w:pPr>
            <w:r>
              <w:rPr>
                <w:color w:val="auto"/>
                <w:sz w:val="18"/>
                <w:szCs w:val="18"/>
                <w:lang w:bidi="ar"/>
              </w:rPr>
              <w:t>10</w:t>
            </w:r>
          </w:p>
        </w:tc>
        <w:tc>
          <w:tcPr>
            <w:tcW w:w="2360" w:type="dxa"/>
            <w:tcMar>
              <w:top w:w="15" w:type="dxa"/>
              <w:left w:w="15" w:type="dxa"/>
              <w:right w:w="15" w:type="dxa"/>
            </w:tcMar>
            <w:vAlign w:val="center"/>
          </w:tcPr>
          <w:p w14:paraId="11B4A268">
            <w:pPr>
              <w:widowControl/>
              <w:spacing w:line="360" w:lineRule="exact"/>
              <w:ind w:firstLine="0" w:firstLineChars="0"/>
              <w:jc w:val="center"/>
              <w:textAlignment w:val="center"/>
              <w:rPr>
                <w:color w:val="auto"/>
                <w:sz w:val="18"/>
                <w:szCs w:val="18"/>
              </w:rPr>
            </w:pPr>
            <w:r>
              <w:rPr>
                <w:color w:val="auto"/>
                <w:sz w:val="18"/>
                <w:szCs w:val="18"/>
                <w:lang w:bidi="ar"/>
              </w:rPr>
              <w:t>硝酸盐（以N计）（mg/L）</w:t>
            </w:r>
          </w:p>
        </w:tc>
        <w:tc>
          <w:tcPr>
            <w:tcW w:w="1624" w:type="dxa"/>
            <w:tcMar>
              <w:top w:w="15" w:type="dxa"/>
              <w:left w:w="15" w:type="dxa"/>
              <w:right w:w="15" w:type="dxa"/>
            </w:tcMar>
            <w:vAlign w:val="center"/>
          </w:tcPr>
          <w:p w14:paraId="6152490C">
            <w:pPr>
              <w:widowControl/>
              <w:spacing w:line="360" w:lineRule="exact"/>
              <w:ind w:firstLine="0" w:firstLineChars="0"/>
              <w:jc w:val="center"/>
              <w:textAlignment w:val="center"/>
              <w:rPr>
                <w:color w:val="auto"/>
                <w:sz w:val="18"/>
                <w:szCs w:val="18"/>
              </w:rPr>
            </w:pPr>
            <w:r>
              <w:rPr>
                <w:color w:val="auto"/>
                <w:sz w:val="18"/>
                <w:szCs w:val="18"/>
                <w:lang w:bidi="ar"/>
              </w:rPr>
              <w:t>1.24</w:t>
            </w:r>
          </w:p>
        </w:tc>
        <w:tc>
          <w:tcPr>
            <w:tcW w:w="1701" w:type="dxa"/>
            <w:tcMar>
              <w:top w:w="15" w:type="dxa"/>
              <w:left w:w="15" w:type="dxa"/>
              <w:right w:w="15" w:type="dxa"/>
            </w:tcMar>
            <w:vAlign w:val="center"/>
          </w:tcPr>
          <w:p w14:paraId="08D45DFB">
            <w:pPr>
              <w:widowControl/>
              <w:spacing w:line="360" w:lineRule="exact"/>
              <w:ind w:firstLine="0" w:firstLineChars="0"/>
              <w:jc w:val="center"/>
              <w:textAlignment w:val="center"/>
              <w:rPr>
                <w:color w:val="auto"/>
                <w:sz w:val="18"/>
                <w:szCs w:val="18"/>
              </w:rPr>
            </w:pPr>
            <w:r>
              <w:rPr>
                <w:color w:val="auto"/>
                <w:sz w:val="18"/>
                <w:szCs w:val="18"/>
                <w:lang w:bidi="ar"/>
              </w:rPr>
              <w:t>1.78</w:t>
            </w:r>
          </w:p>
        </w:tc>
        <w:tc>
          <w:tcPr>
            <w:tcW w:w="1842" w:type="dxa"/>
            <w:tcMar>
              <w:top w:w="15" w:type="dxa"/>
              <w:left w:w="15" w:type="dxa"/>
              <w:right w:w="15" w:type="dxa"/>
            </w:tcMar>
            <w:vAlign w:val="center"/>
          </w:tcPr>
          <w:p w14:paraId="3E0A90B6">
            <w:pPr>
              <w:widowControl/>
              <w:spacing w:line="360" w:lineRule="exact"/>
              <w:ind w:firstLine="0" w:firstLineChars="0"/>
              <w:jc w:val="center"/>
              <w:textAlignment w:val="center"/>
              <w:rPr>
                <w:color w:val="auto"/>
                <w:sz w:val="18"/>
                <w:szCs w:val="18"/>
              </w:rPr>
            </w:pPr>
            <w:r>
              <w:rPr>
                <w:color w:val="auto"/>
                <w:sz w:val="18"/>
                <w:szCs w:val="18"/>
                <w:lang w:bidi="ar"/>
              </w:rPr>
              <w:t>1.04</w:t>
            </w:r>
          </w:p>
        </w:tc>
        <w:tc>
          <w:tcPr>
            <w:tcW w:w="5739" w:type="dxa"/>
            <w:gridSpan w:val="2"/>
            <w:tcMar>
              <w:top w:w="15" w:type="dxa"/>
              <w:left w:w="15" w:type="dxa"/>
              <w:right w:w="15" w:type="dxa"/>
            </w:tcMar>
            <w:vAlign w:val="center"/>
          </w:tcPr>
          <w:p w14:paraId="3184CA76">
            <w:pPr>
              <w:widowControl/>
              <w:spacing w:line="360" w:lineRule="exact"/>
              <w:ind w:firstLine="0" w:firstLineChars="0"/>
              <w:jc w:val="center"/>
              <w:textAlignment w:val="center"/>
              <w:rPr>
                <w:color w:val="auto"/>
                <w:sz w:val="18"/>
                <w:szCs w:val="18"/>
              </w:rPr>
            </w:pPr>
            <w:r>
              <w:rPr>
                <w:color w:val="auto"/>
                <w:sz w:val="18"/>
                <w:szCs w:val="18"/>
                <w:lang w:bidi="ar"/>
              </w:rPr>
              <w:t>≤10mg/L</w:t>
            </w:r>
          </w:p>
        </w:tc>
      </w:tr>
      <w:tr w14:paraId="56079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1EE059CB">
            <w:pPr>
              <w:widowControl/>
              <w:spacing w:line="360" w:lineRule="exact"/>
              <w:ind w:firstLine="0" w:firstLineChars="0"/>
              <w:jc w:val="center"/>
              <w:textAlignment w:val="center"/>
              <w:rPr>
                <w:color w:val="auto"/>
                <w:sz w:val="18"/>
                <w:szCs w:val="18"/>
              </w:rPr>
            </w:pPr>
            <w:r>
              <w:rPr>
                <w:color w:val="auto"/>
                <w:sz w:val="18"/>
                <w:szCs w:val="18"/>
                <w:lang w:bidi="ar"/>
              </w:rPr>
              <w:t>11</w:t>
            </w:r>
          </w:p>
        </w:tc>
        <w:tc>
          <w:tcPr>
            <w:tcW w:w="2360" w:type="dxa"/>
            <w:tcMar>
              <w:top w:w="15" w:type="dxa"/>
              <w:left w:w="15" w:type="dxa"/>
              <w:right w:w="15" w:type="dxa"/>
            </w:tcMar>
            <w:vAlign w:val="center"/>
          </w:tcPr>
          <w:p w14:paraId="72C3B999">
            <w:pPr>
              <w:widowControl/>
              <w:spacing w:line="360" w:lineRule="exact"/>
              <w:ind w:firstLine="0" w:firstLineChars="0"/>
              <w:jc w:val="center"/>
              <w:textAlignment w:val="center"/>
              <w:rPr>
                <w:color w:val="auto"/>
                <w:sz w:val="18"/>
                <w:szCs w:val="18"/>
              </w:rPr>
            </w:pPr>
            <w:r>
              <w:rPr>
                <w:color w:val="auto"/>
                <w:sz w:val="18"/>
                <w:szCs w:val="18"/>
                <w:lang w:bidi="ar"/>
              </w:rPr>
              <w:t>硫酸盐（mg/L）</w:t>
            </w:r>
          </w:p>
        </w:tc>
        <w:tc>
          <w:tcPr>
            <w:tcW w:w="1624" w:type="dxa"/>
            <w:tcMar>
              <w:top w:w="15" w:type="dxa"/>
              <w:left w:w="15" w:type="dxa"/>
              <w:right w:w="15" w:type="dxa"/>
            </w:tcMar>
            <w:vAlign w:val="center"/>
          </w:tcPr>
          <w:p w14:paraId="1BDAA50B">
            <w:pPr>
              <w:widowControl/>
              <w:spacing w:line="360" w:lineRule="exact"/>
              <w:ind w:firstLine="0" w:firstLineChars="0"/>
              <w:jc w:val="center"/>
              <w:textAlignment w:val="center"/>
              <w:rPr>
                <w:color w:val="auto"/>
                <w:sz w:val="18"/>
                <w:szCs w:val="18"/>
              </w:rPr>
            </w:pPr>
            <w:r>
              <w:rPr>
                <w:color w:val="auto"/>
                <w:sz w:val="18"/>
                <w:szCs w:val="18"/>
                <w:lang w:bidi="ar"/>
              </w:rPr>
              <w:t>49.9</w:t>
            </w:r>
          </w:p>
        </w:tc>
        <w:tc>
          <w:tcPr>
            <w:tcW w:w="1701" w:type="dxa"/>
            <w:tcMar>
              <w:top w:w="15" w:type="dxa"/>
              <w:left w:w="15" w:type="dxa"/>
              <w:right w:w="15" w:type="dxa"/>
            </w:tcMar>
            <w:vAlign w:val="center"/>
          </w:tcPr>
          <w:p w14:paraId="3A2EBF44">
            <w:pPr>
              <w:widowControl/>
              <w:spacing w:line="360" w:lineRule="exact"/>
              <w:ind w:firstLine="0" w:firstLineChars="0"/>
              <w:jc w:val="center"/>
              <w:textAlignment w:val="center"/>
              <w:rPr>
                <w:color w:val="auto"/>
                <w:sz w:val="18"/>
                <w:szCs w:val="18"/>
              </w:rPr>
            </w:pPr>
            <w:r>
              <w:rPr>
                <w:color w:val="auto"/>
                <w:sz w:val="18"/>
                <w:szCs w:val="18"/>
                <w:lang w:bidi="ar"/>
              </w:rPr>
              <w:t>44.7</w:t>
            </w:r>
          </w:p>
        </w:tc>
        <w:tc>
          <w:tcPr>
            <w:tcW w:w="1842" w:type="dxa"/>
            <w:tcMar>
              <w:top w:w="15" w:type="dxa"/>
              <w:left w:w="15" w:type="dxa"/>
              <w:right w:w="15" w:type="dxa"/>
            </w:tcMar>
            <w:vAlign w:val="center"/>
          </w:tcPr>
          <w:p w14:paraId="0F8B6AA8">
            <w:pPr>
              <w:widowControl/>
              <w:spacing w:line="360" w:lineRule="exact"/>
              <w:ind w:firstLine="0" w:firstLineChars="0"/>
              <w:jc w:val="center"/>
              <w:textAlignment w:val="center"/>
              <w:rPr>
                <w:color w:val="auto"/>
                <w:sz w:val="18"/>
                <w:szCs w:val="18"/>
              </w:rPr>
            </w:pPr>
            <w:r>
              <w:rPr>
                <w:color w:val="auto"/>
                <w:sz w:val="18"/>
                <w:szCs w:val="18"/>
                <w:lang w:bidi="ar"/>
              </w:rPr>
              <w:t>38.1</w:t>
            </w:r>
          </w:p>
        </w:tc>
        <w:tc>
          <w:tcPr>
            <w:tcW w:w="5739" w:type="dxa"/>
            <w:gridSpan w:val="2"/>
            <w:tcMar>
              <w:top w:w="15" w:type="dxa"/>
              <w:left w:w="15" w:type="dxa"/>
              <w:right w:w="15" w:type="dxa"/>
            </w:tcMar>
            <w:vAlign w:val="center"/>
          </w:tcPr>
          <w:p w14:paraId="7E1A3845">
            <w:pPr>
              <w:widowControl/>
              <w:spacing w:line="360" w:lineRule="exact"/>
              <w:ind w:firstLine="0" w:firstLineChars="0"/>
              <w:jc w:val="center"/>
              <w:textAlignment w:val="center"/>
              <w:rPr>
                <w:color w:val="auto"/>
                <w:sz w:val="18"/>
                <w:szCs w:val="18"/>
              </w:rPr>
            </w:pPr>
            <w:r>
              <w:rPr>
                <w:color w:val="auto"/>
                <w:sz w:val="18"/>
                <w:szCs w:val="18"/>
                <w:lang w:bidi="ar"/>
              </w:rPr>
              <w:t>≤250mg/L</w:t>
            </w:r>
          </w:p>
        </w:tc>
      </w:tr>
      <w:tr w14:paraId="68859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61EC807F">
            <w:pPr>
              <w:widowControl/>
              <w:spacing w:line="360" w:lineRule="exact"/>
              <w:ind w:firstLine="0" w:firstLineChars="0"/>
              <w:jc w:val="center"/>
              <w:textAlignment w:val="center"/>
              <w:rPr>
                <w:color w:val="auto"/>
                <w:sz w:val="18"/>
                <w:szCs w:val="18"/>
              </w:rPr>
            </w:pPr>
            <w:r>
              <w:rPr>
                <w:color w:val="auto"/>
                <w:sz w:val="18"/>
                <w:szCs w:val="18"/>
                <w:lang w:bidi="ar"/>
              </w:rPr>
              <w:t>12</w:t>
            </w:r>
          </w:p>
        </w:tc>
        <w:tc>
          <w:tcPr>
            <w:tcW w:w="2360" w:type="dxa"/>
            <w:tcMar>
              <w:top w:w="15" w:type="dxa"/>
              <w:left w:w="15" w:type="dxa"/>
              <w:right w:w="15" w:type="dxa"/>
            </w:tcMar>
            <w:vAlign w:val="center"/>
          </w:tcPr>
          <w:p w14:paraId="2142202D">
            <w:pPr>
              <w:widowControl/>
              <w:spacing w:line="360" w:lineRule="exact"/>
              <w:ind w:firstLine="0" w:firstLineChars="0"/>
              <w:jc w:val="center"/>
              <w:textAlignment w:val="center"/>
              <w:rPr>
                <w:color w:val="auto"/>
                <w:sz w:val="18"/>
                <w:szCs w:val="18"/>
              </w:rPr>
            </w:pPr>
            <w:r>
              <w:rPr>
                <w:color w:val="auto"/>
                <w:sz w:val="18"/>
                <w:szCs w:val="18"/>
                <w:lang w:bidi="ar"/>
              </w:rPr>
              <w:t>铜（mg/L）</w:t>
            </w:r>
          </w:p>
        </w:tc>
        <w:tc>
          <w:tcPr>
            <w:tcW w:w="1624" w:type="dxa"/>
            <w:tcMar>
              <w:top w:w="15" w:type="dxa"/>
              <w:left w:w="15" w:type="dxa"/>
              <w:right w:w="15" w:type="dxa"/>
            </w:tcMar>
            <w:vAlign w:val="center"/>
          </w:tcPr>
          <w:p w14:paraId="6FC1112B">
            <w:pPr>
              <w:widowControl/>
              <w:spacing w:line="360" w:lineRule="exact"/>
              <w:ind w:firstLine="0" w:firstLineChars="0"/>
              <w:jc w:val="center"/>
              <w:textAlignment w:val="center"/>
              <w:rPr>
                <w:color w:val="auto"/>
                <w:sz w:val="18"/>
                <w:szCs w:val="18"/>
              </w:rPr>
            </w:pPr>
            <w:r>
              <w:rPr>
                <w:color w:val="auto"/>
                <w:sz w:val="18"/>
                <w:szCs w:val="18"/>
                <w:lang w:bidi="ar"/>
              </w:rPr>
              <w:t>＜0.005</w:t>
            </w:r>
          </w:p>
        </w:tc>
        <w:tc>
          <w:tcPr>
            <w:tcW w:w="1701" w:type="dxa"/>
            <w:tcMar>
              <w:top w:w="15" w:type="dxa"/>
              <w:left w:w="15" w:type="dxa"/>
              <w:right w:w="15" w:type="dxa"/>
            </w:tcMar>
            <w:vAlign w:val="center"/>
          </w:tcPr>
          <w:p w14:paraId="09C2057C">
            <w:pPr>
              <w:widowControl/>
              <w:spacing w:line="360" w:lineRule="exact"/>
              <w:ind w:firstLine="0" w:firstLineChars="0"/>
              <w:jc w:val="center"/>
              <w:textAlignment w:val="center"/>
              <w:rPr>
                <w:color w:val="auto"/>
                <w:sz w:val="18"/>
                <w:szCs w:val="18"/>
              </w:rPr>
            </w:pPr>
            <w:r>
              <w:rPr>
                <w:color w:val="auto"/>
                <w:sz w:val="18"/>
                <w:szCs w:val="18"/>
                <w:lang w:bidi="ar"/>
              </w:rPr>
              <w:t>＜0.005</w:t>
            </w:r>
          </w:p>
        </w:tc>
        <w:tc>
          <w:tcPr>
            <w:tcW w:w="1842" w:type="dxa"/>
            <w:tcMar>
              <w:top w:w="15" w:type="dxa"/>
              <w:left w:w="15" w:type="dxa"/>
              <w:right w:w="15" w:type="dxa"/>
            </w:tcMar>
            <w:vAlign w:val="center"/>
          </w:tcPr>
          <w:p w14:paraId="12BE3FEB">
            <w:pPr>
              <w:widowControl/>
              <w:spacing w:line="360" w:lineRule="exact"/>
              <w:ind w:firstLine="0" w:firstLineChars="0"/>
              <w:jc w:val="center"/>
              <w:textAlignment w:val="center"/>
              <w:rPr>
                <w:color w:val="auto"/>
                <w:sz w:val="18"/>
                <w:szCs w:val="18"/>
              </w:rPr>
            </w:pPr>
            <w:r>
              <w:rPr>
                <w:color w:val="auto"/>
                <w:sz w:val="18"/>
                <w:szCs w:val="18"/>
                <w:lang w:bidi="ar"/>
              </w:rPr>
              <w:t>＜0.005</w:t>
            </w:r>
          </w:p>
        </w:tc>
        <w:tc>
          <w:tcPr>
            <w:tcW w:w="2835" w:type="dxa"/>
            <w:tcMar>
              <w:top w:w="15" w:type="dxa"/>
              <w:left w:w="15" w:type="dxa"/>
              <w:right w:w="15" w:type="dxa"/>
            </w:tcMar>
            <w:vAlign w:val="center"/>
          </w:tcPr>
          <w:p w14:paraId="1B61527A">
            <w:pPr>
              <w:widowControl/>
              <w:spacing w:line="360" w:lineRule="exact"/>
              <w:ind w:firstLine="0" w:firstLineChars="0"/>
              <w:jc w:val="center"/>
              <w:textAlignment w:val="center"/>
              <w:rPr>
                <w:color w:val="auto"/>
                <w:sz w:val="18"/>
                <w:szCs w:val="18"/>
              </w:rPr>
            </w:pPr>
            <w:r>
              <w:rPr>
                <w:color w:val="auto"/>
                <w:sz w:val="18"/>
                <w:szCs w:val="18"/>
                <w:lang w:bidi="ar"/>
              </w:rPr>
              <w:t>≤1.0mg/L</w:t>
            </w:r>
          </w:p>
        </w:tc>
        <w:tc>
          <w:tcPr>
            <w:tcW w:w="2904" w:type="dxa"/>
            <w:tcMar>
              <w:top w:w="15" w:type="dxa"/>
              <w:left w:w="15" w:type="dxa"/>
              <w:right w:w="15" w:type="dxa"/>
            </w:tcMar>
            <w:vAlign w:val="center"/>
          </w:tcPr>
          <w:p w14:paraId="28884570">
            <w:pPr>
              <w:widowControl/>
              <w:spacing w:line="360" w:lineRule="exact"/>
              <w:ind w:firstLine="0" w:firstLineChars="0"/>
              <w:jc w:val="center"/>
              <w:textAlignment w:val="center"/>
              <w:rPr>
                <w:color w:val="auto"/>
                <w:sz w:val="18"/>
                <w:szCs w:val="18"/>
              </w:rPr>
            </w:pPr>
            <w:r>
              <w:rPr>
                <w:color w:val="auto"/>
                <w:sz w:val="18"/>
                <w:szCs w:val="18"/>
                <w:lang w:bidi="ar"/>
              </w:rPr>
              <w:t>≤1.0mg/L</w:t>
            </w:r>
          </w:p>
        </w:tc>
      </w:tr>
      <w:tr w14:paraId="40847F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7B7140B0">
            <w:pPr>
              <w:widowControl/>
              <w:spacing w:line="360" w:lineRule="exact"/>
              <w:ind w:firstLine="0" w:firstLineChars="0"/>
              <w:jc w:val="center"/>
              <w:textAlignment w:val="center"/>
              <w:rPr>
                <w:color w:val="auto"/>
                <w:sz w:val="18"/>
                <w:szCs w:val="18"/>
              </w:rPr>
            </w:pPr>
            <w:r>
              <w:rPr>
                <w:color w:val="auto"/>
                <w:sz w:val="18"/>
                <w:szCs w:val="18"/>
                <w:lang w:bidi="ar"/>
              </w:rPr>
              <w:t>13</w:t>
            </w:r>
          </w:p>
        </w:tc>
        <w:tc>
          <w:tcPr>
            <w:tcW w:w="2360" w:type="dxa"/>
            <w:tcMar>
              <w:top w:w="15" w:type="dxa"/>
              <w:left w:w="15" w:type="dxa"/>
              <w:right w:w="15" w:type="dxa"/>
            </w:tcMar>
            <w:vAlign w:val="center"/>
          </w:tcPr>
          <w:p w14:paraId="5BA47BB5">
            <w:pPr>
              <w:widowControl/>
              <w:spacing w:line="360" w:lineRule="exact"/>
              <w:ind w:firstLine="0" w:firstLineChars="0"/>
              <w:jc w:val="center"/>
              <w:textAlignment w:val="center"/>
              <w:rPr>
                <w:color w:val="auto"/>
                <w:sz w:val="18"/>
                <w:szCs w:val="18"/>
              </w:rPr>
            </w:pPr>
            <w:r>
              <w:rPr>
                <w:color w:val="auto"/>
                <w:sz w:val="18"/>
                <w:szCs w:val="18"/>
                <w:lang w:bidi="ar"/>
              </w:rPr>
              <w:t>铁（mg/L）</w:t>
            </w:r>
          </w:p>
        </w:tc>
        <w:tc>
          <w:tcPr>
            <w:tcW w:w="1624" w:type="dxa"/>
            <w:tcMar>
              <w:top w:w="15" w:type="dxa"/>
              <w:left w:w="15" w:type="dxa"/>
              <w:right w:w="15" w:type="dxa"/>
            </w:tcMar>
            <w:vAlign w:val="center"/>
          </w:tcPr>
          <w:p w14:paraId="33BA2547">
            <w:pPr>
              <w:widowControl/>
              <w:spacing w:line="360" w:lineRule="exact"/>
              <w:ind w:firstLine="0" w:firstLineChars="0"/>
              <w:jc w:val="center"/>
              <w:textAlignment w:val="center"/>
              <w:rPr>
                <w:color w:val="auto"/>
                <w:sz w:val="18"/>
                <w:szCs w:val="18"/>
              </w:rPr>
            </w:pPr>
            <w:r>
              <w:rPr>
                <w:color w:val="auto"/>
                <w:sz w:val="18"/>
                <w:szCs w:val="18"/>
                <w:lang w:bidi="ar"/>
              </w:rPr>
              <w:t>0.172</w:t>
            </w:r>
          </w:p>
        </w:tc>
        <w:tc>
          <w:tcPr>
            <w:tcW w:w="1701" w:type="dxa"/>
            <w:tcMar>
              <w:top w:w="15" w:type="dxa"/>
              <w:left w:w="15" w:type="dxa"/>
              <w:right w:w="15" w:type="dxa"/>
            </w:tcMar>
            <w:vAlign w:val="center"/>
          </w:tcPr>
          <w:p w14:paraId="7208B659">
            <w:pPr>
              <w:widowControl/>
              <w:spacing w:line="360" w:lineRule="exact"/>
              <w:ind w:firstLine="0" w:firstLineChars="0"/>
              <w:jc w:val="center"/>
              <w:textAlignment w:val="center"/>
              <w:rPr>
                <w:color w:val="auto"/>
                <w:sz w:val="18"/>
                <w:szCs w:val="18"/>
              </w:rPr>
            </w:pPr>
            <w:r>
              <w:rPr>
                <w:color w:val="auto"/>
                <w:sz w:val="18"/>
                <w:szCs w:val="18"/>
                <w:lang w:bidi="ar"/>
              </w:rPr>
              <w:t>0.378</w:t>
            </w:r>
          </w:p>
        </w:tc>
        <w:tc>
          <w:tcPr>
            <w:tcW w:w="1842" w:type="dxa"/>
            <w:tcMar>
              <w:top w:w="15" w:type="dxa"/>
              <w:left w:w="15" w:type="dxa"/>
              <w:right w:w="15" w:type="dxa"/>
            </w:tcMar>
            <w:vAlign w:val="center"/>
          </w:tcPr>
          <w:p w14:paraId="25BE37BD">
            <w:pPr>
              <w:widowControl/>
              <w:spacing w:line="360" w:lineRule="exact"/>
              <w:ind w:firstLine="0" w:firstLineChars="0"/>
              <w:jc w:val="center"/>
              <w:textAlignment w:val="center"/>
              <w:rPr>
                <w:color w:val="auto"/>
                <w:sz w:val="18"/>
                <w:szCs w:val="18"/>
              </w:rPr>
            </w:pPr>
            <w:r>
              <w:rPr>
                <w:color w:val="auto"/>
                <w:sz w:val="18"/>
                <w:szCs w:val="18"/>
                <w:lang w:bidi="ar"/>
              </w:rPr>
              <w:t>0.224</w:t>
            </w:r>
          </w:p>
        </w:tc>
        <w:tc>
          <w:tcPr>
            <w:tcW w:w="5739" w:type="dxa"/>
            <w:gridSpan w:val="2"/>
            <w:tcMar>
              <w:top w:w="15" w:type="dxa"/>
              <w:left w:w="15" w:type="dxa"/>
              <w:right w:w="15" w:type="dxa"/>
            </w:tcMar>
            <w:vAlign w:val="center"/>
          </w:tcPr>
          <w:p w14:paraId="32634525">
            <w:pPr>
              <w:widowControl/>
              <w:spacing w:line="360" w:lineRule="exact"/>
              <w:ind w:firstLine="0" w:firstLineChars="0"/>
              <w:jc w:val="center"/>
              <w:textAlignment w:val="center"/>
              <w:rPr>
                <w:color w:val="auto"/>
                <w:sz w:val="18"/>
                <w:szCs w:val="18"/>
              </w:rPr>
            </w:pPr>
            <w:r>
              <w:rPr>
                <w:color w:val="auto"/>
                <w:sz w:val="18"/>
                <w:szCs w:val="18"/>
                <w:lang w:bidi="ar"/>
              </w:rPr>
              <w:t>≤0.3mg/L</w:t>
            </w:r>
          </w:p>
        </w:tc>
      </w:tr>
      <w:tr w14:paraId="76EAF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4326DE9B">
            <w:pPr>
              <w:widowControl/>
              <w:spacing w:line="360" w:lineRule="exact"/>
              <w:ind w:firstLine="0" w:firstLineChars="0"/>
              <w:jc w:val="center"/>
              <w:textAlignment w:val="center"/>
              <w:rPr>
                <w:color w:val="auto"/>
                <w:sz w:val="18"/>
                <w:szCs w:val="18"/>
              </w:rPr>
            </w:pPr>
            <w:r>
              <w:rPr>
                <w:color w:val="auto"/>
                <w:sz w:val="18"/>
                <w:szCs w:val="18"/>
                <w:lang w:bidi="ar"/>
              </w:rPr>
              <w:t>14</w:t>
            </w:r>
          </w:p>
        </w:tc>
        <w:tc>
          <w:tcPr>
            <w:tcW w:w="2360" w:type="dxa"/>
            <w:tcMar>
              <w:top w:w="15" w:type="dxa"/>
              <w:left w:w="15" w:type="dxa"/>
              <w:right w:w="15" w:type="dxa"/>
            </w:tcMar>
            <w:vAlign w:val="center"/>
          </w:tcPr>
          <w:p w14:paraId="51F06C22">
            <w:pPr>
              <w:widowControl/>
              <w:spacing w:line="360" w:lineRule="exact"/>
              <w:ind w:firstLine="0" w:firstLineChars="0"/>
              <w:jc w:val="center"/>
              <w:textAlignment w:val="center"/>
              <w:rPr>
                <w:color w:val="auto"/>
                <w:sz w:val="18"/>
                <w:szCs w:val="18"/>
              </w:rPr>
            </w:pPr>
            <w:r>
              <w:rPr>
                <w:color w:val="auto"/>
                <w:sz w:val="18"/>
                <w:szCs w:val="18"/>
                <w:lang w:bidi="ar"/>
              </w:rPr>
              <w:t>锰（mg/L）</w:t>
            </w:r>
          </w:p>
        </w:tc>
        <w:tc>
          <w:tcPr>
            <w:tcW w:w="1624" w:type="dxa"/>
            <w:tcMar>
              <w:top w:w="15" w:type="dxa"/>
              <w:left w:w="15" w:type="dxa"/>
              <w:right w:w="15" w:type="dxa"/>
            </w:tcMar>
            <w:vAlign w:val="center"/>
          </w:tcPr>
          <w:p w14:paraId="50E48E32">
            <w:pPr>
              <w:widowControl/>
              <w:spacing w:line="360" w:lineRule="exact"/>
              <w:ind w:firstLine="0" w:firstLineChars="0"/>
              <w:jc w:val="center"/>
              <w:textAlignment w:val="center"/>
              <w:rPr>
                <w:color w:val="auto"/>
                <w:sz w:val="18"/>
                <w:szCs w:val="18"/>
              </w:rPr>
            </w:pPr>
            <w:r>
              <w:rPr>
                <w:color w:val="auto"/>
                <w:sz w:val="18"/>
                <w:szCs w:val="18"/>
                <w:lang w:bidi="ar"/>
              </w:rPr>
              <w:t>0.008</w:t>
            </w:r>
          </w:p>
        </w:tc>
        <w:tc>
          <w:tcPr>
            <w:tcW w:w="1701" w:type="dxa"/>
            <w:tcMar>
              <w:top w:w="15" w:type="dxa"/>
              <w:left w:w="15" w:type="dxa"/>
              <w:right w:w="15" w:type="dxa"/>
            </w:tcMar>
            <w:vAlign w:val="center"/>
          </w:tcPr>
          <w:p w14:paraId="1C085C73">
            <w:pPr>
              <w:widowControl/>
              <w:spacing w:line="360" w:lineRule="exact"/>
              <w:ind w:firstLine="0" w:firstLineChars="0"/>
              <w:jc w:val="center"/>
              <w:textAlignment w:val="center"/>
              <w:rPr>
                <w:color w:val="auto"/>
                <w:sz w:val="18"/>
                <w:szCs w:val="18"/>
              </w:rPr>
            </w:pPr>
            <w:r>
              <w:rPr>
                <w:color w:val="auto"/>
                <w:sz w:val="18"/>
                <w:szCs w:val="18"/>
                <w:lang w:bidi="ar"/>
              </w:rPr>
              <w:t>0.02</w:t>
            </w:r>
          </w:p>
        </w:tc>
        <w:tc>
          <w:tcPr>
            <w:tcW w:w="1842" w:type="dxa"/>
            <w:tcMar>
              <w:top w:w="15" w:type="dxa"/>
              <w:left w:w="15" w:type="dxa"/>
              <w:right w:w="15" w:type="dxa"/>
            </w:tcMar>
            <w:vAlign w:val="center"/>
          </w:tcPr>
          <w:p w14:paraId="5970707D">
            <w:pPr>
              <w:widowControl/>
              <w:spacing w:line="360" w:lineRule="exact"/>
              <w:ind w:firstLine="0" w:firstLineChars="0"/>
              <w:jc w:val="center"/>
              <w:textAlignment w:val="center"/>
              <w:rPr>
                <w:color w:val="auto"/>
                <w:sz w:val="18"/>
                <w:szCs w:val="18"/>
              </w:rPr>
            </w:pPr>
            <w:r>
              <w:rPr>
                <w:color w:val="auto"/>
                <w:sz w:val="18"/>
                <w:szCs w:val="18"/>
                <w:lang w:bidi="ar"/>
              </w:rPr>
              <w:t>0.009</w:t>
            </w:r>
          </w:p>
        </w:tc>
        <w:tc>
          <w:tcPr>
            <w:tcW w:w="5739" w:type="dxa"/>
            <w:gridSpan w:val="2"/>
            <w:tcMar>
              <w:top w:w="15" w:type="dxa"/>
              <w:left w:w="15" w:type="dxa"/>
              <w:right w:w="15" w:type="dxa"/>
            </w:tcMar>
            <w:vAlign w:val="center"/>
          </w:tcPr>
          <w:p w14:paraId="1B594CDF">
            <w:pPr>
              <w:widowControl/>
              <w:spacing w:line="360" w:lineRule="exact"/>
              <w:ind w:firstLine="0" w:firstLineChars="0"/>
              <w:jc w:val="center"/>
              <w:textAlignment w:val="center"/>
              <w:rPr>
                <w:color w:val="auto"/>
                <w:sz w:val="18"/>
                <w:szCs w:val="18"/>
              </w:rPr>
            </w:pPr>
            <w:r>
              <w:rPr>
                <w:color w:val="auto"/>
                <w:sz w:val="18"/>
                <w:szCs w:val="18"/>
                <w:lang w:bidi="ar"/>
              </w:rPr>
              <w:t>≤0.1mg/L</w:t>
            </w:r>
          </w:p>
        </w:tc>
      </w:tr>
      <w:tr w14:paraId="5E02B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3B19B38C">
            <w:pPr>
              <w:widowControl/>
              <w:spacing w:line="360" w:lineRule="exact"/>
              <w:ind w:firstLine="0" w:firstLineChars="0"/>
              <w:jc w:val="center"/>
              <w:textAlignment w:val="center"/>
              <w:rPr>
                <w:color w:val="auto"/>
                <w:sz w:val="18"/>
                <w:szCs w:val="18"/>
              </w:rPr>
            </w:pPr>
            <w:r>
              <w:rPr>
                <w:color w:val="auto"/>
                <w:sz w:val="18"/>
                <w:szCs w:val="18"/>
                <w:lang w:bidi="ar"/>
              </w:rPr>
              <w:t>15</w:t>
            </w:r>
          </w:p>
        </w:tc>
        <w:tc>
          <w:tcPr>
            <w:tcW w:w="2360" w:type="dxa"/>
            <w:tcMar>
              <w:top w:w="15" w:type="dxa"/>
              <w:left w:w="15" w:type="dxa"/>
              <w:right w:w="15" w:type="dxa"/>
            </w:tcMar>
            <w:vAlign w:val="center"/>
          </w:tcPr>
          <w:p w14:paraId="4FE12FBF">
            <w:pPr>
              <w:widowControl/>
              <w:spacing w:line="360" w:lineRule="exact"/>
              <w:ind w:firstLine="0" w:firstLineChars="0"/>
              <w:jc w:val="center"/>
              <w:textAlignment w:val="center"/>
              <w:rPr>
                <w:color w:val="auto"/>
                <w:sz w:val="18"/>
                <w:szCs w:val="18"/>
              </w:rPr>
            </w:pPr>
            <w:r>
              <w:rPr>
                <w:color w:val="auto"/>
                <w:sz w:val="18"/>
                <w:szCs w:val="18"/>
                <w:lang w:bidi="ar"/>
              </w:rPr>
              <w:t>砷（mg/L）</w:t>
            </w:r>
          </w:p>
        </w:tc>
        <w:tc>
          <w:tcPr>
            <w:tcW w:w="1624" w:type="dxa"/>
            <w:tcMar>
              <w:top w:w="15" w:type="dxa"/>
              <w:left w:w="15" w:type="dxa"/>
              <w:right w:w="15" w:type="dxa"/>
            </w:tcMar>
            <w:vAlign w:val="center"/>
          </w:tcPr>
          <w:p w14:paraId="2792ED81">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701" w:type="dxa"/>
            <w:tcMar>
              <w:top w:w="15" w:type="dxa"/>
              <w:left w:w="15" w:type="dxa"/>
              <w:right w:w="15" w:type="dxa"/>
            </w:tcMar>
            <w:vAlign w:val="center"/>
          </w:tcPr>
          <w:p w14:paraId="232C50F3">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842" w:type="dxa"/>
            <w:tcMar>
              <w:top w:w="15" w:type="dxa"/>
              <w:left w:w="15" w:type="dxa"/>
              <w:right w:w="15" w:type="dxa"/>
            </w:tcMar>
            <w:vAlign w:val="center"/>
          </w:tcPr>
          <w:p w14:paraId="57112C36">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2835" w:type="dxa"/>
            <w:tcMar>
              <w:top w:w="15" w:type="dxa"/>
              <w:left w:w="15" w:type="dxa"/>
              <w:right w:w="15" w:type="dxa"/>
            </w:tcMar>
            <w:vAlign w:val="center"/>
          </w:tcPr>
          <w:p w14:paraId="279335FD">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0.05</w:t>
            </w:r>
            <w:r>
              <w:rPr>
                <w:color w:val="auto"/>
                <w:sz w:val="18"/>
                <w:szCs w:val="18"/>
                <w:lang w:bidi="ar"/>
              </w:rPr>
              <w:t>mg/L</w:t>
            </w:r>
          </w:p>
        </w:tc>
        <w:tc>
          <w:tcPr>
            <w:tcW w:w="2904" w:type="dxa"/>
            <w:tcMar>
              <w:top w:w="15" w:type="dxa"/>
              <w:left w:w="15" w:type="dxa"/>
              <w:right w:w="15" w:type="dxa"/>
            </w:tcMar>
            <w:vAlign w:val="center"/>
          </w:tcPr>
          <w:p w14:paraId="453926F3">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0.05</w:t>
            </w:r>
            <w:r>
              <w:rPr>
                <w:color w:val="auto"/>
                <w:sz w:val="18"/>
                <w:szCs w:val="18"/>
                <w:lang w:bidi="ar"/>
              </w:rPr>
              <w:t>mg/L</w:t>
            </w:r>
          </w:p>
        </w:tc>
      </w:tr>
      <w:tr w14:paraId="03BC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076D2B9A">
            <w:pPr>
              <w:widowControl/>
              <w:spacing w:line="360" w:lineRule="exact"/>
              <w:ind w:firstLine="0" w:firstLineChars="0"/>
              <w:jc w:val="center"/>
              <w:textAlignment w:val="center"/>
              <w:rPr>
                <w:color w:val="auto"/>
                <w:sz w:val="18"/>
                <w:szCs w:val="18"/>
              </w:rPr>
            </w:pPr>
            <w:r>
              <w:rPr>
                <w:color w:val="auto"/>
                <w:sz w:val="18"/>
                <w:szCs w:val="18"/>
                <w:lang w:bidi="ar"/>
              </w:rPr>
              <w:t>16</w:t>
            </w:r>
          </w:p>
        </w:tc>
        <w:tc>
          <w:tcPr>
            <w:tcW w:w="2360" w:type="dxa"/>
            <w:tcMar>
              <w:top w:w="15" w:type="dxa"/>
              <w:left w:w="15" w:type="dxa"/>
              <w:right w:w="15" w:type="dxa"/>
            </w:tcMar>
            <w:vAlign w:val="center"/>
          </w:tcPr>
          <w:p w14:paraId="426E861D">
            <w:pPr>
              <w:widowControl/>
              <w:spacing w:line="360" w:lineRule="exact"/>
              <w:ind w:firstLine="0" w:firstLineChars="0"/>
              <w:jc w:val="center"/>
              <w:textAlignment w:val="center"/>
              <w:rPr>
                <w:color w:val="auto"/>
                <w:sz w:val="18"/>
                <w:szCs w:val="18"/>
              </w:rPr>
            </w:pPr>
            <w:r>
              <w:rPr>
                <w:color w:val="auto"/>
                <w:sz w:val="18"/>
                <w:szCs w:val="18"/>
                <w:lang w:bidi="ar"/>
              </w:rPr>
              <w:t>锌（mg/L）</w:t>
            </w:r>
          </w:p>
        </w:tc>
        <w:tc>
          <w:tcPr>
            <w:tcW w:w="1624" w:type="dxa"/>
            <w:tcMar>
              <w:top w:w="15" w:type="dxa"/>
              <w:left w:w="15" w:type="dxa"/>
              <w:right w:w="15" w:type="dxa"/>
            </w:tcMar>
            <w:vAlign w:val="center"/>
          </w:tcPr>
          <w:p w14:paraId="52B94917">
            <w:pPr>
              <w:widowControl/>
              <w:spacing w:line="360" w:lineRule="exact"/>
              <w:ind w:firstLine="0" w:firstLineChars="0"/>
              <w:jc w:val="center"/>
              <w:textAlignment w:val="center"/>
              <w:rPr>
                <w:color w:val="auto"/>
                <w:sz w:val="18"/>
                <w:szCs w:val="18"/>
              </w:rPr>
            </w:pPr>
            <w:r>
              <w:rPr>
                <w:color w:val="auto"/>
                <w:sz w:val="18"/>
                <w:szCs w:val="18"/>
                <w:lang w:bidi="ar"/>
              </w:rPr>
              <w:t>0.005</w:t>
            </w:r>
          </w:p>
        </w:tc>
        <w:tc>
          <w:tcPr>
            <w:tcW w:w="1701" w:type="dxa"/>
            <w:tcMar>
              <w:top w:w="15" w:type="dxa"/>
              <w:left w:w="15" w:type="dxa"/>
              <w:right w:w="15" w:type="dxa"/>
            </w:tcMar>
            <w:vAlign w:val="center"/>
          </w:tcPr>
          <w:p w14:paraId="5815D0BE">
            <w:pPr>
              <w:widowControl/>
              <w:spacing w:line="360" w:lineRule="exact"/>
              <w:ind w:firstLine="0" w:firstLineChars="0"/>
              <w:jc w:val="center"/>
              <w:textAlignment w:val="center"/>
              <w:rPr>
                <w:color w:val="auto"/>
                <w:sz w:val="18"/>
                <w:szCs w:val="18"/>
              </w:rPr>
            </w:pPr>
            <w:r>
              <w:rPr>
                <w:color w:val="auto"/>
                <w:sz w:val="18"/>
                <w:szCs w:val="18"/>
                <w:lang w:bidi="ar"/>
              </w:rPr>
              <w:t>0.006</w:t>
            </w:r>
          </w:p>
        </w:tc>
        <w:tc>
          <w:tcPr>
            <w:tcW w:w="1842" w:type="dxa"/>
            <w:tcMar>
              <w:top w:w="15" w:type="dxa"/>
              <w:left w:w="15" w:type="dxa"/>
              <w:right w:w="15" w:type="dxa"/>
            </w:tcMar>
            <w:vAlign w:val="center"/>
          </w:tcPr>
          <w:p w14:paraId="3CD873BA">
            <w:pPr>
              <w:widowControl/>
              <w:spacing w:line="360" w:lineRule="exact"/>
              <w:ind w:firstLine="0" w:firstLineChars="0"/>
              <w:jc w:val="center"/>
              <w:textAlignment w:val="center"/>
              <w:rPr>
                <w:color w:val="auto"/>
                <w:sz w:val="18"/>
                <w:szCs w:val="18"/>
              </w:rPr>
            </w:pPr>
            <w:r>
              <w:rPr>
                <w:color w:val="auto"/>
                <w:sz w:val="18"/>
                <w:szCs w:val="18"/>
                <w:lang w:bidi="ar"/>
              </w:rPr>
              <w:t>0.007</w:t>
            </w:r>
          </w:p>
        </w:tc>
        <w:tc>
          <w:tcPr>
            <w:tcW w:w="2835" w:type="dxa"/>
            <w:tcMar>
              <w:top w:w="15" w:type="dxa"/>
              <w:left w:w="15" w:type="dxa"/>
              <w:right w:w="15" w:type="dxa"/>
            </w:tcMar>
            <w:vAlign w:val="center"/>
          </w:tcPr>
          <w:p w14:paraId="139C4C02">
            <w:pPr>
              <w:widowControl/>
              <w:spacing w:line="360" w:lineRule="exact"/>
              <w:ind w:firstLine="0" w:firstLineChars="0"/>
              <w:jc w:val="center"/>
              <w:textAlignment w:val="center"/>
              <w:rPr>
                <w:color w:val="auto"/>
                <w:sz w:val="18"/>
                <w:szCs w:val="18"/>
              </w:rPr>
            </w:pPr>
            <w:r>
              <w:rPr>
                <w:color w:val="auto"/>
                <w:sz w:val="18"/>
                <w:szCs w:val="18"/>
                <w:lang w:bidi="ar"/>
              </w:rPr>
              <w:t>≤1.0mg/L</w:t>
            </w:r>
          </w:p>
        </w:tc>
        <w:tc>
          <w:tcPr>
            <w:tcW w:w="2904" w:type="dxa"/>
            <w:tcMar>
              <w:top w:w="15" w:type="dxa"/>
              <w:left w:w="15" w:type="dxa"/>
              <w:right w:w="15" w:type="dxa"/>
            </w:tcMar>
            <w:vAlign w:val="center"/>
          </w:tcPr>
          <w:p w14:paraId="0AF994BD">
            <w:pPr>
              <w:widowControl/>
              <w:spacing w:line="360" w:lineRule="exact"/>
              <w:ind w:firstLine="0" w:firstLineChars="0"/>
              <w:jc w:val="center"/>
              <w:textAlignment w:val="center"/>
              <w:rPr>
                <w:color w:val="auto"/>
                <w:sz w:val="18"/>
                <w:szCs w:val="18"/>
              </w:rPr>
            </w:pPr>
            <w:r>
              <w:rPr>
                <w:color w:val="auto"/>
                <w:sz w:val="18"/>
                <w:szCs w:val="18"/>
                <w:lang w:bidi="ar"/>
              </w:rPr>
              <w:t>≤1.0mg/L</w:t>
            </w:r>
          </w:p>
        </w:tc>
      </w:tr>
      <w:tr w14:paraId="3B245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11CCC1FA">
            <w:pPr>
              <w:widowControl/>
              <w:spacing w:line="360" w:lineRule="exact"/>
              <w:ind w:firstLine="0" w:firstLineChars="0"/>
              <w:jc w:val="center"/>
              <w:textAlignment w:val="center"/>
              <w:rPr>
                <w:color w:val="auto"/>
                <w:sz w:val="18"/>
                <w:szCs w:val="18"/>
              </w:rPr>
            </w:pPr>
            <w:r>
              <w:rPr>
                <w:color w:val="auto"/>
                <w:sz w:val="18"/>
                <w:szCs w:val="18"/>
                <w:lang w:bidi="ar"/>
              </w:rPr>
              <w:t>17</w:t>
            </w:r>
          </w:p>
        </w:tc>
        <w:tc>
          <w:tcPr>
            <w:tcW w:w="2360" w:type="dxa"/>
            <w:tcMar>
              <w:top w:w="15" w:type="dxa"/>
              <w:left w:w="15" w:type="dxa"/>
              <w:right w:w="15" w:type="dxa"/>
            </w:tcMar>
            <w:vAlign w:val="center"/>
          </w:tcPr>
          <w:p w14:paraId="7867A2D7">
            <w:pPr>
              <w:widowControl/>
              <w:spacing w:line="360" w:lineRule="exact"/>
              <w:ind w:firstLine="0" w:firstLineChars="0"/>
              <w:jc w:val="center"/>
              <w:textAlignment w:val="center"/>
              <w:rPr>
                <w:color w:val="auto"/>
                <w:sz w:val="18"/>
                <w:szCs w:val="18"/>
              </w:rPr>
            </w:pPr>
            <w:r>
              <w:rPr>
                <w:color w:val="auto"/>
                <w:sz w:val="18"/>
                <w:szCs w:val="18"/>
                <w:lang w:bidi="ar"/>
              </w:rPr>
              <w:t>硒（mg/L）</w:t>
            </w:r>
          </w:p>
        </w:tc>
        <w:tc>
          <w:tcPr>
            <w:tcW w:w="1624" w:type="dxa"/>
            <w:tcMar>
              <w:top w:w="15" w:type="dxa"/>
              <w:left w:w="15" w:type="dxa"/>
              <w:right w:w="15" w:type="dxa"/>
            </w:tcMar>
            <w:vAlign w:val="center"/>
          </w:tcPr>
          <w:p w14:paraId="6E2AC356">
            <w:pPr>
              <w:widowControl/>
              <w:spacing w:line="360" w:lineRule="exact"/>
              <w:ind w:firstLine="0" w:firstLineChars="0"/>
              <w:jc w:val="center"/>
              <w:textAlignment w:val="center"/>
              <w:rPr>
                <w:color w:val="auto"/>
                <w:sz w:val="18"/>
                <w:szCs w:val="18"/>
              </w:rPr>
            </w:pPr>
            <w:r>
              <w:rPr>
                <w:color w:val="auto"/>
                <w:sz w:val="18"/>
                <w:szCs w:val="18"/>
                <w:lang w:bidi="ar"/>
              </w:rPr>
              <w:t>＜0.003</w:t>
            </w:r>
          </w:p>
        </w:tc>
        <w:tc>
          <w:tcPr>
            <w:tcW w:w="1701" w:type="dxa"/>
            <w:tcMar>
              <w:top w:w="15" w:type="dxa"/>
              <w:left w:w="15" w:type="dxa"/>
              <w:right w:w="15" w:type="dxa"/>
            </w:tcMar>
            <w:vAlign w:val="center"/>
          </w:tcPr>
          <w:p w14:paraId="67D6AAC8">
            <w:pPr>
              <w:widowControl/>
              <w:spacing w:line="360" w:lineRule="exact"/>
              <w:ind w:firstLine="0" w:firstLineChars="0"/>
              <w:jc w:val="center"/>
              <w:textAlignment w:val="center"/>
              <w:rPr>
                <w:color w:val="auto"/>
                <w:sz w:val="18"/>
                <w:szCs w:val="18"/>
              </w:rPr>
            </w:pPr>
            <w:r>
              <w:rPr>
                <w:color w:val="auto"/>
                <w:sz w:val="18"/>
                <w:szCs w:val="18"/>
                <w:lang w:bidi="ar"/>
              </w:rPr>
              <w:t>＜0.003</w:t>
            </w:r>
          </w:p>
        </w:tc>
        <w:tc>
          <w:tcPr>
            <w:tcW w:w="1842" w:type="dxa"/>
            <w:tcMar>
              <w:top w:w="15" w:type="dxa"/>
              <w:left w:w="15" w:type="dxa"/>
              <w:right w:w="15" w:type="dxa"/>
            </w:tcMar>
            <w:vAlign w:val="center"/>
          </w:tcPr>
          <w:p w14:paraId="0DD05FB0">
            <w:pPr>
              <w:widowControl/>
              <w:spacing w:line="360" w:lineRule="exact"/>
              <w:ind w:firstLine="0" w:firstLineChars="0"/>
              <w:jc w:val="center"/>
              <w:textAlignment w:val="center"/>
              <w:rPr>
                <w:color w:val="auto"/>
                <w:sz w:val="18"/>
                <w:szCs w:val="18"/>
              </w:rPr>
            </w:pPr>
            <w:r>
              <w:rPr>
                <w:color w:val="auto"/>
                <w:sz w:val="18"/>
                <w:szCs w:val="18"/>
                <w:lang w:bidi="ar"/>
              </w:rPr>
              <w:t>＜0.003</w:t>
            </w:r>
          </w:p>
        </w:tc>
        <w:tc>
          <w:tcPr>
            <w:tcW w:w="2835" w:type="dxa"/>
            <w:tcMar>
              <w:top w:w="15" w:type="dxa"/>
              <w:left w:w="15" w:type="dxa"/>
              <w:right w:w="15" w:type="dxa"/>
            </w:tcMar>
            <w:vAlign w:val="center"/>
          </w:tcPr>
          <w:p w14:paraId="57C5A95A">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0.01</w:t>
            </w:r>
            <w:r>
              <w:rPr>
                <w:color w:val="auto"/>
                <w:sz w:val="18"/>
                <w:szCs w:val="18"/>
                <w:lang w:bidi="ar"/>
              </w:rPr>
              <w:t>mg/L</w:t>
            </w:r>
          </w:p>
        </w:tc>
        <w:tc>
          <w:tcPr>
            <w:tcW w:w="2904" w:type="dxa"/>
            <w:tcMar>
              <w:top w:w="15" w:type="dxa"/>
              <w:left w:w="15" w:type="dxa"/>
              <w:right w:w="15" w:type="dxa"/>
            </w:tcMar>
            <w:vAlign w:val="center"/>
          </w:tcPr>
          <w:p w14:paraId="1DAC653D">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0.01</w:t>
            </w:r>
            <w:r>
              <w:rPr>
                <w:color w:val="auto"/>
                <w:sz w:val="18"/>
                <w:szCs w:val="18"/>
                <w:lang w:bidi="ar"/>
              </w:rPr>
              <w:t>mg/L</w:t>
            </w:r>
          </w:p>
        </w:tc>
      </w:tr>
      <w:tr w14:paraId="5C2EA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7148CE43">
            <w:pPr>
              <w:widowControl/>
              <w:spacing w:line="360" w:lineRule="exact"/>
              <w:ind w:firstLine="0" w:firstLineChars="0"/>
              <w:jc w:val="center"/>
              <w:textAlignment w:val="center"/>
              <w:rPr>
                <w:color w:val="auto"/>
                <w:sz w:val="18"/>
                <w:szCs w:val="18"/>
              </w:rPr>
            </w:pPr>
            <w:r>
              <w:rPr>
                <w:color w:val="auto"/>
                <w:sz w:val="18"/>
                <w:szCs w:val="18"/>
                <w:lang w:bidi="ar"/>
              </w:rPr>
              <w:t>18</w:t>
            </w:r>
          </w:p>
        </w:tc>
        <w:tc>
          <w:tcPr>
            <w:tcW w:w="2360" w:type="dxa"/>
            <w:tcMar>
              <w:top w:w="15" w:type="dxa"/>
              <w:left w:w="15" w:type="dxa"/>
              <w:right w:w="15" w:type="dxa"/>
            </w:tcMar>
            <w:vAlign w:val="center"/>
          </w:tcPr>
          <w:p w14:paraId="0FD3DB92">
            <w:pPr>
              <w:widowControl/>
              <w:spacing w:line="360" w:lineRule="exact"/>
              <w:ind w:firstLine="0" w:firstLineChars="0"/>
              <w:jc w:val="center"/>
              <w:textAlignment w:val="center"/>
              <w:rPr>
                <w:color w:val="auto"/>
                <w:sz w:val="18"/>
                <w:szCs w:val="18"/>
              </w:rPr>
            </w:pPr>
            <w:r>
              <w:rPr>
                <w:color w:val="auto"/>
                <w:sz w:val="18"/>
                <w:szCs w:val="18"/>
                <w:lang w:bidi="ar"/>
              </w:rPr>
              <w:t>汞（mg/L）</w:t>
            </w:r>
          </w:p>
        </w:tc>
        <w:tc>
          <w:tcPr>
            <w:tcW w:w="1624" w:type="dxa"/>
            <w:tcMar>
              <w:top w:w="15" w:type="dxa"/>
              <w:left w:w="15" w:type="dxa"/>
              <w:right w:w="15" w:type="dxa"/>
            </w:tcMar>
            <w:vAlign w:val="center"/>
          </w:tcPr>
          <w:p w14:paraId="3992BB53">
            <w:pPr>
              <w:widowControl/>
              <w:spacing w:line="360" w:lineRule="exact"/>
              <w:ind w:firstLine="0" w:firstLineChars="0"/>
              <w:jc w:val="center"/>
              <w:textAlignment w:val="center"/>
              <w:rPr>
                <w:color w:val="auto"/>
                <w:sz w:val="18"/>
                <w:szCs w:val="18"/>
              </w:rPr>
            </w:pPr>
            <w:r>
              <w:rPr>
                <w:color w:val="auto"/>
                <w:sz w:val="18"/>
                <w:szCs w:val="18"/>
                <w:lang w:bidi="ar"/>
              </w:rPr>
              <w:t>＜0.0001</w:t>
            </w:r>
          </w:p>
        </w:tc>
        <w:tc>
          <w:tcPr>
            <w:tcW w:w="1701" w:type="dxa"/>
            <w:tcMar>
              <w:top w:w="15" w:type="dxa"/>
              <w:left w:w="15" w:type="dxa"/>
              <w:right w:w="15" w:type="dxa"/>
            </w:tcMar>
            <w:vAlign w:val="center"/>
          </w:tcPr>
          <w:p w14:paraId="2CF23799">
            <w:pPr>
              <w:widowControl/>
              <w:spacing w:line="360" w:lineRule="exact"/>
              <w:ind w:firstLine="0" w:firstLineChars="0"/>
              <w:jc w:val="center"/>
              <w:textAlignment w:val="center"/>
              <w:rPr>
                <w:color w:val="auto"/>
                <w:sz w:val="18"/>
                <w:szCs w:val="18"/>
              </w:rPr>
            </w:pPr>
            <w:r>
              <w:rPr>
                <w:color w:val="auto"/>
                <w:sz w:val="18"/>
                <w:szCs w:val="18"/>
                <w:lang w:bidi="ar"/>
              </w:rPr>
              <w:t>＜0.0001</w:t>
            </w:r>
          </w:p>
        </w:tc>
        <w:tc>
          <w:tcPr>
            <w:tcW w:w="1842" w:type="dxa"/>
            <w:tcMar>
              <w:top w:w="15" w:type="dxa"/>
              <w:left w:w="15" w:type="dxa"/>
              <w:right w:w="15" w:type="dxa"/>
            </w:tcMar>
            <w:vAlign w:val="center"/>
          </w:tcPr>
          <w:p w14:paraId="7B825D73">
            <w:pPr>
              <w:widowControl/>
              <w:spacing w:line="360" w:lineRule="exact"/>
              <w:ind w:firstLine="0" w:firstLineChars="0"/>
              <w:jc w:val="center"/>
              <w:textAlignment w:val="center"/>
              <w:rPr>
                <w:color w:val="auto"/>
                <w:sz w:val="18"/>
                <w:szCs w:val="18"/>
              </w:rPr>
            </w:pPr>
            <w:r>
              <w:rPr>
                <w:color w:val="auto"/>
                <w:sz w:val="18"/>
                <w:szCs w:val="18"/>
                <w:lang w:bidi="ar"/>
              </w:rPr>
              <w:t>＜0.0001</w:t>
            </w:r>
          </w:p>
        </w:tc>
        <w:tc>
          <w:tcPr>
            <w:tcW w:w="2835" w:type="dxa"/>
            <w:tcMar>
              <w:top w:w="15" w:type="dxa"/>
              <w:left w:w="15" w:type="dxa"/>
              <w:right w:w="15" w:type="dxa"/>
            </w:tcMar>
            <w:vAlign w:val="center"/>
          </w:tcPr>
          <w:p w14:paraId="6CC28038">
            <w:pPr>
              <w:widowControl/>
              <w:spacing w:line="360" w:lineRule="exact"/>
              <w:ind w:firstLine="0" w:firstLineChars="0"/>
              <w:jc w:val="center"/>
              <w:textAlignment w:val="center"/>
              <w:rPr>
                <w:color w:val="auto"/>
                <w:sz w:val="18"/>
                <w:szCs w:val="18"/>
              </w:rPr>
            </w:pPr>
            <w:r>
              <w:rPr>
                <w:color w:val="auto"/>
                <w:sz w:val="18"/>
                <w:szCs w:val="18"/>
                <w:lang w:bidi="ar"/>
              </w:rPr>
              <w:t>≤0.00005mg/L</w:t>
            </w:r>
          </w:p>
        </w:tc>
        <w:tc>
          <w:tcPr>
            <w:tcW w:w="2904" w:type="dxa"/>
            <w:tcMar>
              <w:top w:w="15" w:type="dxa"/>
              <w:left w:w="15" w:type="dxa"/>
              <w:right w:w="15" w:type="dxa"/>
            </w:tcMar>
            <w:vAlign w:val="center"/>
          </w:tcPr>
          <w:p w14:paraId="62C80497">
            <w:pPr>
              <w:widowControl/>
              <w:spacing w:line="360" w:lineRule="exact"/>
              <w:ind w:firstLine="0" w:firstLineChars="0"/>
              <w:jc w:val="center"/>
              <w:textAlignment w:val="center"/>
              <w:rPr>
                <w:color w:val="auto"/>
                <w:sz w:val="18"/>
                <w:szCs w:val="18"/>
              </w:rPr>
            </w:pPr>
            <w:r>
              <w:rPr>
                <w:color w:val="auto"/>
                <w:sz w:val="18"/>
                <w:szCs w:val="18"/>
                <w:lang w:bidi="ar"/>
              </w:rPr>
              <w:t>≤0.001mg/L</w:t>
            </w:r>
          </w:p>
        </w:tc>
      </w:tr>
      <w:tr w14:paraId="6A170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3A35E1FA">
            <w:pPr>
              <w:widowControl/>
              <w:spacing w:line="360" w:lineRule="exact"/>
              <w:ind w:firstLine="0" w:firstLineChars="0"/>
              <w:jc w:val="center"/>
              <w:textAlignment w:val="center"/>
              <w:rPr>
                <w:color w:val="auto"/>
                <w:sz w:val="18"/>
                <w:szCs w:val="18"/>
              </w:rPr>
            </w:pPr>
            <w:r>
              <w:rPr>
                <w:color w:val="auto"/>
                <w:sz w:val="18"/>
                <w:szCs w:val="18"/>
                <w:lang w:bidi="ar"/>
              </w:rPr>
              <w:t>19</w:t>
            </w:r>
          </w:p>
        </w:tc>
        <w:tc>
          <w:tcPr>
            <w:tcW w:w="2360" w:type="dxa"/>
            <w:tcMar>
              <w:top w:w="15" w:type="dxa"/>
              <w:left w:w="15" w:type="dxa"/>
              <w:right w:w="15" w:type="dxa"/>
            </w:tcMar>
            <w:vAlign w:val="center"/>
          </w:tcPr>
          <w:p w14:paraId="7C1C1B46">
            <w:pPr>
              <w:widowControl/>
              <w:spacing w:line="360" w:lineRule="exact"/>
              <w:ind w:firstLine="0" w:firstLineChars="0"/>
              <w:jc w:val="center"/>
              <w:textAlignment w:val="center"/>
              <w:rPr>
                <w:color w:val="auto"/>
                <w:sz w:val="18"/>
                <w:szCs w:val="18"/>
              </w:rPr>
            </w:pPr>
            <w:r>
              <w:rPr>
                <w:color w:val="auto"/>
                <w:sz w:val="18"/>
                <w:szCs w:val="18"/>
                <w:lang w:bidi="ar"/>
              </w:rPr>
              <w:t>镉（mg/L）</w:t>
            </w:r>
          </w:p>
        </w:tc>
        <w:tc>
          <w:tcPr>
            <w:tcW w:w="1624" w:type="dxa"/>
            <w:tcMar>
              <w:top w:w="15" w:type="dxa"/>
              <w:left w:w="15" w:type="dxa"/>
              <w:right w:w="15" w:type="dxa"/>
            </w:tcMar>
            <w:vAlign w:val="center"/>
          </w:tcPr>
          <w:p w14:paraId="41BB438F">
            <w:pPr>
              <w:widowControl/>
              <w:spacing w:line="360" w:lineRule="exact"/>
              <w:ind w:firstLine="0" w:firstLineChars="0"/>
              <w:jc w:val="center"/>
              <w:textAlignment w:val="center"/>
              <w:rPr>
                <w:color w:val="auto"/>
                <w:sz w:val="18"/>
                <w:szCs w:val="18"/>
              </w:rPr>
            </w:pPr>
            <w:r>
              <w:rPr>
                <w:color w:val="auto"/>
                <w:sz w:val="18"/>
                <w:szCs w:val="18"/>
                <w:lang w:bidi="ar"/>
              </w:rPr>
              <w:t>＜0.001</w:t>
            </w:r>
          </w:p>
        </w:tc>
        <w:tc>
          <w:tcPr>
            <w:tcW w:w="1701" w:type="dxa"/>
            <w:tcMar>
              <w:top w:w="15" w:type="dxa"/>
              <w:left w:w="15" w:type="dxa"/>
              <w:right w:w="15" w:type="dxa"/>
            </w:tcMar>
            <w:vAlign w:val="center"/>
          </w:tcPr>
          <w:p w14:paraId="6BF08B6B">
            <w:pPr>
              <w:widowControl/>
              <w:spacing w:line="360" w:lineRule="exact"/>
              <w:ind w:firstLine="0" w:firstLineChars="0"/>
              <w:jc w:val="center"/>
              <w:textAlignment w:val="center"/>
              <w:rPr>
                <w:color w:val="auto"/>
                <w:sz w:val="18"/>
                <w:szCs w:val="18"/>
              </w:rPr>
            </w:pPr>
            <w:r>
              <w:rPr>
                <w:color w:val="auto"/>
                <w:sz w:val="18"/>
                <w:szCs w:val="18"/>
                <w:lang w:bidi="ar"/>
              </w:rPr>
              <w:t>＜0.001</w:t>
            </w:r>
          </w:p>
        </w:tc>
        <w:tc>
          <w:tcPr>
            <w:tcW w:w="1842" w:type="dxa"/>
            <w:tcMar>
              <w:top w:w="15" w:type="dxa"/>
              <w:left w:w="15" w:type="dxa"/>
              <w:right w:w="15" w:type="dxa"/>
            </w:tcMar>
            <w:vAlign w:val="center"/>
          </w:tcPr>
          <w:p w14:paraId="52DB918B">
            <w:pPr>
              <w:widowControl/>
              <w:spacing w:line="360" w:lineRule="exact"/>
              <w:ind w:firstLine="0" w:firstLineChars="0"/>
              <w:jc w:val="center"/>
              <w:textAlignment w:val="center"/>
              <w:rPr>
                <w:color w:val="auto"/>
                <w:sz w:val="18"/>
                <w:szCs w:val="18"/>
              </w:rPr>
            </w:pPr>
            <w:r>
              <w:rPr>
                <w:color w:val="auto"/>
                <w:sz w:val="18"/>
                <w:szCs w:val="18"/>
                <w:lang w:bidi="ar"/>
              </w:rPr>
              <w:t>＜0.001</w:t>
            </w:r>
          </w:p>
        </w:tc>
        <w:tc>
          <w:tcPr>
            <w:tcW w:w="2835" w:type="dxa"/>
            <w:tcMar>
              <w:top w:w="15" w:type="dxa"/>
              <w:left w:w="15" w:type="dxa"/>
              <w:right w:w="15" w:type="dxa"/>
            </w:tcMar>
            <w:vAlign w:val="center"/>
          </w:tcPr>
          <w:p w14:paraId="45DF6E8A">
            <w:pPr>
              <w:widowControl/>
              <w:spacing w:line="360" w:lineRule="exact"/>
              <w:ind w:firstLine="0" w:firstLineChars="0"/>
              <w:jc w:val="center"/>
              <w:textAlignment w:val="center"/>
              <w:rPr>
                <w:color w:val="auto"/>
                <w:sz w:val="18"/>
                <w:szCs w:val="18"/>
              </w:rPr>
            </w:pPr>
            <w:r>
              <w:rPr>
                <w:color w:val="auto"/>
                <w:sz w:val="18"/>
                <w:szCs w:val="18"/>
                <w:lang w:bidi="ar"/>
              </w:rPr>
              <w:t>≤0.005mg/L</w:t>
            </w:r>
          </w:p>
        </w:tc>
        <w:tc>
          <w:tcPr>
            <w:tcW w:w="2904" w:type="dxa"/>
            <w:tcMar>
              <w:top w:w="15" w:type="dxa"/>
              <w:left w:w="15" w:type="dxa"/>
              <w:right w:w="15" w:type="dxa"/>
            </w:tcMar>
            <w:vAlign w:val="center"/>
          </w:tcPr>
          <w:p w14:paraId="488F2EDD">
            <w:pPr>
              <w:widowControl/>
              <w:spacing w:line="360" w:lineRule="exact"/>
              <w:ind w:firstLine="0" w:firstLineChars="0"/>
              <w:jc w:val="center"/>
              <w:textAlignment w:val="center"/>
              <w:rPr>
                <w:color w:val="auto"/>
                <w:sz w:val="18"/>
                <w:szCs w:val="18"/>
              </w:rPr>
            </w:pPr>
            <w:r>
              <w:rPr>
                <w:color w:val="auto"/>
                <w:sz w:val="18"/>
                <w:szCs w:val="18"/>
                <w:lang w:bidi="ar"/>
              </w:rPr>
              <w:t>≤0.005mg/L</w:t>
            </w:r>
          </w:p>
        </w:tc>
      </w:tr>
      <w:tr w14:paraId="245A7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1409EA19">
            <w:pPr>
              <w:widowControl/>
              <w:spacing w:line="360" w:lineRule="exact"/>
              <w:ind w:firstLine="0" w:firstLineChars="0"/>
              <w:jc w:val="center"/>
              <w:textAlignment w:val="center"/>
              <w:rPr>
                <w:color w:val="auto"/>
                <w:sz w:val="18"/>
                <w:szCs w:val="18"/>
              </w:rPr>
            </w:pPr>
            <w:r>
              <w:rPr>
                <w:color w:val="auto"/>
                <w:sz w:val="18"/>
                <w:szCs w:val="18"/>
                <w:lang w:bidi="ar"/>
              </w:rPr>
              <w:t>20</w:t>
            </w:r>
          </w:p>
        </w:tc>
        <w:tc>
          <w:tcPr>
            <w:tcW w:w="2360" w:type="dxa"/>
            <w:tcMar>
              <w:top w:w="15" w:type="dxa"/>
              <w:left w:w="15" w:type="dxa"/>
              <w:right w:w="15" w:type="dxa"/>
            </w:tcMar>
            <w:vAlign w:val="center"/>
          </w:tcPr>
          <w:p w14:paraId="2887BFEF">
            <w:pPr>
              <w:widowControl/>
              <w:spacing w:line="360" w:lineRule="exact"/>
              <w:ind w:firstLine="0" w:firstLineChars="0"/>
              <w:jc w:val="center"/>
              <w:textAlignment w:val="center"/>
              <w:rPr>
                <w:color w:val="auto"/>
                <w:sz w:val="18"/>
                <w:szCs w:val="18"/>
              </w:rPr>
            </w:pPr>
            <w:r>
              <w:rPr>
                <w:color w:val="auto"/>
                <w:sz w:val="18"/>
                <w:szCs w:val="18"/>
                <w:lang w:bidi="ar"/>
              </w:rPr>
              <w:t>铅（mg/L）</w:t>
            </w:r>
          </w:p>
        </w:tc>
        <w:tc>
          <w:tcPr>
            <w:tcW w:w="1624" w:type="dxa"/>
            <w:tcMar>
              <w:top w:w="15" w:type="dxa"/>
              <w:left w:w="15" w:type="dxa"/>
              <w:right w:w="15" w:type="dxa"/>
            </w:tcMar>
            <w:vAlign w:val="center"/>
          </w:tcPr>
          <w:p w14:paraId="549EF39A">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701" w:type="dxa"/>
            <w:tcMar>
              <w:top w:w="15" w:type="dxa"/>
              <w:left w:w="15" w:type="dxa"/>
              <w:right w:w="15" w:type="dxa"/>
            </w:tcMar>
            <w:vAlign w:val="center"/>
          </w:tcPr>
          <w:p w14:paraId="1FD221B2">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842" w:type="dxa"/>
            <w:tcMar>
              <w:top w:w="15" w:type="dxa"/>
              <w:left w:w="15" w:type="dxa"/>
              <w:right w:w="15" w:type="dxa"/>
            </w:tcMar>
            <w:vAlign w:val="center"/>
          </w:tcPr>
          <w:p w14:paraId="2AC2A33A">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2835" w:type="dxa"/>
            <w:tcMar>
              <w:top w:w="15" w:type="dxa"/>
              <w:left w:w="15" w:type="dxa"/>
              <w:right w:w="15" w:type="dxa"/>
            </w:tcMar>
            <w:vAlign w:val="center"/>
          </w:tcPr>
          <w:p w14:paraId="334C4FFC">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0.01</w:t>
            </w:r>
            <w:r>
              <w:rPr>
                <w:color w:val="auto"/>
                <w:sz w:val="18"/>
                <w:szCs w:val="18"/>
                <w:lang w:bidi="ar"/>
              </w:rPr>
              <w:t>mg/L</w:t>
            </w:r>
          </w:p>
        </w:tc>
        <w:tc>
          <w:tcPr>
            <w:tcW w:w="2904" w:type="dxa"/>
            <w:tcMar>
              <w:top w:w="15" w:type="dxa"/>
              <w:left w:w="15" w:type="dxa"/>
              <w:right w:w="15" w:type="dxa"/>
            </w:tcMar>
            <w:vAlign w:val="center"/>
          </w:tcPr>
          <w:p w14:paraId="0A66EB64">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0.05</w:t>
            </w:r>
            <w:r>
              <w:rPr>
                <w:color w:val="auto"/>
                <w:sz w:val="18"/>
                <w:szCs w:val="18"/>
                <w:lang w:bidi="ar"/>
              </w:rPr>
              <w:t>mg/L</w:t>
            </w:r>
          </w:p>
        </w:tc>
      </w:tr>
      <w:tr w14:paraId="78E05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4CD7AA16">
            <w:pPr>
              <w:widowControl/>
              <w:spacing w:line="360" w:lineRule="exact"/>
              <w:ind w:firstLine="0" w:firstLineChars="0"/>
              <w:jc w:val="center"/>
              <w:textAlignment w:val="center"/>
              <w:rPr>
                <w:color w:val="auto"/>
                <w:sz w:val="18"/>
                <w:szCs w:val="18"/>
              </w:rPr>
            </w:pPr>
            <w:r>
              <w:rPr>
                <w:color w:val="auto"/>
                <w:sz w:val="18"/>
                <w:szCs w:val="18"/>
                <w:lang w:bidi="ar"/>
              </w:rPr>
              <w:t>21</w:t>
            </w:r>
          </w:p>
        </w:tc>
        <w:tc>
          <w:tcPr>
            <w:tcW w:w="2360" w:type="dxa"/>
            <w:tcMar>
              <w:top w:w="15" w:type="dxa"/>
              <w:left w:w="15" w:type="dxa"/>
              <w:right w:w="15" w:type="dxa"/>
            </w:tcMar>
            <w:vAlign w:val="center"/>
          </w:tcPr>
          <w:p w14:paraId="149F23F9">
            <w:pPr>
              <w:widowControl/>
              <w:spacing w:line="360" w:lineRule="exact"/>
              <w:ind w:firstLine="0" w:firstLineChars="0"/>
              <w:jc w:val="center"/>
              <w:textAlignment w:val="center"/>
              <w:rPr>
                <w:color w:val="auto"/>
                <w:sz w:val="18"/>
                <w:szCs w:val="18"/>
              </w:rPr>
            </w:pPr>
            <w:r>
              <w:rPr>
                <w:color w:val="auto"/>
                <w:sz w:val="18"/>
                <w:szCs w:val="18"/>
                <w:lang w:bidi="ar"/>
              </w:rPr>
              <w:t>阴离子表面活性剂（mg/L）</w:t>
            </w:r>
          </w:p>
        </w:tc>
        <w:tc>
          <w:tcPr>
            <w:tcW w:w="1624" w:type="dxa"/>
            <w:tcMar>
              <w:top w:w="15" w:type="dxa"/>
              <w:left w:w="15" w:type="dxa"/>
              <w:right w:w="15" w:type="dxa"/>
            </w:tcMar>
            <w:vAlign w:val="center"/>
          </w:tcPr>
          <w:p w14:paraId="49CB32AE">
            <w:pPr>
              <w:widowControl/>
              <w:spacing w:line="360" w:lineRule="exact"/>
              <w:ind w:firstLine="0" w:firstLineChars="0"/>
              <w:jc w:val="center"/>
              <w:textAlignment w:val="center"/>
              <w:rPr>
                <w:color w:val="auto"/>
                <w:sz w:val="18"/>
                <w:szCs w:val="18"/>
              </w:rPr>
            </w:pPr>
            <w:r>
              <w:rPr>
                <w:color w:val="auto"/>
                <w:sz w:val="18"/>
                <w:szCs w:val="18"/>
                <w:lang w:bidi="ar"/>
              </w:rPr>
              <w:t>＜0.05</w:t>
            </w:r>
          </w:p>
        </w:tc>
        <w:tc>
          <w:tcPr>
            <w:tcW w:w="1701" w:type="dxa"/>
            <w:tcMar>
              <w:top w:w="15" w:type="dxa"/>
              <w:left w:w="15" w:type="dxa"/>
              <w:right w:w="15" w:type="dxa"/>
            </w:tcMar>
            <w:vAlign w:val="center"/>
          </w:tcPr>
          <w:p w14:paraId="5CDBA143">
            <w:pPr>
              <w:widowControl/>
              <w:spacing w:line="360" w:lineRule="exact"/>
              <w:ind w:firstLine="0" w:firstLineChars="0"/>
              <w:jc w:val="center"/>
              <w:textAlignment w:val="center"/>
              <w:rPr>
                <w:color w:val="auto"/>
                <w:sz w:val="18"/>
                <w:szCs w:val="18"/>
              </w:rPr>
            </w:pPr>
            <w:r>
              <w:rPr>
                <w:color w:val="auto"/>
                <w:sz w:val="18"/>
                <w:szCs w:val="18"/>
                <w:lang w:bidi="ar"/>
              </w:rPr>
              <w:t>＜0.05</w:t>
            </w:r>
          </w:p>
        </w:tc>
        <w:tc>
          <w:tcPr>
            <w:tcW w:w="1842" w:type="dxa"/>
            <w:tcMar>
              <w:top w:w="15" w:type="dxa"/>
              <w:left w:w="15" w:type="dxa"/>
              <w:right w:w="15" w:type="dxa"/>
            </w:tcMar>
            <w:vAlign w:val="center"/>
          </w:tcPr>
          <w:p w14:paraId="6DC3279C">
            <w:pPr>
              <w:widowControl/>
              <w:spacing w:line="360" w:lineRule="exact"/>
              <w:ind w:firstLine="0" w:firstLineChars="0"/>
              <w:jc w:val="center"/>
              <w:textAlignment w:val="center"/>
              <w:rPr>
                <w:color w:val="auto"/>
                <w:sz w:val="18"/>
                <w:szCs w:val="18"/>
              </w:rPr>
            </w:pPr>
            <w:r>
              <w:rPr>
                <w:color w:val="auto"/>
                <w:sz w:val="18"/>
                <w:szCs w:val="18"/>
                <w:lang w:bidi="ar"/>
              </w:rPr>
              <w:t>＜0.05</w:t>
            </w:r>
          </w:p>
        </w:tc>
        <w:tc>
          <w:tcPr>
            <w:tcW w:w="2835" w:type="dxa"/>
            <w:tcMar>
              <w:top w:w="15" w:type="dxa"/>
              <w:left w:w="15" w:type="dxa"/>
              <w:right w:w="15" w:type="dxa"/>
            </w:tcMar>
            <w:vAlign w:val="center"/>
          </w:tcPr>
          <w:p w14:paraId="46485AE2">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0.2</w:t>
            </w:r>
            <w:r>
              <w:rPr>
                <w:color w:val="auto"/>
                <w:sz w:val="18"/>
                <w:szCs w:val="18"/>
                <w:lang w:bidi="ar"/>
              </w:rPr>
              <w:t>mg/L</w:t>
            </w:r>
          </w:p>
        </w:tc>
        <w:tc>
          <w:tcPr>
            <w:tcW w:w="2904" w:type="dxa"/>
            <w:tcMar>
              <w:top w:w="15" w:type="dxa"/>
              <w:left w:w="15" w:type="dxa"/>
              <w:right w:w="15" w:type="dxa"/>
            </w:tcMar>
            <w:vAlign w:val="center"/>
          </w:tcPr>
          <w:p w14:paraId="799D9C1A">
            <w:pPr>
              <w:widowControl/>
              <w:spacing w:line="360" w:lineRule="exact"/>
              <w:ind w:firstLine="0" w:firstLineChars="0"/>
              <w:jc w:val="center"/>
              <w:textAlignment w:val="center"/>
              <w:rPr>
                <w:color w:val="auto"/>
                <w:sz w:val="18"/>
                <w:szCs w:val="18"/>
              </w:rPr>
            </w:pPr>
            <w:r>
              <w:rPr>
                <w:color w:val="auto"/>
                <w:sz w:val="18"/>
                <w:szCs w:val="18"/>
                <w:lang w:bidi="ar"/>
              </w:rPr>
              <w:t>≤</w:t>
            </w:r>
            <w:r>
              <w:rPr>
                <w:bCs/>
                <w:color w:val="auto"/>
                <w:sz w:val="18"/>
                <w:szCs w:val="18"/>
                <w:lang w:bidi="ar"/>
              </w:rPr>
              <w:t>0.2</w:t>
            </w:r>
            <w:r>
              <w:rPr>
                <w:color w:val="auto"/>
                <w:sz w:val="18"/>
                <w:szCs w:val="18"/>
                <w:lang w:bidi="ar"/>
              </w:rPr>
              <w:t>mg/L</w:t>
            </w:r>
          </w:p>
        </w:tc>
      </w:tr>
      <w:tr w14:paraId="6B336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24127C0A">
            <w:pPr>
              <w:widowControl/>
              <w:spacing w:line="360" w:lineRule="exact"/>
              <w:ind w:firstLine="0" w:firstLineChars="0"/>
              <w:jc w:val="center"/>
              <w:textAlignment w:val="center"/>
              <w:rPr>
                <w:color w:val="auto"/>
                <w:sz w:val="18"/>
                <w:szCs w:val="18"/>
              </w:rPr>
            </w:pPr>
            <w:r>
              <w:rPr>
                <w:color w:val="auto"/>
                <w:sz w:val="18"/>
                <w:szCs w:val="18"/>
                <w:lang w:bidi="ar"/>
              </w:rPr>
              <w:t>22</w:t>
            </w:r>
          </w:p>
        </w:tc>
        <w:tc>
          <w:tcPr>
            <w:tcW w:w="2360" w:type="dxa"/>
            <w:tcMar>
              <w:top w:w="15" w:type="dxa"/>
              <w:left w:w="15" w:type="dxa"/>
              <w:right w:w="15" w:type="dxa"/>
            </w:tcMar>
            <w:vAlign w:val="center"/>
          </w:tcPr>
          <w:p w14:paraId="3BA82F4E">
            <w:pPr>
              <w:widowControl/>
              <w:spacing w:line="360" w:lineRule="exact"/>
              <w:ind w:firstLine="0" w:firstLineChars="0"/>
              <w:jc w:val="center"/>
              <w:textAlignment w:val="center"/>
              <w:rPr>
                <w:color w:val="auto"/>
                <w:sz w:val="18"/>
                <w:szCs w:val="18"/>
              </w:rPr>
            </w:pPr>
            <w:r>
              <w:rPr>
                <w:color w:val="auto"/>
                <w:sz w:val="18"/>
                <w:szCs w:val="18"/>
                <w:lang w:bidi="ar"/>
              </w:rPr>
              <w:t>挥发酚（mg/L）</w:t>
            </w:r>
          </w:p>
        </w:tc>
        <w:tc>
          <w:tcPr>
            <w:tcW w:w="1624" w:type="dxa"/>
            <w:tcMar>
              <w:top w:w="15" w:type="dxa"/>
              <w:left w:w="15" w:type="dxa"/>
              <w:right w:w="15" w:type="dxa"/>
            </w:tcMar>
            <w:vAlign w:val="center"/>
          </w:tcPr>
          <w:p w14:paraId="7C9A7200">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701" w:type="dxa"/>
            <w:tcMar>
              <w:top w:w="15" w:type="dxa"/>
              <w:left w:w="15" w:type="dxa"/>
              <w:right w:w="15" w:type="dxa"/>
            </w:tcMar>
            <w:vAlign w:val="center"/>
          </w:tcPr>
          <w:p w14:paraId="43731E84">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842" w:type="dxa"/>
            <w:tcMar>
              <w:top w:w="15" w:type="dxa"/>
              <w:left w:w="15" w:type="dxa"/>
              <w:right w:w="15" w:type="dxa"/>
            </w:tcMar>
            <w:vAlign w:val="center"/>
          </w:tcPr>
          <w:p w14:paraId="21312338">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2835" w:type="dxa"/>
            <w:tcMar>
              <w:top w:w="15" w:type="dxa"/>
              <w:left w:w="15" w:type="dxa"/>
              <w:right w:w="15" w:type="dxa"/>
            </w:tcMar>
            <w:vAlign w:val="center"/>
          </w:tcPr>
          <w:p w14:paraId="2E6AA6BF">
            <w:pPr>
              <w:widowControl/>
              <w:spacing w:line="360" w:lineRule="exact"/>
              <w:ind w:firstLine="0" w:firstLineChars="0"/>
              <w:jc w:val="center"/>
              <w:textAlignment w:val="center"/>
              <w:rPr>
                <w:color w:val="auto"/>
                <w:sz w:val="18"/>
                <w:szCs w:val="18"/>
              </w:rPr>
            </w:pPr>
            <w:r>
              <w:rPr>
                <w:color w:val="auto"/>
                <w:sz w:val="18"/>
                <w:szCs w:val="18"/>
                <w:lang w:bidi="ar"/>
              </w:rPr>
              <w:t>≤0.002mg/L</w:t>
            </w:r>
          </w:p>
        </w:tc>
        <w:tc>
          <w:tcPr>
            <w:tcW w:w="2904" w:type="dxa"/>
            <w:tcMar>
              <w:top w:w="15" w:type="dxa"/>
              <w:left w:w="15" w:type="dxa"/>
              <w:right w:w="15" w:type="dxa"/>
            </w:tcMar>
            <w:vAlign w:val="center"/>
          </w:tcPr>
          <w:p w14:paraId="358BB4F5">
            <w:pPr>
              <w:widowControl/>
              <w:spacing w:line="360" w:lineRule="exact"/>
              <w:ind w:firstLine="0" w:firstLineChars="0"/>
              <w:jc w:val="center"/>
              <w:textAlignment w:val="center"/>
              <w:rPr>
                <w:color w:val="auto"/>
                <w:sz w:val="18"/>
                <w:szCs w:val="18"/>
              </w:rPr>
            </w:pPr>
            <w:r>
              <w:rPr>
                <w:color w:val="auto"/>
                <w:sz w:val="18"/>
                <w:szCs w:val="18"/>
                <w:lang w:bidi="ar"/>
              </w:rPr>
              <w:t>≤0.005mg/L</w:t>
            </w:r>
          </w:p>
        </w:tc>
      </w:tr>
      <w:tr w14:paraId="77062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3895B138">
            <w:pPr>
              <w:widowControl/>
              <w:spacing w:line="360" w:lineRule="exact"/>
              <w:ind w:firstLine="0" w:firstLineChars="0"/>
              <w:jc w:val="center"/>
              <w:textAlignment w:val="center"/>
              <w:rPr>
                <w:color w:val="auto"/>
                <w:sz w:val="18"/>
                <w:szCs w:val="18"/>
              </w:rPr>
            </w:pPr>
            <w:r>
              <w:rPr>
                <w:color w:val="auto"/>
                <w:sz w:val="18"/>
                <w:szCs w:val="18"/>
                <w:lang w:bidi="ar"/>
              </w:rPr>
              <w:t>23</w:t>
            </w:r>
          </w:p>
        </w:tc>
        <w:tc>
          <w:tcPr>
            <w:tcW w:w="2360" w:type="dxa"/>
            <w:tcMar>
              <w:top w:w="15" w:type="dxa"/>
              <w:left w:w="15" w:type="dxa"/>
              <w:right w:w="15" w:type="dxa"/>
            </w:tcMar>
            <w:vAlign w:val="center"/>
          </w:tcPr>
          <w:p w14:paraId="41E8621D">
            <w:pPr>
              <w:widowControl/>
              <w:spacing w:line="360" w:lineRule="exact"/>
              <w:ind w:firstLine="0" w:firstLineChars="0"/>
              <w:jc w:val="center"/>
              <w:textAlignment w:val="center"/>
              <w:rPr>
                <w:color w:val="auto"/>
                <w:sz w:val="18"/>
                <w:szCs w:val="18"/>
              </w:rPr>
            </w:pPr>
            <w:r>
              <w:rPr>
                <w:color w:val="auto"/>
                <w:sz w:val="18"/>
                <w:szCs w:val="18"/>
                <w:lang w:bidi="ar"/>
              </w:rPr>
              <w:t>氰化物（mg/L）</w:t>
            </w:r>
          </w:p>
        </w:tc>
        <w:tc>
          <w:tcPr>
            <w:tcW w:w="1624" w:type="dxa"/>
            <w:tcMar>
              <w:top w:w="15" w:type="dxa"/>
              <w:left w:w="15" w:type="dxa"/>
              <w:right w:w="15" w:type="dxa"/>
            </w:tcMar>
            <w:vAlign w:val="center"/>
          </w:tcPr>
          <w:p w14:paraId="7C62E449">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701" w:type="dxa"/>
            <w:tcMar>
              <w:top w:w="15" w:type="dxa"/>
              <w:left w:w="15" w:type="dxa"/>
              <w:right w:w="15" w:type="dxa"/>
            </w:tcMar>
            <w:vAlign w:val="center"/>
          </w:tcPr>
          <w:p w14:paraId="060F7F65">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842" w:type="dxa"/>
            <w:tcMar>
              <w:top w:w="15" w:type="dxa"/>
              <w:left w:w="15" w:type="dxa"/>
              <w:right w:w="15" w:type="dxa"/>
            </w:tcMar>
            <w:vAlign w:val="center"/>
          </w:tcPr>
          <w:p w14:paraId="45FCF27D">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2835" w:type="dxa"/>
            <w:tcMar>
              <w:top w:w="15" w:type="dxa"/>
              <w:left w:w="15" w:type="dxa"/>
              <w:right w:w="15" w:type="dxa"/>
            </w:tcMar>
            <w:vAlign w:val="center"/>
          </w:tcPr>
          <w:p w14:paraId="30C039EF">
            <w:pPr>
              <w:widowControl/>
              <w:spacing w:line="360" w:lineRule="exact"/>
              <w:ind w:firstLine="0" w:firstLineChars="0"/>
              <w:jc w:val="center"/>
              <w:textAlignment w:val="center"/>
              <w:rPr>
                <w:color w:val="auto"/>
                <w:sz w:val="18"/>
                <w:szCs w:val="18"/>
              </w:rPr>
            </w:pPr>
            <w:r>
              <w:rPr>
                <w:color w:val="auto"/>
                <w:sz w:val="18"/>
                <w:szCs w:val="18"/>
                <w:lang w:bidi="ar"/>
              </w:rPr>
              <w:t>≤0.05mg/L</w:t>
            </w:r>
          </w:p>
        </w:tc>
        <w:tc>
          <w:tcPr>
            <w:tcW w:w="2904" w:type="dxa"/>
            <w:tcMar>
              <w:top w:w="15" w:type="dxa"/>
              <w:left w:w="15" w:type="dxa"/>
              <w:right w:w="15" w:type="dxa"/>
            </w:tcMar>
            <w:vAlign w:val="center"/>
          </w:tcPr>
          <w:p w14:paraId="51904419">
            <w:pPr>
              <w:widowControl/>
              <w:spacing w:line="360" w:lineRule="exact"/>
              <w:ind w:firstLine="0" w:firstLineChars="0"/>
              <w:jc w:val="center"/>
              <w:textAlignment w:val="center"/>
              <w:rPr>
                <w:color w:val="auto"/>
                <w:sz w:val="18"/>
                <w:szCs w:val="18"/>
              </w:rPr>
            </w:pPr>
            <w:r>
              <w:rPr>
                <w:color w:val="auto"/>
                <w:sz w:val="18"/>
                <w:szCs w:val="18"/>
                <w:lang w:bidi="ar"/>
              </w:rPr>
              <w:t>≤0.2mg/L</w:t>
            </w:r>
          </w:p>
        </w:tc>
      </w:tr>
      <w:tr w14:paraId="546BBD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0A2390CA">
            <w:pPr>
              <w:widowControl/>
              <w:spacing w:line="360" w:lineRule="exact"/>
              <w:ind w:firstLine="0" w:firstLineChars="0"/>
              <w:jc w:val="center"/>
              <w:textAlignment w:val="center"/>
              <w:rPr>
                <w:color w:val="auto"/>
                <w:sz w:val="18"/>
                <w:szCs w:val="18"/>
              </w:rPr>
            </w:pPr>
            <w:r>
              <w:rPr>
                <w:color w:val="auto"/>
                <w:sz w:val="18"/>
                <w:szCs w:val="18"/>
                <w:lang w:bidi="ar"/>
              </w:rPr>
              <w:t>24</w:t>
            </w:r>
          </w:p>
        </w:tc>
        <w:tc>
          <w:tcPr>
            <w:tcW w:w="2360" w:type="dxa"/>
            <w:tcMar>
              <w:top w:w="15" w:type="dxa"/>
              <w:left w:w="15" w:type="dxa"/>
              <w:right w:w="15" w:type="dxa"/>
            </w:tcMar>
            <w:vAlign w:val="center"/>
          </w:tcPr>
          <w:p w14:paraId="34AFAEA8">
            <w:pPr>
              <w:widowControl/>
              <w:spacing w:line="360" w:lineRule="exact"/>
              <w:ind w:firstLine="0" w:firstLineChars="0"/>
              <w:jc w:val="center"/>
              <w:textAlignment w:val="center"/>
              <w:rPr>
                <w:color w:val="auto"/>
                <w:sz w:val="18"/>
                <w:szCs w:val="18"/>
              </w:rPr>
            </w:pPr>
            <w:r>
              <w:rPr>
                <w:color w:val="auto"/>
                <w:sz w:val="18"/>
                <w:szCs w:val="18"/>
                <w:lang w:bidi="ar"/>
              </w:rPr>
              <w:t>铬（六价）（mg/L）</w:t>
            </w:r>
          </w:p>
        </w:tc>
        <w:tc>
          <w:tcPr>
            <w:tcW w:w="1624" w:type="dxa"/>
            <w:tcMar>
              <w:top w:w="15" w:type="dxa"/>
              <w:left w:w="15" w:type="dxa"/>
              <w:right w:w="15" w:type="dxa"/>
            </w:tcMar>
            <w:vAlign w:val="center"/>
          </w:tcPr>
          <w:p w14:paraId="3E3EE68C">
            <w:pPr>
              <w:widowControl/>
              <w:spacing w:line="360" w:lineRule="exact"/>
              <w:ind w:firstLine="0" w:firstLineChars="0"/>
              <w:jc w:val="center"/>
              <w:textAlignment w:val="center"/>
              <w:rPr>
                <w:color w:val="auto"/>
                <w:sz w:val="18"/>
                <w:szCs w:val="18"/>
              </w:rPr>
            </w:pPr>
            <w:r>
              <w:rPr>
                <w:color w:val="auto"/>
                <w:sz w:val="18"/>
                <w:szCs w:val="18"/>
                <w:lang w:bidi="ar"/>
              </w:rPr>
              <w:t>＜0.004</w:t>
            </w:r>
          </w:p>
        </w:tc>
        <w:tc>
          <w:tcPr>
            <w:tcW w:w="1701" w:type="dxa"/>
            <w:tcMar>
              <w:top w:w="15" w:type="dxa"/>
              <w:left w:w="15" w:type="dxa"/>
              <w:right w:w="15" w:type="dxa"/>
            </w:tcMar>
            <w:vAlign w:val="center"/>
          </w:tcPr>
          <w:p w14:paraId="5693A00A">
            <w:pPr>
              <w:widowControl/>
              <w:spacing w:line="360" w:lineRule="exact"/>
              <w:ind w:firstLine="0" w:firstLineChars="0"/>
              <w:jc w:val="center"/>
              <w:textAlignment w:val="center"/>
              <w:rPr>
                <w:color w:val="auto"/>
                <w:sz w:val="18"/>
                <w:szCs w:val="18"/>
              </w:rPr>
            </w:pPr>
            <w:r>
              <w:rPr>
                <w:color w:val="auto"/>
                <w:sz w:val="18"/>
                <w:szCs w:val="18"/>
                <w:lang w:bidi="ar"/>
              </w:rPr>
              <w:t>＜0.004</w:t>
            </w:r>
          </w:p>
        </w:tc>
        <w:tc>
          <w:tcPr>
            <w:tcW w:w="1842" w:type="dxa"/>
            <w:tcMar>
              <w:top w:w="15" w:type="dxa"/>
              <w:left w:w="15" w:type="dxa"/>
              <w:right w:w="15" w:type="dxa"/>
            </w:tcMar>
            <w:vAlign w:val="center"/>
          </w:tcPr>
          <w:p w14:paraId="11E77763">
            <w:pPr>
              <w:widowControl/>
              <w:spacing w:line="360" w:lineRule="exact"/>
              <w:ind w:firstLine="0" w:firstLineChars="0"/>
              <w:jc w:val="center"/>
              <w:textAlignment w:val="center"/>
              <w:rPr>
                <w:color w:val="auto"/>
                <w:sz w:val="18"/>
                <w:szCs w:val="18"/>
              </w:rPr>
            </w:pPr>
            <w:r>
              <w:rPr>
                <w:color w:val="auto"/>
                <w:sz w:val="18"/>
                <w:szCs w:val="18"/>
                <w:lang w:bidi="ar"/>
              </w:rPr>
              <w:t>＜0.004</w:t>
            </w:r>
          </w:p>
        </w:tc>
        <w:tc>
          <w:tcPr>
            <w:tcW w:w="2835" w:type="dxa"/>
            <w:tcMar>
              <w:top w:w="15" w:type="dxa"/>
              <w:left w:w="15" w:type="dxa"/>
              <w:right w:w="15" w:type="dxa"/>
            </w:tcMar>
            <w:vAlign w:val="center"/>
          </w:tcPr>
          <w:p w14:paraId="088CEAE8">
            <w:pPr>
              <w:widowControl/>
              <w:spacing w:line="360" w:lineRule="exact"/>
              <w:ind w:firstLine="0" w:firstLineChars="0"/>
              <w:jc w:val="center"/>
              <w:textAlignment w:val="center"/>
              <w:rPr>
                <w:color w:val="auto"/>
                <w:sz w:val="18"/>
                <w:szCs w:val="18"/>
              </w:rPr>
            </w:pPr>
            <w:r>
              <w:rPr>
                <w:color w:val="auto"/>
                <w:sz w:val="18"/>
                <w:szCs w:val="18"/>
                <w:lang w:bidi="ar"/>
              </w:rPr>
              <w:t>≤0.05mg/L</w:t>
            </w:r>
          </w:p>
        </w:tc>
        <w:tc>
          <w:tcPr>
            <w:tcW w:w="2904" w:type="dxa"/>
            <w:tcMar>
              <w:top w:w="15" w:type="dxa"/>
              <w:left w:w="15" w:type="dxa"/>
              <w:right w:w="15" w:type="dxa"/>
            </w:tcMar>
            <w:vAlign w:val="center"/>
          </w:tcPr>
          <w:p w14:paraId="2A8015E5">
            <w:pPr>
              <w:widowControl/>
              <w:spacing w:line="360" w:lineRule="exact"/>
              <w:ind w:firstLine="0" w:firstLineChars="0"/>
              <w:jc w:val="center"/>
              <w:textAlignment w:val="center"/>
              <w:rPr>
                <w:color w:val="auto"/>
                <w:sz w:val="18"/>
                <w:szCs w:val="18"/>
              </w:rPr>
            </w:pPr>
            <w:r>
              <w:rPr>
                <w:color w:val="auto"/>
                <w:sz w:val="18"/>
                <w:szCs w:val="18"/>
                <w:lang w:bidi="ar"/>
              </w:rPr>
              <w:t>≤0.05mg/L</w:t>
            </w:r>
          </w:p>
        </w:tc>
      </w:tr>
      <w:tr w14:paraId="01E0D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761ACC08">
            <w:pPr>
              <w:widowControl/>
              <w:spacing w:line="360" w:lineRule="exact"/>
              <w:ind w:firstLine="0" w:firstLineChars="0"/>
              <w:jc w:val="center"/>
              <w:textAlignment w:val="center"/>
              <w:rPr>
                <w:color w:val="auto"/>
                <w:sz w:val="18"/>
                <w:szCs w:val="18"/>
              </w:rPr>
            </w:pPr>
            <w:r>
              <w:rPr>
                <w:color w:val="auto"/>
                <w:sz w:val="18"/>
                <w:szCs w:val="18"/>
                <w:lang w:bidi="ar"/>
              </w:rPr>
              <w:t>25</w:t>
            </w:r>
          </w:p>
        </w:tc>
        <w:tc>
          <w:tcPr>
            <w:tcW w:w="2360" w:type="dxa"/>
            <w:tcMar>
              <w:top w:w="15" w:type="dxa"/>
              <w:left w:w="15" w:type="dxa"/>
              <w:right w:w="15" w:type="dxa"/>
            </w:tcMar>
            <w:vAlign w:val="center"/>
          </w:tcPr>
          <w:p w14:paraId="4887A9CE">
            <w:pPr>
              <w:widowControl/>
              <w:spacing w:line="360" w:lineRule="exact"/>
              <w:ind w:firstLine="0" w:firstLineChars="0"/>
              <w:jc w:val="center"/>
              <w:textAlignment w:val="center"/>
              <w:rPr>
                <w:color w:val="auto"/>
                <w:sz w:val="18"/>
                <w:szCs w:val="18"/>
              </w:rPr>
            </w:pPr>
            <w:r>
              <w:rPr>
                <w:color w:val="auto"/>
                <w:sz w:val="18"/>
                <w:szCs w:val="18"/>
                <w:lang w:bidi="ar"/>
              </w:rPr>
              <w:t>硫化物（mg/L）</w:t>
            </w:r>
          </w:p>
        </w:tc>
        <w:tc>
          <w:tcPr>
            <w:tcW w:w="1624" w:type="dxa"/>
            <w:tcMar>
              <w:top w:w="15" w:type="dxa"/>
              <w:left w:w="15" w:type="dxa"/>
              <w:right w:w="15" w:type="dxa"/>
            </w:tcMar>
            <w:vAlign w:val="center"/>
          </w:tcPr>
          <w:p w14:paraId="5D0B2124">
            <w:pPr>
              <w:widowControl/>
              <w:spacing w:line="360" w:lineRule="exact"/>
              <w:ind w:firstLine="0" w:firstLineChars="0"/>
              <w:jc w:val="center"/>
              <w:textAlignment w:val="center"/>
              <w:rPr>
                <w:color w:val="auto"/>
                <w:sz w:val="18"/>
                <w:szCs w:val="18"/>
              </w:rPr>
            </w:pPr>
            <w:r>
              <w:rPr>
                <w:color w:val="auto"/>
                <w:sz w:val="18"/>
                <w:szCs w:val="18"/>
                <w:lang w:bidi="ar"/>
              </w:rPr>
              <w:t>＜0.020</w:t>
            </w:r>
          </w:p>
        </w:tc>
        <w:tc>
          <w:tcPr>
            <w:tcW w:w="1701" w:type="dxa"/>
            <w:tcMar>
              <w:top w:w="15" w:type="dxa"/>
              <w:left w:w="15" w:type="dxa"/>
              <w:right w:w="15" w:type="dxa"/>
            </w:tcMar>
            <w:vAlign w:val="center"/>
          </w:tcPr>
          <w:p w14:paraId="66AF2889">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1842" w:type="dxa"/>
            <w:tcMar>
              <w:top w:w="15" w:type="dxa"/>
              <w:left w:w="15" w:type="dxa"/>
              <w:right w:w="15" w:type="dxa"/>
            </w:tcMar>
            <w:vAlign w:val="center"/>
          </w:tcPr>
          <w:p w14:paraId="691A8623">
            <w:pPr>
              <w:widowControl/>
              <w:spacing w:line="360" w:lineRule="exact"/>
              <w:ind w:firstLine="0" w:firstLineChars="0"/>
              <w:jc w:val="center"/>
              <w:textAlignment w:val="center"/>
              <w:rPr>
                <w:color w:val="auto"/>
                <w:sz w:val="18"/>
                <w:szCs w:val="18"/>
              </w:rPr>
            </w:pPr>
            <w:r>
              <w:rPr>
                <w:color w:val="auto"/>
                <w:sz w:val="18"/>
                <w:szCs w:val="18"/>
                <w:lang w:bidi="ar"/>
              </w:rPr>
              <w:t>＜0.002</w:t>
            </w:r>
          </w:p>
        </w:tc>
        <w:tc>
          <w:tcPr>
            <w:tcW w:w="2835" w:type="dxa"/>
            <w:tcMar>
              <w:top w:w="15" w:type="dxa"/>
              <w:left w:w="15" w:type="dxa"/>
              <w:right w:w="15" w:type="dxa"/>
            </w:tcMar>
            <w:vAlign w:val="center"/>
          </w:tcPr>
          <w:p w14:paraId="08F9FC88">
            <w:pPr>
              <w:widowControl/>
              <w:spacing w:line="360" w:lineRule="exact"/>
              <w:ind w:firstLine="0" w:firstLineChars="0"/>
              <w:jc w:val="center"/>
              <w:textAlignment w:val="center"/>
              <w:rPr>
                <w:color w:val="auto"/>
                <w:sz w:val="18"/>
                <w:szCs w:val="18"/>
              </w:rPr>
            </w:pPr>
            <w:r>
              <w:rPr>
                <w:color w:val="auto"/>
                <w:sz w:val="18"/>
                <w:szCs w:val="18"/>
                <w:lang w:bidi="ar"/>
              </w:rPr>
              <w:t>≤0.1mg/L</w:t>
            </w:r>
          </w:p>
        </w:tc>
        <w:tc>
          <w:tcPr>
            <w:tcW w:w="2904" w:type="dxa"/>
            <w:tcMar>
              <w:top w:w="15" w:type="dxa"/>
              <w:left w:w="15" w:type="dxa"/>
              <w:right w:w="15" w:type="dxa"/>
            </w:tcMar>
            <w:vAlign w:val="center"/>
          </w:tcPr>
          <w:p w14:paraId="23F83F88">
            <w:pPr>
              <w:widowControl/>
              <w:spacing w:line="360" w:lineRule="exact"/>
              <w:ind w:firstLine="0" w:firstLineChars="0"/>
              <w:jc w:val="center"/>
              <w:textAlignment w:val="center"/>
              <w:rPr>
                <w:color w:val="auto"/>
                <w:sz w:val="18"/>
                <w:szCs w:val="18"/>
              </w:rPr>
            </w:pPr>
            <w:r>
              <w:rPr>
                <w:color w:val="auto"/>
                <w:sz w:val="18"/>
                <w:szCs w:val="18"/>
                <w:lang w:bidi="ar"/>
              </w:rPr>
              <w:t>≤0.2mg/L</w:t>
            </w:r>
          </w:p>
        </w:tc>
      </w:tr>
      <w:tr w14:paraId="2D6C0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54096B19">
            <w:pPr>
              <w:widowControl/>
              <w:spacing w:line="360" w:lineRule="exact"/>
              <w:ind w:firstLine="0" w:firstLineChars="0"/>
              <w:jc w:val="center"/>
              <w:textAlignment w:val="center"/>
              <w:rPr>
                <w:color w:val="auto"/>
                <w:sz w:val="18"/>
                <w:szCs w:val="18"/>
              </w:rPr>
            </w:pPr>
            <w:r>
              <w:rPr>
                <w:color w:val="auto"/>
                <w:sz w:val="18"/>
                <w:szCs w:val="18"/>
                <w:lang w:bidi="ar"/>
              </w:rPr>
              <w:t>26</w:t>
            </w:r>
          </w:p>
        </w:tc>
        <w:tc>
          <w:tcPr>
            <w:tcW w:w="2360" w:type="dxa"/>
            <w:tcMar>
              <w:top w:w="15" w:type="dxa"/>
              <w:left w:w="15" w:type="dxa"/>
              <w:right w:w="15" w:type="dxa"/>
            </w:tcMar>
            <w:vAlign w:val="center"/>
          </w:tcPr>
          <w:p w14:paraId="04D17D61">
            <w:pPr>
              <w:widowControl/>
              <w:spacing w:line="360" w:lineRule="exact"/>
              <w:ind w:firstLine="0" w:firstLineChars="0"/>
              <w:jc w:val="center"/>
              <w:textAlignment w:val="center"/>
              <w:rPr>
                <w:color w:val="auto"/>
                <w:sz w:val="18"/>
                <w:szCs w:val="18"/>
              </w:rPr>
            </w:pPr>
            <w:r>
              <w:rPr>
                <w:color w:val="auto"/>
                <w:sz w:val="18"/>
                <w:szCs w:val="18"/>
                <w:lang w:bidi="ar"/>
              </w:rPr>
              <w:t>总磷（mg/L）</w:t>
            </w:r>
          </w:p>
        </w:tc>
        <w:tc>
          <w:tcPr>
            <w:tcW w:w="1624" w:type="dxa"/>
            <w:tcMar>
              <w:top w:w="15" w:type="dxa"/>
              <w:left w:w="15" w:type="dxa"/>
              <w:right w:w="15" w:type="dxa"/>
            </w:tcMar>
            <w:vAlign w:val="center"/>
          </w:tcPr>
          <w:p w14:paraId="33B77A8F">
            <w:pPr>
              <w:widowControl/>
              <w:spacing w:line="360" w:lineRule="exact"/>
              <w:ind w:firstLine="0" w:firstLineChars="0"/>
              <w:jc w:val="center"/>
              <w:textAlignment w:val="center"/>
              <w:rPr>
                <w:color w:val="auto"/>
                <w:sz w:val="18"/>
                <w:szCs w:val="18"/>
              </w:rPr>
            </w:pPr>
            <w:r>
              <w:rPr>
                <w:color w:val="auto"/>
                <w:sz w:val="18"/>
                <w:szCs w:val="18"/>
                <w:lang w:bidi="ar"/>
              </w:rPr>
              <w:t>0.087</w:t>
            </w:r>
          </w:p>
        </w:tc>
        <w:tc>
          <w:tcPr>
            <w:tcW w:w="1701" w:type="dxa"/>
            <w:tcMar>
              <w:top w:w="15" w:type="dxa"/>
              <w:left w:w="15" w:type="dxa"/>
              <w:right w:w="15" w:type="dxa"/>
            </w:tcMar>
            <w:vAlign w:val="center"/>
          </w:tcPr>
          <w:p w14:paraId="2126B085">
            <w:pPr>
              <w:widowControl/>
              <w:spacing w:line="360" w:lineRule="exact"/>
              <w:ind w:firstLine="0" w:firstLineChars="0"/>
              <w:jc w:val="center"/>
              <w:textAlignment w:val="center"/>
              <w:rPr>
                <w:color w:val="auto"/>
                <w:sz w:val="18"/>
                <w:szCs w:val="18"/>
              </w:rPr>
            </w:pPr>
            <w:r>
              <w:rPr>
                <w:color w:val="auto"/>
                <w:sz w:val="18"/>
                <w:szCs w:val="18"/>
                <w:lang w:bidi="ar"/>
              </w:rPr>
              <w:t>0.176</w:t>
            </w:r>
          </w:p>
        </w:tc>
        <w:tc>
          <w:tcPr>
            <w:tcW w:w="1842" w:type="dxa"/>
            <w:tcMar>
              <w:top w:w="15" w:type="dxa"/>
              <w:left w:w="15" w:type="dxa"/>
              <w:right w:w="15" w:type="dxa"/>
            </w:tcMar>
            <w:vAlign w:val="center"/>
          </w:tcPr>
          <w:p w14:paraId="47383264">
            <w:pPr>
              <w:widowControl/>
              <w:spacing w:line="360" w:lineRule="exact"/>
              <w:ind w:firstLine="0" w:firstLineChars="0"/>
              <w:jc w:val="center"/>
              <w:textAlignment w:val="center"/>
              <w:rPr>
                <w:color w:val="auto"/>
                <w:sz w:val="18"/>
                <w:szCs w:val="18"/>
              </w:rPr>
            </w:pPr>
            <w:r>
              <w:rPr>
                <w:color w:val="auto"/>
                <w:sz w:val="18"/>
                <w:szCs w:val="18"/>
                <w:lang w:bidi="ar"/>
              </w:rPr>
              <w:t>0.065</w:t>
            </w:r>
          </w:p>
        </w:tc>
        <w:tc>
          <w:tcPr>
            <w:tcW w:w="2835" w:type="dxa"/>
            <w:tcMar>
              <w:top w:w="15" w:type="dxa"/>
              <w:left w:w="15" w:type="dxa"/>
              <w:right w:w="15" w:type="dxa"/>
            </w:tcMar>
            <w:vAlign w:val="center"/>
          </w:tcPr>
          <w:p w14:paraId="52BD2566">
            <w:pPr>
              <w:widowControl/>
              <w:spacing w:line="360" w:lineRule="exact"/>
              <w:ind w:firstLine="0" w:firstLineChars="0"/>
              <w:jc w:val="center"/>
              <w:textAlignment w:val="center"/>
              <w:rPr>
                <w:color w:val="auto"/>
                <w:sz w:val="18"/>
                <w:szCs w:val="18"/>
              </w:rPr>
            </w:pPr>
            <w:r>
              <w:rPr>
                <w:color w:val="auto"/>
                <w:sz w:val="18"/>
                <w:szCs w:val="18"/>
                <w:lang w:bidi="ar"/>
              </w:rPr>
              <w:t>≤0.1mg/L</w:t>
            </w:r>
            <w:r>
              <w:rPr>
                <w:color w:val="auto"/>
                <w:sz w:val="18"/>
                <w:szCs w:val="18"/>
                <w:lang w:bidi="ar"/>
              </w:rPr>
              <w:br w:type="textWrapping"/>
            </w:r>
            <w:r>
              <w:rPr>
                <w:color w:val="auto"/>
                <w:sz w:val="18"/>
                <w:szCs w:val="18"/>
                <w:lang w:bidi="ar"/>
              </w:rPr>
              <w:t>（湖、库0.025）</w:t>
            </w:r>
          </w:p>
        </w:tc>
        <w:tc>
          <w:tcPr>
            <w:tcW w:w="2904" w:type="dxa"/>
            <w:tcMar>
              <w:top w:w="15" w:type="dxa"/>
              <w:left w:w="15" w:type="dxa"/>
              <w:right w:w="15" w:type="dxa"/>
            </w:tcMar>
            <w:vAlign w:val="center"/>
          </w:tcPr>
          <w:p w14:paraId="095710AF">
            <w:pPr>
              <w:widowControl/>
              <w:spacing w:line="360" w:lineRule="exact"/>
              <w:ind w:firstLine="0" w:firstLineChars="0"/>
              <w:jc w:val="center"/>
              <w:textAlignment w:val="center"/>
              <w:rPr>
                <w:color w:val="auto"/>
                <w:sz w:val="18"/>
                <w:szCs w:val="18"/>
              </w:rPr>
            </w:pPr>
            <w:r>
              <w:rPr>
                <w:color w:val="auto"/>
                <w:sz w:val="18"/>
                <w:szCs w:val="18"/>
                <w:lang w:bidi="ar"/>
              </w:rPr>
              <w:t>≤0.2mg/L</w:t>
            </w:r>
            <w:r>
              <w:rPr>
                <w:color w:val="auto"/>
                <w:sz w:val="18"/>
                <w:szCs w:val="18"/>
                <w:lang w:bidi="ar"/>
              </w:rPr>
              <w:br w:type="textWrapping"/>
            </w:r>
            <w:r>
              <w:rPr>
                <w:color w:val="auto"/>
                <w:sz w:val="18"/>
                <w:szCs w:val="18"/>
                <w:lang w:bidi="ar"/>
              </w:rPr>
              <w:t>（湖、库0.05）</w:t>
            </w:r>
          </w:p>
        </w:tc>
      </w:tr>
      <w:tr w14:paraId="744D6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0CDBF687">
            <w:pPr>
              <w:widowControl/>
              <w:spacing w:line="360" w:lineRule="exact"/>
              <w:ind w:firstLine="0" w:firstLineChars="0"/>
              <w:jc w:val="center"/>
              <w:textAlignment w:val="center"/>
              <w:rPr>
                <w:color w:val="auto"/>
                <w:sz w:val="18"/>
                <w:szCs w:val="18"/>
              </w:rPr>
            </w:pPr>
            <w:r>
              <w:rPr>
                <w:color w:val="auto"/>
                <w:sz w:val="18"/>
                <w:szCs w:val="18"/>
                <w:lang w:bidi="ar"/>
              </w:rPr>
              <w:t>27</w:t>
            </w:r>
          </w:p>
        </w:tc>
        <w:tc>
          <w:tcPr>
            <w:tcW w:w="2360" w:type="dxa"/>
            <w:tcMar>
              <w:top w:w="15" w:type="dxa"/>
              <w:left w:w="15" w:type="dxa"/>
              <w:right w:w="15" w:type="dxa"/>
            </w:tcMar>
            <w:vAlign w:val="center"/>
          </w:tcPr>
          <w:p w14:paraId="48882DF6">
            <w:pPr>
              <w:widowControl/>
              <w:spacing w:line="360" w:lineRule="exact"/>
              <w:ind w:firstLine="0" w:firstLineChars="0"/>
              <w:jc w:val="center"/>
              <w:textAlignment w:val="center"/>
              <w:rPr>
                <w:color w:val="auto"/>
                <w:sz w:val="18"/>
                <w:szCs w:val="18"/>
              </w:rPr>
            </w:pPr>
            <w:r>
              <w:rPr>
                <w:color w:val="auto"/>
                <w:sz w:val="18"/>
                <w:szCs w:val="18"/>
                <w:lang w:bidi="ar"/>
              </w:rPr>
              <w:t>总氮（mg/L）</w:t>
            </w:r>
          </w:p>
        </w:tc>
        <w:tc>
          <w:tcPr>
            <w:tcW w:w="1624" w:type="dxa"/>
            <w:tcMar>
              <w:top w:w="15" w:type="dxa"/>
              <w:left w:w="15" w:type="dxa"/>
              <w:right w:w="15" w:type="dxa"/>
            </w:tcMar>
            <w:vAlign w:val="center"/>
          </w:tcPr>
          <w:p w14:paraId="6F26E45D">
            <w:pPr>
              <w:widowControl/>
              <w:spacing w:line="360" w:lineRule="exact"/>
              <w:ind w:firstLine="0" w:firstLineChars="0"/>
              <w:jc w:val="center"/>
              <w:textAlignment w:val="center"/>
              <w:rPr>
                <w:color w:val="auto"/>
                <w:sz w:val="18"/>
                <w:szCs w:val="18"/>
              </w:rPr>
            </w:pPr>
            <w:r>
              <w:rPr>
                <w:color w:val="auto"/>
                <w:sz w:val="18"/>
                <w:szCs w:val="18"/>
                <w:lang w:bidi="ar"/>
              </w:rPr>
              <w:t>1.48</w:t>
            </w:r>
          </w:p>
        </w:tc>
        <w:tc>
          <w:tcPr>
            <w:tcW w:w="1701" w:type="dxa"/>
            <w:tcMar>
              <w:top w:w="15" w:type="dxa"/>
              <w:left w:w="15" w:type="dxa"/>
              <w:right w:w="15" w:type="dxa"/>
            </w:tcMar>
            <w:vAlign w:val="center"/>
          </w:tcPr>
          <w:p w14:paraId="78C63156">
            <w:pPr>
              <w:widowControl/>
              <w:spacing w:line="360" w:lineRule="exact"/>
              <w:ind w:firstLine="0" w:firstLineChars="0"/>
              <w:jc w:val="center"/>
              <w:textAlignment w:val="center"/>
              <w:rPr>
                <w:color w:val="auto"/>
                <w:sz w:val="18"/>
                <w:szCs w:val="18"/>
              </w:rPr>
            </w:pPr>
            <w:r>
              <w:rPr>
                <w:color w:val="auto"/>
                <w:sz w:val="18"/>
                <w:szCs w:val="18"/>
                <w:lang w:bidi="ar"/>
              </w:rPr>
              <w:t>2.22</w:t>
            </w:r>
          </w:p>
        </w:tc>
        <w:tc>
          <w:tcPr>
            <w:tcW w:w="1842" w:type="dxa"/>
            <w:tcMar>
              <w:top w:w="15" w:type="dxa"/>
              <w:left w:w="15" w:type="dxa"/>
              <w:right w:w="15" w:type="dxa"/>
            </w:tcMar>
            <w:vAlign w:val="center"/>
          </w:tcPr>
          <w:p w14:paraId="793D0599">
            <w:pPr>
              <w:widowControl/>
              <w:spacing w:line="360" w:lineRule="exact"/>
              <w:ind w:firstLine="0" w:firstLineChars="0"/>
              <w:jc w:val="center"/>
              <w:textAlignment w:val="center"/>
              <w:rPr>
                <w:color w:val="auto"/>
                <w:sz w:val="18"/>
                <w:szCs w:val="18"/>
              </w:rPr>
            </w:pPr>
            <w:r>
              <w:rPr>
                <w:color w:val="auto"/>
                <w:sz w:val="18"/>
                <w:szCs w:val="18"/>
                <w:lang w:bidi="ar"/>
              </w:rPr>
              <w:t>1.23</w:t>
            </w:r>
          </w:p>
        </w:tc>
        <w:tc>
          <w:tcPr>
            <w:tcW w:w="2835" w:type="dxa"/>
            <w:tcMar>
              <w:top w:w="15" w:type="dxa"/>
              <w:left w:w="15" w:type="dxa"/>
              <w:right w:w="15" w:type="dxa"/>
            </w:tcMar>
            <w:vAlign w:val="center"/>
          </w:tcPr>
          <w:p w14:paraId="46B3E321">
            <w:pPr>
              <w:widowControl/>
              <w:spacing w:line="360" w:lineRule="exact"/>
              <w:ind w:firstLine="0" w:firstLineChars="0"/>
              <w:jc w:val="center"/>
              <w:textAlignment w:val="center"/>
              <w:rPr>
                <w:color w:val="auto"/>
                <w:sz w:val="18"/>
                <w:szCs w:val="18"/>
              </w:rPr>
            </w:pPr>
            <w:r>
              <w:rPr>
                <w:color w:val="auto"/>
                <w:sz w:val="18"/>
                <w:szCs w:val="18"/>
                <w:lang w:bidi="ar"/>
              </w:rPr>
              <w:t>≤0.5mg/L</w:t>
            </w:r>
          </w:p>
        </w:tc>
        <w:tc>
          <w:tcPr>
            <w:tcW w:w="2904" w:type="dxa"/>
            <w:tcMar>
              <w:top w:w="15" w:type="dxa"/>
              <w:left w:w="15" w:type="dxa"/>
              <w:right w:w="15" w:type="dxa"/>
            </w:tcMar>
            <w:vAlign w:val="center"/>
          </w:tcPr>
          <w:p w14:paraId="10A3C114">
            <w:pPr>
              <w:widowControl/>
              <w:spacing w:line="360" w:lineRule="exact"/>
              <w:ind w:firstLine="0" w:firstLineChars="0"/>
              <w:jc w:val="center"/>
              <w:textAlignment w:val="center"/>
              <w:rPr>
                <w:color w:val="auto"/>
                <w:sz w:val="18"/>
                <w:szCs w:val="18"/>
              </w:rPr>
            </w:pPr>
            <w:r>
              <w:rPr>
                <w:color w:val="auto"/>
                <w:sz w:val="18"/>
                <w:szCs w:val="18"/>
                <w:lang w:bidi="ar"/>
              </w:rPr>
              <w:t>≤1mg/L</w:t>
            </w:r>
          </w:p>
        </w:tc>
      </w:tr>
      <w:tr w14:paraId="24A76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26" w:type="dxa"/>
            <w:tcMar>
              <w:top w:w="15" w:type="dxa"/>
              <w:left w:w="15" w:type="dxa"/>
              <w:right w:w="15" w:type="dxa"/>
            </w:tcMar>
            <w:vAlign w:val="center"/>
          </w:tcPr>
          <w:p w14:paraId="56BED495">
            <w:pPr>
              <w:widowControl/>
              <w:spacing w:line="360" w:lineRule="exact"/>
              <w:ind w:firstLine="0" w:firstLineChars="0"/>
              <w:jc w:val="center"/>
              <w:textAlignment w:val="center"/>
              <w:rPr>
                <w:color w:val="auto"/>
                <w:sz w:val="18"/>
                <w:szCs w:val="18"/>
              </w:rPr>
            </w:pPr>
            <w:r>
              <w:rPr>
                <w:color w:val="auto"/>
                <w:sz w:val="18"/>
                <w:szCs w:val="18"/>
                <w:lang w:bidi="ar"/>
              </w:rPr>
              <w:t>28</w:t>
            </w:r>
          </w:p>
        </w:tc>
        <w:tc>
          <w:tcPr>
            <w:tcW w:w="2360" w:type="dxa"/>
            <w:tcMar>
              <w:top w:w="15" w:type="dxa"/>
              <w:left w:w="15" w:type="dxa"/>
              <w:right w:w="15" w:type="dxa"/>
            </w:tcMar>
            <w:vAlign w:val="center"/>
          </w:tcPr>
          <w:p w14:paraId="35F4E863">
            <w:pPr>
              <w:widowControl/>
              <w:spacing w:line="360" w:lineRule="exact"/>
              <w:ind w:firstLine="0" w:firstLineChars="0"/>
              <w:jc w:val="center"/>
              <w:textAlignment w:val="center"/>
              <w:rPr>
                <w:color w:val="auto"/>
                <w:sz w:val="18"/>
                <w:szCs w:val="18"/>
              </w:rPr>
            </w:pPr>
            <w:r>
              <w:rPr>
                <w:color w:val="auto"/>
                <w:sz w:val="18"/>
                <w:szCs w:val="18"/>
                <w:lang w:bidi="ar"/>
              </w:rPr>
              <w:t>氨氮（mg/L）</w:t>
            </w:r>
          </w:p>
        </w:tc>
        <w:tc>
          <w:tcPr>
            <w:tcW w:w="1624" w:type="dxa"/>
            <w:tcMar>
              <w:top w:w="15" w:type="dxa"/>
              <w:left w:w="15" w:type="dxa"/>
              <w:right w:w="15" w:type="dxa"/>
            </w:tcMar>
            <w:vAlign w:val="center"/>
          </w:tcPr>
          <w:p w14:paraId="7117D23C">
            <w:pPr>
              <w:widowControl/>
              <w:spacing w:line="360" w:lineRule="exact"/>
              <w:ind w:firstLine="0" w:firstLineChars="0"/>
              <w:jc w:val="center"/>
              <w:textAlignment w:val="center"/>
              <w:rPr>
                <w:color w:val="auto"/>
                <w:sz w:val="18"/>
                <w:szCs w:val="18"/>
              </w:rPr>
            </w:pPr>
            <w:r>
              <w:rPr>
                <w:color w:val="auto"/>
                <w:sz w:val="18"/>
                <w:szCs w:val="18"/>
                <w:lang w:bidi="ar"/>
              </w:rPr>
              <w:t>0.181</w:t>
            </w:r>
          </w:p>
        </w:tc>
        <w:tc>
          <w:tcPr>
            <w:tcW w:w="1701" w:type="dxa"/>
            <w:tcMar>
              <w:top w:w="15" w:type="dxa"/>
              <w:left w:w="15" w:type="dxa"/>
              <w:right w:w="15" w:type="dxa"/>
            </w:tcMar>
            <w:vAlign w:val="center"/>
          </w:tcPr>
          <w:p w14:paraId="11470E27">
            <w:pPr>
              <w:widowControl/>
              <w:spacing w:line="360" w:lineRule="exact"/>
              <w:ind w:firstLine="0" w:firstLineChars="0"/>
              <w:jc w:val="center"/>
              <w:textAlignment w:val="center"/>
              <w:rPr>
                <w:color w:val="auto"/>
                <w:sz w:val="18"/>
                <w:szCs w:val="18"/>
              </w:rPr>
            </w:pPr>
            <w:r>
              <w:rPr>
                <w:color w:val="auto"/>
                <w:sz w:val="18"/>
                <w:szCs w:val="18"/>
                <w:lang w:bidi="ar"/>
              </w:rPr>
              <w:t>0.108</w:t>
            </w:r>
          </w:p>
        </w:tc>
        <w:tc>
          <w:tcPr>
            <w:tcW w:w="1842" w:type="dxa"/>
            <w:tcMar>
              <w:top w:w="15" w:type="dxa"/>
              <w:left w:w="15" w:type="dxa"/>
              <w:right w:w="15" w:type="dxa"/>
            </w:tcMar>
            <w:vAlign w:val="center"/>
          </w:tcPr>
          <w:p w14:paraId="25211029">
            <w:pPr>
              <w:widowControl/>
              <w:spacing w:line="360" w:lineRule="exact"/>
              <w:ind w:firstLine="0" w:firstLineChars="0"/>
              <w:jc w:val="center"/>
              <w:textAlignment w:val="center"/>
              <w:rPr>
                <w:color w:val="auto"/>
                <w:sz w:val="18"/>
                <w:szCs w:val="18"/>
              </w:rPr>
            </w:pPr>
            <w:r>
              <w:rPr>
                <w:color w:val="auto"/>
                <w:sz w:val="18"/>
                <w:szCs w:val="18"/>
                <w:lang w:bidi="ar"/>
              </w:rPr>
              <w:t>0.045</w:t>
            </w:r>
          </w:p>
        </w:tc>
        <w:tc>
          <w:tcPr>
            <w:tcW w:w="2835" w:type="dxa"/>
            <w:tcMar>
              <w:top w:w="15" w:type="dxa"/>
              <w:left w:w="15" w:type="dxa"/>
              <w:right w:w="15" w:type="dxa"/>
            </w:tcMar>
            <w:vAlign w:val="center"/>
          </w:tcPr>
          <w:p w14:paraId="2F05268A">
            <w:pPr>
              <w:widowControl/>
              <w:spacing w:line="360" w:lineRule="exact"/>
              <w:ind w:firstLine="0" w:firstLineChars="0"/>
              <w:jc w:val="center"/>
              <w:textAlignment w:val="center"/>
              <w:rPr>
                <w:color w:val="auto"/>
                <w:sz w:val="18"/>
                <w:szCs w:val="18"/>
              </w:rPr>
            </w:pPr>
            <w:r>
              <w:rPr>
                <w:color w:val="auto"/>
                <w:sz w:val="18"/>
                <w:szCs w:val="18"/>
                <w:lang w:bidi="ar"/>
              </w:rPr>
              <w:t>≤0.5mg/L</w:t>
            </w:r>
          </w:p>
        </w:tc>
        <w:tc>
          <w:tcPr>
            <w:tcW w:w="2904" w:type="dxa"/>
            <w:tcMar>
              <w:top w:w="15" w:type="dxa"/>
              <w:left w:w="15" w:type="dxa"/>
              <w:right w:w="15" w:type="dxa"/>
            </w:tcMar>
            <w:vAlign w:val="center"/>
          </w:tcPr>
          <w:p w14:paraId="13C19F70">
            <w:pPr>
              <w:widowControl/>
              <w:spacing w:line="360" w:lineRule="exact"/>
              <w:ind w:firstLine="0" w:firstLineChars="0"/>
              <w:jc w:val="center"/>
              <w:textAlignment w:val="center"/>
              <w:rPr>
                <w:color w:val="auto"/>
                <w:sz w:val="18"/>
                <w:szCs w:val="18"/>
              </w:rPr>
            </w:pPr>
            <w:r>
              <w:rPr>
                <w:color w:val="auto"/>
                <w:sz w:val="18"/>
                <w:szCs w:val="18"/>
                <w:lang w:bidi="ar"/>
              </w:rPr>
              <w:t>≤1mg/L</w:t>
            </w:r>
          </w:p>
        </w:tc>
      </w:tr>
    </w:tbl>
    <w:p w14:paraId="5D7697F2">
      <w:pPr>
        <w:pStyle w:val="5"/>
        <w:spacing w:before="166" w:after="166"/>
        <w:rPr>
          <w:color w:val="auto"/>
        </w:rPr>
        <w:sectPr>
          <w:pgSz w:w="16838" w:h="11905" w:orient="landscape"/>
          <w:pgMar w:top="1587" w:right="1417" w:bottom="1417" w:left="1417" w:header="850" w:footer="992" w:gutter="0"/>
          <w:cols w:space="0" w:num="1"/>
          <w:docGrid w:type="lines" w:linePitch="333" w:charSpace="0"/>
        </w:sectPr>
      </w:pPr>
    </w:p>
    <w:p w14:paraId="5447C6C0">
      <w:pPr>
        <w:pStyle w:val="6"/>
        <w:numPr>
          <w:ilvl w:val="3"/>
          <w:numId w:val="0"/>
        </w:numPr>
        <w:rPr>
          <w:color w:val="auto"/>
        </w:rPr>
      </w:pPr>
      <w:r>
        <w:rPr>
          <w:color w:val="auto"/>
        </w:rPr>
        <w:t>6.3.4.2西彭水厂</w:t>
      </w:r>
    </w:p>
    <w:p w14:paraId="7D7D8397">
      <w:pPr>
        <w:snapToGrid w:val="0"/>
        <w:spacing w:line="560" w:lineRule="exact"/>
        <w:ind w:firstLine="480"/>
        <w:rPr>
          <w:snapToGrid w:val="0"/>
          <w:color w:val="auto"/>
        </w:rPr>
      </w:pPr>
      <w:r>
        <w:rPr>
          <w:snapToGrid w:val="0"/>
          <w:color w:val="auto"/>
        </w:rPr>
        <w:t>西南铝业取水口为现状取水口，根据多年运行情况，水质可达到Ⅱ类水质标准，</w:t>
      </w:r>
      <w:r>
        <w:rPr>
          <w:color w:val="auto"/>
        </w:rPr>
        <w:t>可作为生活饮用水水源。原水经常规处理后，能达到最新最严的国家《生活饮用水卫生标准》（GB5749-2006）</w:t>
      </w:r>
      <w:r>
        <w:rPr>
          <w:snapToGrid w:val="0"/>
          <w:color w:val="auto"/>
        </w:rPr>
        <w:t>。</w:t>
      </w:r>
    </w:p>
    <w:p w14:paraId="7AE8D5B9">
      <w:pPr>
        <w:snapToGrid w:val="0"/>
        <w:spacing w:line="560" w:lineRule="exact"/>
        <w:ind w:firstLine="480"/>
        <w:rPr>
          <w:snapToGrid w:val="0"/>
          <w:color w:val="auto"/>
        </w:rPr>
      </w:pPr>
      <w:r>
        <w:rPr>
          <w:snapToGrid w:val="0"/>
          <w:color w:val="auto"/>
        </w:rPr>
        <w:t>根据《重庆市水资源公报（2019年）》，</w:t>
      </w:r>
      <w:r>
        <w:rPr>
          <w:b/>
          <w:snapToGrid w:val="0"/>
          <w:color w:val="auto"/>
          <w:szCs w:val="28"/>
        </w:rPr>
        <w:t>德感趸船</w:t>
      </w:r>
      <w:r>
        <w:rPr>
          <w:snapToGrid w:val="0"/>
          <w:color w:val="auto"/>
        </w:rPr>
        <w:t>取水口位于长江上游珍稀、特有鱼类国家级自然保护区，根据检测成果，水功能区水质能达到Ⅱ类水质标准，</w:t>
      </w:r>
      <w:r>
        <w:rPr>
          <w:color w:val="auto"/>
        </w:rPr>
        <w:t>可作为生活饮用水水源。原水经常规处理后，能达到最新最严的国家《生活饮用水卫生标准》（GB5749-2006）。</w:t>
      </w:r>
    </w:p>
    <w:p w14:paraId="463404AB">
      <w:pPr>
        <w:pStyle w:val="5"/>
        <w:numPr>
          <w:ilvl w:val="0"/>
          <w:numId w:val="0"/>
        </w:numPr>
        <w:spacing w:before="166" w:after="166"/>
        <w:rPr>
          <w:color w:val="auto"/>
        </w:rPr>
      </w:pPr>
      <w:r>
        <w:rPr>
          <w:color w:val="auto"/>
        </w:rPr>
        <w:t>6.3.5 取水口水位可靠性分析</w:t>
      </w:r>
    </w:p>
    <w:p w14:paraId="79E8FADD">
      <w:pPr>
        <w:pStyle w:val="6"/>
        <w:numPr>
          <w:ilvl w:val="3"/>
          <w:numId w:val="0"/>
        </w:numPr>
        <w:rPr>
          <w:color w:val="auto"/>
        </w:rPr>
      </w:pPr>
      <w:r>
        <w:rPr>
          <w:color w:val="auto"/>
        </w:rPr>
        <w:t>6.3.5.1和尚山水厂</w:t>
      </w:r>
    </w:p>
    <w:p w14:paraId="58E60350">
      <w:pPr>
        <w:ind w:firstLine="480"/>
        <w:rPr>
          <w:color w:val="auto"/>
        </w:rPr>
      </w:pPr>
      <w:r>
        <w:rPr>
          <w:color w:val="auto"/>
        </w:rPr>
        <w:t>取水口上游130km处有长江朱沱水文站，下游48km处有长江寸滩水文站。朱沱、寸滩站均为国家一类精度水文站，成果质量可靠。此外取水口上游20km处有钓二嘴水位站，下游14.4km处有玄坛庙水位站。首先根据各设计流量查出钓二嘴及玄坛庙站的相应水位，然后采用水面线法公式从下往上推算，当钓二嘴站推算水位与查算水位相符时，取水口断面的推算水位即为采用的设计水位。本期工程取水口断面P=97%水位162.45m。</w:t>
      </w:r>
    </w:p>
    <w:p w14:paraId="7FDAD9B6">
      <w:pPr>
        <w:ind w:firstLine="480"/>
        <w:rPr>
          <w:color w:val="auto"/>
        </w:rPr>
      </w:pPr>
      <w:r>
        <w:rPr>
          <w:color w:val="auto"/>
        </w:rPr>
        <w:t>和尚山水厂取水口中心高程155.92m。根据计算可知，取水口处最枯水位高于本取水口高程155.92m以上6.53m。因此无论长江来水多少，在此段取水水位完全有保障。水厂自1999年建成运行以来，均能正常取水，取水口淹没水深满足取水要求。</w:t>
      </w:r>
    </w:p>
    <w:p w14:paraId="4DAB5A2D">
      <w:pPr>
        <w:ind w:firstLine="480"/>
        <w:rPr>
          <w:color w:val="auto"/>
        </w:rPr>
      </w:pPr>
      <w:r>
        <w:rPr>
          <w:color w:val="auto"/>
        </w:rPr>
        <w:t>受三峡水库调度运行，取水口枯季水位抬高。分析取水口上游4.9km处的钓二嘴水位站近5年枯季水位，可以看出，10月水位最高，后逐步降低，最低水位出现在3月或4月。近5年枯季水位最低水位168.0m。</w:t>
      </w:r>
    </w:p>
    <w:p w14:paraId="33E84F2E">
      <w:pPr>
        <w:pStyle w:val="6"/>
        <w:numPr>
          <w:ilvl w:val="3"/>
          <w:numId w:val="0"/>
        </w:numPr>
        <w:rPr>
          <w:color w:val="auto"/>
        </w:rPr>
      </w:pPr>
      <w:r>
        <w:rPr>
          <w:color w:val="auto"/>
        </w:rPr>
        <w:t>6.3.5.2丰收坝水厂</w:t>
      </w:r>
    </w:p>
    <w:p w14:paraId="4C0F2951">
      <w:pPr>
        <w:adjustRightInd w:val="0"/>
        <w:spacing w:line="560" w:lineRule="exact"/>
        <w:ind w:firstLine="480"/>
        <w:rPr>
          <w:color w:val="auto"/>
        </w:rPr>
      </w:pPr>
      <w:r>
        <w:rPr>
          <w:color w:val="auto"/>
        </w:rPr>
        <w:t>取水口上游118km处有长江朱沱水文站，下游35.7km处有长江寸滩水文站。朱沱、寸滩站均为国家一类精度水文站，成果质量可靠。此外取水口上游4.9km处有钓二嘴水位站，下游12.8km处有李家沱水位站。首先根据各设计流量查出李家沱及钓二嘴站的相应水位，然后采用水面线法公式从下往上推算，当钓二嘴站推算水位与查算水位相符时，取水口断面的推算水位即为采用的设计水位。本工程取水口断面P=97%水位165.81m。</w:t>
      </w:r>
    </w:p>
    <w:p w14:paraId="2BAF82F1">
      <w:pPr>
        <w:adjustRightInd w:val="0"/>
        <w:spacing w:line="560" w:lineRule="exact"/>
        <w:ind w:firstLine="480"/>
        <w:rPr>
          <w:color w:val="auto"/>
          <w:szCs w:val="28"/>
        </w:rPr>
      </w:pPr>
      <w:r>
        <w:rPr>
          <w:color w:val="auto"/>
        </w:rPr>
        <w:t>根据《重庆市大渡口区丰收坝水厂一期工程初步设计报告》可知，取水口中心高程164.0m。根据计算可知，取水口处最枯水位165.81m，高于本取水口高程164.0m以上1.81m。因此无论长江来水多少，在此段取水水位完全有保障。</w:t>
      </w:r>
      <w:bookmarkStart w:id="73" w:name="OLE_LINK19"/>
      <w:r>
        <w:rPr>
          <w:color w:val="auto"/>
          <w:szCs w:val="28"/>
        </w:rPr>
        <w:t>水厂自2005年建设完成运行15年期间，均能正常取水，取水口淹没水深满足取水要求。</w:t>
      </w:r>
      <w:bookmarkEnd w:id="73"/>
    </w:p>
    <w:p w14:paraId="7DF1E1AC">
      <w:pPr>
        <w:adjustRightInd w:val="0"/>
        <w:spacing w:line="560" w:lineRule="exact"/>
        <w:ind w:firstLine="480"/>
        <w:rPr>
          <w:color w:val="auto"/>
        </w:rPr>
      </w:pPr>
      <w:r>
        <w:rPr>
          <w:color w:val="auto"/>
        </w:rPr>
        <w:t>受三峡水库调度运行，取水口枯季水位抬高。分析取水口上游4.9km处的钓二嘴水位站近5年枯季水位，可以看出，10月水位最高，后逐步降低，最低水位出现在3月或4月。近5年枯季水位最低水位168.0m。</w:t>
      </w:r>
    </w:p>
    <w:p w14:paraId="3D4A5656">
      <w:pPr>
        <w:spacing w:line="240" w:lineRule="auto"/>
        <w:ind w:firstLine="480"/>
        <w:rPr>
          <w:color w:val="auto"/>
        </w:rPr>
      </w:pPr>
      <w:r>
        <w:rPr>
          <w:color w:val="auto"/>
        </w:rPr>
        <w:drawing>
          <wp:inline distT="0" distB="0" distL="114300" distR="114300">
            <wp:extent cx="5276215" cy="2604770"/>
            <wp:effectExtent l="9525" t="9525" r="10160" b="14605"/>
            <wp:docPr id="36" name="图片 12" descr="QQ图片2019110707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QQ图片20191107075556"/>
                    <pic:cNvPicPr>
                      <a:picLocks noChangeAspect="1"/>
                    </pic:cNvPicPr>
                  </pic:nvPicPr>
                  <pic:blipFill>
                    <a:blip r:embed="rId33"/>
                    <a:stretch>
                      <a:fillRect/>
                    </a:stretch>
                  </pic:blipFill>
                  <pic:spPr>
                    <a:xfrm>
                      <a:off x="0" y="0"/>
                      <a:ext cx="5276215" cy="2604770"/>
                    </a:xfrm>
                    <a:prstGeom prst="rect">
                      <a:avLst/>
                    </a:prstGeom>
                    <a:noFill/>
                    <a:ln>
                      <a:solidFill>
                        <a:schemeClr val="tx1"/>
                      </a:solidFill>
                    </a:ln>
                  </pic:spPr>
                </pic:pic>
              </a:graphicData>
            </a:graphic>
          </wp:inline>
        </w:drawing>
      </w:r>
    </w:p>
    <w:p w14:paraId="0E17E0DD">
      <w:pPr>
        <w:adjustRightInd w:val="0"/>
        <w:snapToGrid w:val="0"/>
        <w:spacing w:line="360" w:lineRule="auto"/>
        <w:ind w:firstLine="482"/>
        <w:jc w:val="center"/>
        <w:rPr>
          <w:color w:val="auto"/>
        </w:rPr>
      </w:pPr>
      <w:r>
        <w:rPr>
          <w:b/>
          <w:bCs/>
          <w:color w:val="auto"/>
        </w:rPr>
        <w:t>图6.3-1 钓二嘴水位站近5年枯季水位</w:t>
      </w:r>
    </w:p>
    <w:p w14:paraId="05C1BBE4">
      <w:pPr>
        <w:pStyle w:val="6"/>
        <w:numPr>
          <w:ilvl w:val="3"/>
          <w:numId w:val="0"/>
        </w:numPr>
        <w:rPr>
          <w:color w:val="auto"/>
        </w:rPr>
      </w:pPr>
      <w:r>
        <w:rPr>
          <w:color w:val="auto"/>
        </w:rPr>
        <w:t>6.3.5.3西彭水厂</w:t>
      </w:r>
    </w:p>
    <w:p w14:paraId="7D2F6069">
      <w:pPr>
        <w:snapToGrid w:val="0"/>
        <w:spacing w:line="560" w:lineRule="exact"/>
        <w:ind w:firstLine="480"/>
        <w:rPr>
          <w:snapToGrid w:val="0"/>
          <w:color w:val="auto"/>
        </w:rPr>
      </w:pPr>
      <w:r>
        <w:rPr>
          <w:snapToGrid w:val="0"/>
          <w:color w:val="auto"/>
          <w:szCs w:val="28"/>
        </w:rPr>
        <w:t>德感趸船</w:t>
      </w:r>
      <w:r>
        <w:rPr>
          <w:color w:val="auto"/>
          <w:szCs w:val="28"/>
        </w:rPr>
        <w:t>上下浮动，不受水位影响，取水水位满足要求。西南铝业集团的取水头部DN1300吸水管中心标高为175.37m，取水头部上缘标高为176.02m，长江取水点P=97%枯水位177.52m，比西南铝业集团取水口头部上缘高1.5m，取水口的取水水位能够得到保障，同时西南铝业取水口已运行多年，取水水位保障良好，无不良情况发生。</w:t>
      </w:r>
    </w:p>
    <w:p w14:paraId="4D0E1C41">
      <w:pPr>
        <w:pStyle w:val="5"/>
        <w:numPr>
          <w:ilvl w:val="0"/>
          <w:numId w:val="0"/>
        </w:numPr>
        <w:spacing w:before="166" w:after="166"/>
        <w:rPr>
          <w:color w:val="auto"/>
        </w:rPr>
      </w:pPr>
      <w:r>
        <w:rPr>
          <w:color w:val="auto"/>
        </w:rPr>
        <w:t>6.3.6 对第三者的影响</w:t>
      </w:r>
    </w:p>
    <w:p w14:paraId="7D2145B6">
      <w:pPr>
        <w:ind w:firstLine="480"/>
        <w:rPr>
          <w:bCs/>
          <w:color w:val="auto"/>
          <w:lang w:val="zh-TW"/>
        </w:rPr>
      </w:pPr>
      <w:r>
        <w:rPr>
          <w:bCs/>
          <w:color w:val="auto"/>
        </w:rPr>
        <w:t>和尚山水厂、丰收坝水厂、西彭水厂</w:t>
      </w:r>
      <w:r>
        <w:rPr>
          <w:bCs/>
          <w:snapToGrid w:val="0"/>
          <w:color w:val="auto"/>
        </w:rPr>
        <w:t>德感趸船及</w:t>
      </w:r>
      <w:r>
        <w:rPr>
          <w:bCs/>
          <w:color w:val="auto"/>
        </w:rPr>
        <w:t>西南铝业取水阶段分析：由6.3.1节～6.3.3章节可知，</w:t>
      </w:r>
      <w:r>
        <w:rPr>
          <w:bCs/>
          <w:color w:val="auto"/>
          <w:lang w:val="zh-TW"/>
        </w:rPr>
        <w:t>和尚山水厂2025</w:t>
      </w:r>
      <w:r>
        <w:rPr>
          <w:bCs/>
          <w:color w:val="auto"/>
          <w:lang w:val="zh-TW" w:eastAsia="zh-TW"/>
        </w:rPr>
        <w:t>年取水量为</w:t>
      </w:r>
      <w:r>
        <w:rPr>
          <w:bCs/>
          <w:color w:val="auto"/>
        </w:rPr>
        <w:t>12194</w:t>
      </w:r>
      <w:r>
        <w:rPr>
          <w:bCs/>
          <w:color w:val="auto"/>
          <w:lang w:val="zh-TW" w:eastAsia="zh-TW"/>
        </w:rPr>
        <w:t>万m</w:t>
      </w:r>
      <w:r>
        <w:rPr>
          <w:bCs/>
          <w:color w:val="auto"/>
          <w:vertAlign w:val="superscript"/>
          <w:lang w:val="zh-TW" w:eastAsia="zh-TW"/>
        </w:rPr>
        <w:t>3</w:t>
      </w:r>
      <w:r>
        <w:rPr>
          <w:bCs/>
          <w:color w:val="auto"/>
          <w:lang w:val="zh-TW" w:eastAsia="zh-TW"/>
        </w:rPr>
        <w:t>，仅占</w:t>
      </w:r>
      <w:r>
        <w:rPr>
          <w:bCs/>
          <w:color w:val="auto"/>
          <w:lang w:val="zh-TW"/>
        </w:rPr>
        <w:t>取水口断面</w:t>
      </w:r>
      <w:r>
        <w:rPr>
          <w:bCs/>
          <w:color w:val="auto"/>
          <w:lang w:val="zh-TW" w:eastAsia="zh-TW"/>
        </w:rPr>
        <w:t>多年平均、P=97%可供水量的0.</w:t>
      </w:r>
      <w:r>
        <w:rPr>
          <w:bCs/>
          <w:color w:val="auto"/>
        </w:rPr>
        <w:t>0952</w:t>
      </w:r>
      <w:r>
        <w:rPr>
          <w:bCs/>
          <w:color w:val="auto"/>
          <w:lang w:val="zh-TW" w:eastAsia="zh-TW"/>
        </w:rPr>
        <w:t>%、0.</w:t>
      </w:r>
      <w:r>
        <w:rPr>
          <w:bCs/>
          <w:color w:val="auto"/>
        </w:rPr>
        <w:t>193</w:t>
      </w:r>
      <w:r>
        <w:rPr>
          <w:bCs/>
          <w:color w:val="auto"/>
          <w:lang w:val="zh-TW" w:eastAsia="zh-TW"/>
        </w:rPr>
        <w:t>%</w:t>
      </w:r>
      <w:r>
        <w:rPr>
          <w:bCs/>
          <w:color w:val="auto"/>
          <w:lang w:val="zh-TW"/>
        </w:rPr>
        <w:t>，丰收坝水厂2025</w:t>
      </w:r>
      <w:r>
        <w:rPr>
          <w:bCs/>
          <w:color w:val="auto"/>
          <w:lang w:val="zh-TW" w:eastAsia="zh-TW"/>
        </w:rPr>
        <w:t>年取水量</w:t>
      </w:r>
      <w:r>
        <w:rPr>
          <w:bCs/>
          <w:color w:val="auto"/>
          <w:lang w:val="zh-TW"/>
        </w:rPr>
        <w:t>仅占</w:t>
      </w:r>
      <w:r>
        <w:rPr>
          <w:bCs/>
          <w:color w:val="auto"/>
          <w:lang w:val="zh-TW" w:eastAsia="zh-TW"/>
        </w:rPr>
        <w:t>多年平均、P=97%可供水量的0.</w:t>
      </w:r>
      <w:r>
        <w:rPr>
          <w:bCs/>
          <w:color w:val="auto"/>
          <w:lang w:val="zh-TW"/>
        </w:rPr>
        <w:t>109</w:t>
      </w:r>
      <w:r>
        <w:rPr>
          <w:bCs/>
          <w:color w:val="auto"/>
          <w:lang w:val="zh-TW" w:eastAsia="zh-TW"/>
        </w:rPr>
        <w:t>%、0.</w:t>
      </w:r>
      <w:r>
        <w:rPr>
          <w:bCs/>
          <w:color w:val="auto"/>
          <w:lang w:val="zh-TW"/>
        </w:rPr>
        <w:t>219</w:t>
      </w:r>
      <w:r>
        <w:rPr>
          <w:bCs/>
          <w:color w:val="auto"/>
          <w:lang w:val="zh-TW" w:eastAsia="zh-TW"/>
        </w:rPr>
        <w:t>%</w:t>
      </w:r>
      <w:r>
        <w:rPr>
          <w:bCs/>
          <w:color w:val="auto"/>
          <w:lang w:val="zh-TW"/>
        </w:rPr>
        <w:t>，</w:t>
      </w:r>
      <w:r>
        <w:rPr>
          <w:bCs/>
          <w:snapToGrid w:val="0"/>
          <w:color w:val="auto"/>
        </w:rPr>
        <w:t>德感趸船及</w:t>
      </w:r>
      <w:r>
        <w:rPr>
          <w:bCs/>
          <w:color w:val="auto"/>
        </w:rPr>
        <w:t>西南铝业取水阶段</w:t>
      </w:r>
      <w:r>
        <w:rPr>
          <w:bCs/>
          <w:color w:val="auto"/>
          <w:lang w:val="zh-TW" w:eastAsia="zh-TW"/>
        </w:rPr>
        <w:t>取水</w:t>
      </w:r>
      <w:r>
        <w:rPr>
          <w:bCs/>
          <w:color w:val="auto"/>
          <w:lang w:val="zh-TW"/>
        </w:rPr>
        <w:t>2025年取水量</w:t>
      </w:r>
      <w:r>
        <w:rPr>
          <w:bCs/>
          <w:color w:val="auto"/>
          <w:lang w:val="zh-TW" w:eastAsia="zh-TW"/>
        </w:rPr>
        <w:t>仅占多年平均、P=97%可供水量的0.</w:t>
      </w:r>
      <w:r>
        <w:rPr>
          <w:bCs/>
          <w:color w:val="auto"/>
          <w:lang w:val="zh-TW"/>
        </w:rPr>
        <w:t>101</w:t>
      </w:r>
      <w:r>
        <w:rPr>
          <w:bCs/>
          <w:color w:val="auto"/>
          <w:lang w:val="zh-TW" w:eastAsia="zh-TW"/>
        </w:rPr>
        <w:t>%、0.</w:t>
      </w:r>
      <w:r>
        <w:rPr>
          <w:bCs/>
          <w:color w:val="auto"/>
          <w:lang w:val="zh-TW"/>
        </w:rPr>
        <w:t>204</w:t>
      </w:r>
      <w:r>
        <w:rPr>
          <w:bCs/>
          <w:color w:val="auto"/>
          <w:lang w:val="zh-TW" w:eastAsia="zh-TW"/>
        </w:rPr>
        <w:t>%。</w:t>
      </w:r>
      <w:r>
        <w:rPr>
          <w:bCs/>
          <w:color w:val="auto"/>
          <w:lang w:val="zh-TW"/>
        </w:rPr>
        <w:t>因此各取水口</w:t>
      </w:r>
      <w:r>
        <w:rPr>
          <w:bCs/>
          <w:color w:val="auto"/>
          <w:lang w:val="zh-TW" w:eastAsia="zh-TW"/>
        </w:rPr>
        <w:t>取水前后断面流量无明显变化，取水后造成取水断面水位降低</w:t>
      </w:r>
      <w:r>
        <w:rPr>
          <w:bCs/>
          <w:color w:val="auto"/>
          <w:lang w:val="zh-TW"/>
        </w:rPr>
        <w:t>较小</w:t>
      </w:r>
      <w:r>
        <w:rPr>
          <w:bCs/>
          <w:color w:val="auto"/>
          <w:lang w:val="zh-TW" w:eastAsia="zh-TW"/>
        </w:rPr>
        <w:t>，取水前后取水断面的水位变幅很小、流速降低</w:t>
      </w:r>
      <w:r>
        <w:rPr>
          <w:bCs/>
          <w:color w:val="auto"/>
          <w:lang w:val="zh-TW"/>
        </w:rPr>
        <w:t>较小</w:t>
      </w:r>
      <w:r>
        <w:rPr>
          <w:bCs/>
          <w:color w:val="auto"/>
          <w:lang w:val="zh-TW" w:eastAsia="zh-TW"/>
        </w:rPr>
        <w:t>水前后取水断面的水位变幅很小。因此取水对下游用水户基本无影响。</w:t>
      </w:r>
    </w:p>
    <w:p w14:paraId="369666F0">
      <w:pPr>
        <w:pStyle w:val="11"/>
        <w:ind w:firstLine="480"/>
        <w:rPr>
          <w:color w:val="auto"/>
        </w:rPr>
      </w:pPr>
      <w:r>
        <w:rPr>
          <w:color w:val="auto"/>
        </w:rPr>
        <w:t>综上，九龙工业园取水对下游取水户影响较小。</w:t>
      </w:r>
    </w:p>
    <w:p w14:paraId="2582C6FB">
      <w:pPr>
        <w:pStyle w:val="5"/>
        <w:numPr>
          <w:ilvl w:val="0"/>
          <w:numId w:val="0"/>
        </w:numPr>
        <w:spacing w:before="166" w:after="166"/>
        <w:rPr>
          <w:color w:val="auto"/>
        </w:rPr>
      </w:pPr>
      <w:r>
        <w:rPr>
          <w:color w:val="auto"/>
        </w:rPr>
        <w:t>6.3.7 取水可行性</w:t>
      </w:r>
    </w:p>
    <w:p w14:paraId="42DBA9CA">
      <w:pPr>
        <w:ind w:firstLine="480"/>
        <w:rPr>
          <w:color w:val="auto"/>
        </w:rPr>
      </w:pPr>
      <w:r>
        <w:rPr>
          <w:color w:val="auto"/>
        </w:rPr>
        <w:t>九龙工业园区是1998年经重庆市人民政府批准设立的特色工业园区，项目取水是符合国家的产业政策以及相关规划和水资源配置要求的，对其合理取水应予以保障。园区取水水源为和尚山水厂、丰收坝水厂以及西彭水厂，取用水符合国家水资源相关政策和重庆市地方法律法规，符合地区社会经济发展需要，工程建设后具有显著的社会效益、经济效益。和尚山水厂、丰收坝水厂以及西彭水厂取水量占流域来水比例较少，对流域水资源量影响很小。园区来水利用后全部进入市政管道或污水处理厂，集中处理达标后，再进行排放；通过水量循环，来水大部分又回归原水体，对流域水量基本没有影响。综上所述，九龙工业园区取水可行。</w:t>
      </w:r>
    </w:p>
    <w:p w14:paraId="46E6AC28">
      <w:pPr>
        <w:pStyle w:val="4"/>
        <w:numPr>
          <w:ilvl w:val="1"/>
          <w:numId w:val="0"/>
        </w:numPr>
        <w:spacing w:before="166" w:after="166"/>
        <w:rPr>
          <w:color w:val="auto"/>
        </w:rPr>
      </w:pPr>
      <w:bookmarkStart w:id="74" w:name="_Toc4203"/>
      <w:bookmarkStart w:id="75" w:name="_Toc28780"/>
      <w:r>
        <w:rPr>
          <w:color w:val="auto"/>
        </w:rPr>
        <w:t>6.4应急备用水源</w:t>
      </w:r>
      <w:bookmarkEnd w:id="74"/>
      <w:bookmarkEnd w:id="75"/>
    </w:p>
    <w:p w14:paraId="37C41FBF">
      <w:pPr>
        <w:ind w:firstLine="480"/>
        <w:rPr>
          <w:color w:val="auto"/>
        </w:rPr>
      </w:pPr>
      <w:bookmarkStart w:id="76" w:name="_Toc13040414"/>
      <w:bookmarkStart w:id="77" w:name="_Toc17453498"/>
      <w:bookmarkStart w:id="78" w:name="_Toc17104"/>
      <w:r>
        <w:rPr>
          <w:color w:val="auto"/>
        </w:rPr>
        <w:t>（1）应急原水保障</w:t>
      </w:r>
      <w:bookmarkEnd w:id="76"/>
      <w:bookmarkEnd w:id="77"/>
      <w:r>
        <w:rPr>
          <w:color w:val="auto"/>
        </w:rPr>
        <w:t>方案</w:t>
      </w:r>
      <w:bookmarkEnd w:id="78"/>
    </w:p>
    <w:p w14:paraId="7C4C5EFF">
      <w:pPr>
        <w:ind w:firstLine="480"/>
        <w:rPr>
          <w:color w:val="auto"/>
        </w:rPr>
      </w:pPr>
      <w:r>
        <w:rPr>
          <w:color w:val="auto"/>
        </w:rPr>
        <w:t>目前和尚山、丰收坝、西彭水厂原水为长江提水，水厂附近区域没有大中型水库，缺乏应急备用水源。根据渝西水资源配置工程，中圣中水库的功能定位为江津、九龙坡、沙坪坝、永川、铜梁、大足、荣昌等区供水的调蓄水库，并作为沙坪坝、九龙坡、江津的应急备用水源。</w:t>
      </w:r>
    </w:p>
    <w:p w14:paraId="2C77C56C">
      <w:pPr>
        <w:spacing w:line="560" w:lineRule="exact"/>
        <w:ind w:firstLine="480"/>
        <w:rPr>
          <w:color w:val="auto"/>
          <w:szCs w:val="28"/>
        </w:rPr>
      </w:pPr>
      <w:r>
        <w:rPr>
          <w:color w:val="auto"/>
          <w:szCs w:val="28"/>
        </w:rPr>
        <w:t>综合分析目前国内的城市供水应急时间，圣中水库拟按10天应急备用，共预留280万m</w:t>
      </w:r>
      <w:r>
        <w:rPr>
          <w:color w:val="auto"/>
          <w:szCs w:val="28"/>
          <w:vertAlign w:val="superscript"/>
        </w:rPr>
        <w:t>3</w:t>
      </w:r>
      <w:r>
        <w:rPr>
          <w:color w:val="auto"/>
          <w:szCs w:val="28"/>
        </w:rPr>
        <w:t>应急备用库容，可有效保障城市应急供水，提高城市水污染事件应对能力。</w:t>
      </w:r>
    </w:p>
    <w:p w14:paraId="455DA257">
      <w:pPr>
        <w:spacing w:line="560" w:lineRule="exact"/>
        <w:ind w:firstLine="480"/>
        <w:rPr>
          <w:color w:val="auto"/>
          <w:szCs w:val="28"/>
        </w:rPr>
      </w:pPr>
      <w:r>
        <w:rPr>
          <w:color w:val="auto"/>
          <w:szCs w:val="28"/>
        </w:rPr>
        <w:t>由于</w:t>
      </w:r>
      <w:r>
        <w:rPr>
          <w:color w:val="auto"/>
        </w:rPr>
        <w:t>和尚山、</w:t>
      </w:r>
      <w:r>
        <w:rPr>
          <w:color w:val="auto"/>
          <w:szCs w:val="28"/>
        </w:rPr>
        <w:t>丰收坝、西彭水厂服务面积较广，服务人口较多，同时考虑到若长江金刚沱泵站事故停水，除圣中水库作为应急备用水源外，还需要从嘉陵江草街泵站应急取水。嘉陵江草街泵站输水至璧山新区水厂附近后，可通过铜罐驿二期输水管线—西干线（设计流量1.16m</w:t>
      </w:r>
      <w:r>
        <w:rPr>
          <w:color w:val="auto"/>
          <w:szCs w:val="28"/>
          <w:vertAlign w:val="superscript"/>
        </w:rPr>
        <w:t>3</w:t>
      </w:r>
      <w:r>
        <w:rPr>
          <w:color w:val="auto"/>
          <w:szCs w:val="28"/>
        </w:rPr>
        <w:t>/s）输送至缙云山东侧，缙云山隧洞出口～西彭水厂连通工程加压输送至西彭水厂，该连通工程设计流量1.16m</w:t>
      </w:r>
      <w:r>
        <w:rPr>
          <w:color w:val="auto"/>
          <w:szCs w:val="28"/>
          <w:vertAlign w:val="superscript"/>
        </w:rPr>
        <w:t>3</w:t>
      </w:r>
      <w:r>
        <w:rPr>
          <w:color w:val="auto"/>
          <w:szCs w:val="28"/>
        </w:rPr>
        <w:t>/s，采用DN1000球墨铸铁管，全长约17.6km。</w:t>
      </w:r>
    </w:p>
    <w:p w14:paraId="3CF6BA98">
      <w:pPr>
        <w:ind w:firstLine="480"/>
        <w:rPr>
          <w:color w:val="auto"/>
        </w:rPr>
      </w:pPr>
      <w:bookmarkStart w:id="79" w:name="_Toc3929"/>
      <w:r>
        <w:rPr>
          <w:color w:val="auto"/>
        </w:rPr>
        <w:t>（2）管网事故调水方案</w:t>
      </w:r>
      <w:bookmarkEnd w:id="79"/>
    </w:p>
    <w:p w14:paraId="2FA0FCB9">
      <w:pPr>
        <w:spacing w:line="560" w:lineRule="exact"/>
        <w:ind w:firstLine="480"/>
        <w:rPr>
          <w:color w:val="auto"/>
          <w:szCs w:val="28"/>
        </w:rPr>
      </w:pPr>
      <w:r>
        <w:rPr>
          <w:color w:val="auto"/>
          <w:szCs w:val="28"/>
        </w:rPr>
        <w:t>根据《重庆市主城区水厂布局规划调整方案》及《重庆市主城区水厂布局规划调整分区规划》，西部片区2025—2030年将适时建设完善各组团之间互联互通管道。目前西部片区同其他片区的互联互通已有璧山隧道、双碑隧道、大学城隧道、华福路隧道，已有一定的保障能力。还规划建设渝蓉隧道、井口隧道、土主隧道、白市驿隧道和陶家隧道等。</w:t>
      </w:r>
    </w:p>
    <w:p w14:paraId="46FE9D0F">
      <w:pPr>
        <w:spacing w:line="440" w:lineRule="exact"/>
        <w:ind w:firstLine="0" w:firstLineChars="0"/>
        <w:rPr>
          <w:b/>
          <w:color w:val="auto"/>
          <w:szCs w:val="28"/>
        </w:rPr>
      </w:pPr>
      <w:r>
        <w:rPr>
          <w:b/>
          <w:color w:val="auto"/>
          <w:szCs w:val="28"/>
          <w:lang w:bidi="en-US"/>
        </w:rPr>
        <w:t xml:space="preserve">表6.4-1                  </w:t>
      </w:r>
      <w:r>
        <w:rPr>
          <w:b/>
          <w:color w:val="auto"/>
          <w:szCs w:val="28"/>
        </w:rPr>
        <w:t>西部片区外部调水通道情况统计表</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2366"/>
        <w:gridCol w:w="1518"/>
        <w:gridCol w:w="1396"/>
        <w:gridCol w:w="1429"/>
        <w:gridCol w:w="1349"/>
      </w:tblGrid>
      <w:tr w14:paraId="21714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tblHeader/>
        </w:trPr>
        <w:tc>
          <w:tcPr>
            <w:tcW w:w="578" w:type="pct"/>
            <w:vAlign w:val="center"/>
          </w:tcPr>
          <w:p w14:paraId="0921075A">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通道</w:t>
            </w:r>
          </w:p>
          <w:p w14:paraId="21EDAC20">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序号</w:t>
            </w:r>
          </w:p>
        </w:tc>
        <w:tc>
          <w:tcPr>
            <w:tcW w:w="1298" w:type="pct"/>
            <w:vAlign w:val="center"/>
          </w:tcPr>
          <w:p w14:paraId="61CC8723">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通道名称</w:t>
            </w:r>
          </w:p>
        </w:tc>
        <w:tc>
          <w:tcPr>
            <w:tcW w:w="833" w:type="pct"/>
            <w:vAlign w:val="center"/>
          </w:tcPr>
          <w:p w14:paraId="04614D7C">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通道</w:t>
            </w:r>
          </w:p>
        </w:tc>
        <w:tc>
          <w:tcPr>
            <w:tcW w:w="765" w:type="pct"/>
            <w:vAlign w:val="center"/>
          </w:tcPr>
          <w:p w14:paraId="5E3E48D3">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管径</w:t>
            </w:r>
          </w:p>
        </w:tc>
        <w:tc>
          <w:tcPr>
            <w:tcW w:w="784" w:type="pct"/>
            <w:vAlign w:val="center"/>
          </w:tcPr>
          <w:p w14:paraId="45A7AF84">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理论流量</w:t>
            </w:r>
          </w:p>
          <w:p w14:paraId="67A65E5D">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万m</w:t>
            </w:r>
            <w:r>
              <w:rPr>
                <w:color w:val="auto"/>
                <w:sz w:val="21"/>
                <w:szCs w:val="21"/>
                <w:vertAlign w:val="superscript"/>
                <w:lang w:val="zh-CN" w:bidi="zh-CN"/>
              </w:rPr>
              <w:t>3</w:t>
            </w:r>
            <w:r>
              <w:rPr>
                <w:color w:val="auto"/>
                <w:sz w:val="21"/>
                <w:szCs w:val="21"/>
                <w:lang w:val="zh-CN" w:bidi="zh-CN"/>
              </w:rPr>
              <w:t>/d</w:t>
            </w:r>
          </w:p>
        </w:tc>
        <w:tc>
          <w:tcPr>
            <w:tcW w:w="740" w:type="pct"/>
            <w:vAlign w:val="center"/>
          </w:tcPr>
          <w:p w14:paraId="091360B3">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备注</w:t>
            </w:r>
          </w:p>
        </w:tc>
      </w:tr>
      <w:tr w14:paraId="12A1E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78" w:type="pct"/>
            <w:vAlign w:val="center"/>
          </w:tcPr>
          <w:p w14:paraId="7BC98949">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1</w:t>
            </w:r>
          </w:p>
        </w:tc>
        <w:tc>
          <w:tcPr>
            <w:tcW w:w="1298" w:type="pct"/>
            <w:vAlign w:val="center"/>
          </w:tcPr>
          <w:p w14:paraId="2CFBA616">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沙坪坝与西部互通</w:t>
            </w:r>
          </w:p>
        </w:tc>
        <w:tc>
          <w:tcPr>
            <w:tcW w:w="833" w:type="pct"/>
            <w:vAlign w:val="center"/>
          </w:tcPr>
          <w:p w14:paraId="34C08826">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土主隧道</w:t>
            </w:r>
          </w:p>
        </w:tc>
        <w:tc>
          <w:tcPr>
            <w:tcW w:w="765" w:type="pct"/>
            <w:vAlign w:val="center"/>
          </w:tcPr>
          <w:p w14:paraId="6452A5F8">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DN1000*2</w:t>
            </w:r>
          </w:p>
        </w:tc>
        <w:tc>
          <w:tcPr>
            <w:tcW w:w="784" w:type="pct"/>
            <w:vAlign w:val="center"/>
          </w:tcPr>
          <w:p w14:paraId="551884AD">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20</w:t>
            </w:r>
          </w:p>
        </w:tc>
        <w:tc>
          <w:tcPr>
            <w:tcW w:w="740" w:type="pct"/>
            <w:vAlign w:val="center"/>
          </w:tcPr>
          <w:p w14:paraId="24A3AC25">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过隧道</w:t>
            </w:r>
          </w:p>
        </w:tc>
      </w:tr>
      <w:tr w14:paraId="1DE64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78" w:type="pct"/>
            <w:vAlign w:val="center"/>
          </w:tcPr>
          <w:p w14:paraId="5C9483B5">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2</w:t>
            </w:r>
          </w:p>
        </w:tc>
        <w:tc>
          <w:tcPr>
            <w:tcW w:w="1298" w:type="pct"/>
            <w:vAlign w:val="center"/>
          </w:tcPr>
          <w:p w14:paraId="1C4C1101">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沙坪坝与西部互通</w:t>
            </w:r>
          </w:p>
        </w:tc>
        <w:tc>
          <w:tcPr>
            <w:tcW w:w="833" w:type="pct"/>
            <w:vAlign w:val="center"/>
          </w:tcPr>
          <w:p w14:paraId="0BDD3438">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井口隧道</w:t>
            </w:r>
          </w:p>
        </w:tc>
        <w:tc>
          <w:tcPr>
            <w:tcW w:w="765" w:type="pct"/>
            <w:vAlign w:val="center"/>
          </w:tcPr>
          <w:p w14:paraId="491CBAE9">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D800*2</w:t>
            </w:r>
          </w:p>
        </w:tc>
        <w:tc>
          <w:tcPr>
            <w:tcW w:w="784" w:type="pct"/>
            <w:vAlign w:val="center"/>
          </w:tcPr>
          <w:p w14:paraId="5830B597">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15</w:t>
            </w:r>
          </w:p>
        </w:tc>
        <w:tc>
          <w:tcPr>
            <w:tcW w:w="740" w:type="pct"/>
            <w:vAlign w:val="center"/>
          </w:tcPr>
          <w:p w14:paraId="28E988EE">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过隧道</w:t>
            </w:r>
          </w:p>
        </w:tc>
      </w:tr>
      <w:tr w14:paraId="5B5A8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78" w:type="pct"/>
            <w:vAlign w:val="center"/>
          </w:tcPr>
          <w:p w14:paraId="04DBB33F">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3</w:t>
            </w:r>
          </w:p>
        </w:tc>
        <w:tc>
          <w:tcPr>
            <w:tcW w:w="1298" w:type="pct"/>
            <w:vAlign w:val="center"/>
          </w:tcPr>
          <w:p w14:paraId="0DA1A61E">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九龙坡区与西部互通</w:t>
            </w:r>
          </w:p>
        </w:tc>
        <w:tc>
          <w:tcPr>
            <w:tcW w:w="833" w:type="pct"/>
            <w:vAlign w:val="center"/>
          </w:tcPr>
          <w:p w14:paraId="07F68659">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白市驿隧道</w:t>
            </w:r>
          </w:p>
        </w:tc>
        <w:tc>
          <w:tcPr>
            <w:tcW w:w="765" w:type="pct"/>
            <w:vAlign w:val="center"/>
          </w:tcPr>
          <w:p w14:paraId="22F3DF3A">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DN600*2</w:t>
            </w:r>
          </w:p>
        </w:tc>
        <w:tc>
          <w:tcPr>
            <w:tcW w:w="784" w:type="pct"/>
            <w:vAlign w:val="center"/>
          </w:tcPr>
          <w:p w14:paraId="151F5F5A">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5</w:t>
            </w:r>
          </w:p>
        </w:tc>
        <w:tc>
          <w:tcPr>
            <w:tcW w:w="740" w:type="pct"/>
            <w:vAlign w:val="center"/>
          </w:tcPr>
          <w:p w14:paraId="216EB445">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过隧道</w:t>
            </w:r>
          </w:p>
        </w:tc>
      </w:tr>
      <w:tr w14:paraId="14B33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78" w:type="pct"/>
            <w:vAlign w:val="center"/>
          </w:tcPr>
          <w:p w14:paraId="39731FCE">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4</w:t>
            </w:r>
          </w:p>
        </w:tc>
        <w:tc>
          <w:tcPr>
            <w:tcW w:w="1298" w:type="pct"/>
            <w:vAlign w:val="center"/>
          </w:tcPr>
          <w:p w14:paraId="4E7FD21A">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九龙坡区与西部互通</w:t>
            </w:r>
          </w:p>
        </w:tc>
        <w:tc>
          <w:tcPr>
            <w:tcW w:w="833" w:type="pct"/>
            <w:vAlign w:val="center"/>
          </w:tcPr>
          <w:p w14:paraId="7F718CF9">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陶家隧道</w:t>
            </w:r>
          </w:p>
        </w:tc>
        <w:tc>
          <w:tcPr>
            <w:tcW w:w="765" w:type="pct"/>
            <w:vAlign w:val="center"/>
          </w:tcPr>
          <w:p w14:paraId="509BFA79">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D1000*2</w:t>
            </w:r>
          </w:p>
        </w:tc>
        <w:tc>
          <w:tcPr>
            <w:tcW w:w="784" w:type="pct"/>
            <w:vAlign w:val="center"/>
          </w:tcPr>
          <w:p w14:paraId="6FDE0616">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20</w:t>
            </w:r>
          </w:p>
        </w:tc>
        <w:tc>
          <w:tcPr>
            <w:tcW w:w="740" w:type="pct"/>
            <w:vAlign w:val="center"/>
          </w:tcPr>
          <w:p w14:paraId="007C3B4F">
            <w:pPr>
              <w:autoSpaceDE w:val="0"/>
              <w:autoSpaceDN w:val="0"/>
              <w:spacing w:before="40" w:line="300" w:lineRule="exact"/>
              <w:ind w:left="35" w:right="136" w:firstLine="0" w:firstLineChars="0"/>
              <w:jc w:val="center"/>
              <w:rPr>
                <w:color w:val="auto"/>
                <w:sz w:val="21"/>
                <w:szCs w:val="21"/>
                <w:lang w:val="zh-CN" w:bidi="zh-CN"/>
              </w:rPr>
            </w:pPr>
            <w:r>
              <w:rPr>
                <w:color w:val="auto"/>
                <w:sz w:val="21"/>
                <w:szCs w:val="21"/>
                <w:lang w:val="zh-CN" w:bidi="zh-CN"/>
              </w:rPr>
              <w:t>过隧道</w:t>
            </w:r>
          </w:p>
        </w:tc>
      </w:tr>
      <w:tr w14:paraId="7BE6C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475" w:type="pct"/>
            <w:gridSpan w:val="4"/>
            <w:vAlign w:val="center"/>
          </w:tcPr>
          <w:p w14:paraId="0FE4A66A">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合计</w:t>
            </w:r>
          </w:p>
        </w:tc>
        <w:tc>
          <w:tcPr>
            <w:tcW w:w="784" w:type="pct"/>
            <w:vAlign w:val="center"/>
          </w:tcPr>
          <w:p w14:paraId="53ACA5DB">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60</w:t>
            </w:r>
          </w:p>
        </w:tc>
        <w:tc>
          <w:tcPr>
            <w:tcW w:w="740" w:type="pct"/>
            <w:vAlign w:val="center"/>
          </w:tcPr>
          <w:p w14:paraId="638299EE">
            <w:pPr>
              <w:autoSpaceDE w:val="0"/>
              <w:autoSpaceDN w:val="0"/>
              <w:spacing w:before="40" w:line="300" w:lineRule="exact"/>
              <w:ind w:left="35" w:right="138" w:firstLine="0" w:firstLineChars="0"/>
              <w:jc w:val="center"/>
              <w:rPr>
                <w:color w:val="auto"/>
                <w:sz w:val="21"/>
                <w:szCs w:val="21"/>
                <w:lang w:val="zh-CN" w:bidi="zh-CN"/>
              </w:rPr>
            </w:pPr>
          </w:p>
        </w:tc>
      </w:tr>
    </w:tbl>
    <w:p w14:paraId="55573F34">
      <w:pPr>
        <w:spacing w:line="440" w:lineRule="exact"/>
        <w:ind w:firstLine="0" w:firstLineChars="0"/>
        <w:rPr>
          <w:b/>
          <w:color w:val="auto"/>
          <w:szCs w:val="28"/>
        </w:rPr>
      </w:pPr>
      <w:r>
        <w:rPr>
          <w:b/>
          <w:color w:val="auto"/>
          <w:szCs w:val="28"/>
          <w:lang w:bidi="en-US"/>
        </w:rPr>
        <w:t xml:space="preserve">表6.4-2                  </w:t>
      </w:r>
      <w:r>
        <w:rPr>
          <w:b/>
          <w:color w:val="auto"/>
          <w:szCs w:val="28"/>
        </w:rPr>
        <w:t>西部片区内部调水通道情况统计表</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096"/>
        <w:gridCol w:w="2622"/>
        <w:gridCol w:w="1232"/>
        <w:gridCol w:w="1387"/>
        <w:gridCol w:w="1696"/>
        <w:gridCol w:w="1079"/>
      </w:tblGrid>
      <w:tr w14:paraId="48F6F45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601" w:type="pct"/>
            <w:vMerge w:val="restart"/>
            <w:vAlign w:val="center"/>
          </w:tcPr>
          <w:p w14:paraId="690C381C">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通道序号</w:t>
            </w:r>
          </w:p>
        </w:tc>
        <w:tc>
          <w:tcPr>
            <w:tcW w:w="1438" w:type="pct"/>
            <w:vMerge w:val="restart"/>
            <w:vAlign w:val="center"/>
          </w:tcPr>
          <w:p w14:paraId="0A861510">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通道名称</w:t>
            </w:r>
          </w:p>
        </w:tc>
        <w:tc>
          <w:tcPr>
            <w:tcW w:w="676" w:type="pct"/>
            <w:vMerge w:val="restart"/>
            <w:vAlign w:val="center"/>
          </w:tcPr>
          <w:p w14:paraId="6AFBF0F2">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通道</w:t>
            </w:r>
          </w:p>
        </w:tc>
        <w:tc>
          <w:tcPr>
            <w:tcW w:w="761" w:type="pct"/>
            <w:vMerge w:val="restart"/>
            <w:vAlign w:val="center"/>
          </w:tcPr>
          <w:p w14:paraId="3CD4751C">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管径</w:t>
            </w:r>
          </w:p>
        </w:tc>
        <w:tc>
          <w:tcPr>
            <w:tcW w:w="930" w:type="pct"/>
            <w:vMerge w:val="restart"/>
            <w:vAlign w:val="center"/>
          </w:tcPr>
          <w:p w14:paraId="61501BF5">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设计水量</w:t>
            </w:r>
          </w:p>
          <w:p w14:paraId="16548289">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万m</w:t>
            </w:r>
            <w:r>
              <w:rPr>
                <w:color w:val="auto"/>
                <w:sz w:val="21"/>
                <w:szCs w:val="21"/>
                <w:vertAlign w:val="superscript"/>
                <w:lang w:val="zh-CN" w:bidi="zh-CN"/>
              </w:rPr>
              <w:t>3</w:t>
            </w:r>
            <w:r>
              <w:rPr>
                <w:color w:val="auto"/>
                <w:sz w:val="21"/>
                <w:szCs w:val="21"/>
                <w:lang w:val="zh-CN" w:bidi="zh-CN"/>
              </w:rPr>
              <w:t>/d</w:t>
            </w:r>
          </w:p>
        </w:tc>
        <w:tc>
          <w:tcPr>
            <w:tcW w:w="592" w:type="pct"/>
            <w:vMerge w:val="restart"/>
            <w:vAlign w:val="center"/>
          </w:tcPr>
          <w:p w14:paraId="4B99FD7F">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备注</w:t>
            </w:r>
          </w:p>
        </w:tc>
      </w:tr>
      <w:tr w14:paraId="18C750E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1" w:type="pct"/>
            <w:vMerge w:val="continue"/>
            <w:vAlign w:val="center"/>
          </w:tcPr>
          <w:p w14:paraId="2BD70B41">
            <w:pPr>
              <w:autoSpaceDE w:val="0"/>
              <w:autoSpaceDN w:val="0"/>
              <w:spacing w:before="40" w:line="300" w:lineRule="exact"/>
              <w:ind w:left="35" w:right="138" w:firstLine="0" w:firstLineChars="0"/>
              <w:jc w:val="center"/>
              <w:rPr>
                <w:color w:val="auto"/>
                <w:sz w:val="21"/>
                <w:szCs w:val="21"/>
                <w:lang w:val="zh-CN" w:bidi="zh-CN"/>
              </w:rPr>
            </w:pPr>
          </w:p>
        </w:tc>
        <w:tc>
          <w:tcPr>
            <w:tcW w:w="1438" w:type="pct"/>
            <w:vMerge w:val="continue"/>
            <w:vAlign w:val="center"/>
          </w:tcPr>
          <w:p w14:paraId="55D1681F">
            <w:pPr>
              <w:autoSpaceDE w:val="0"/>
              <w:autoSpaceDN w:val="0"/>
              <w:spacing w:before="40" w:line="300" w:lineRule="exact"/>
              <w:ind w:left="35" w:right="138" w:firstLine="0" w:firstLineChars="0"/>
              <w:jc w:val="center"/>
              <w:rPr>
                <w:color w:val="auto"/>
                <w:sz w:val="21"/>
                <w:szCs w:val="21"/>
                <w:lang w:val="zh-CN" w:bidi="zh-CN"/>
              </w:rPr>
            </w:pPr>
          </w:p>
        </w:tc>
        <w:tc>
          <w:tcPr>
            <w:tcW w:w="676" w:type="pct"/>
            <w:vMerge w:val="continue"/>
            <w:vAlign w:val="center"/>
          </w:tcPr>
          <w:p w14:paraId="4F9558B3">
            <w:pPr>
              <w:autoSpaceDE w:val="0"/>
              <w:autoSpaceDN w:val="0"/>
              <w:spacing w:before="40" w:line="300" w:lineRule="exact"/>
              <w:ind w:left="35" w:right="138" w:firstLine="0" w:firstLineChars="0"/>
              <w:jc w:val="center"/>
              <w:rPr>
                <w:color w:val="auto"/>
                <w:sz w:val="21"/>
                <w:szCs w:val="21"/>
                <w:lang w:val="zh-CN" w:bidi="zh-CN"/>
              </w:rPr>
            </w:pPr>
          </w:p>
        </w:tc>
        <w:tc>
          <w:tcPr>
            <w:tcW w:w="761" w:type="pct"/>
            <w:vMerge w:val="continue"/>
            <w:vAlign w:val="center"/>
          </w:tcPr>
          <w:p w14:paraId="646C2D8C">
            <w:pPr>
              <w:autoSpaceDE w:val="0"/>
              <w:autoSpaceDN w:val="0"/>
              <w:spacing w:before="40" w:line="300" w:lineRule="exact"/>
              <w:ind w:left="35" w:right="138" w:firstLine="0" w:firstLineChars="0"/>
              <w:jc w:val="center"/>
              <w:rPr>
                <w:color w:val="auto"/>
                <w:sz w:val="21"/>
                <w:szCs w:val="21"/>
                <w:lang w:val="zh-CN" w:bidi="zh-CN"/>
              </w:rPr>
            </w:pPr>
          </w:p>
        </w:tc>
        <w:tc>
          <w:tcPr>
            <w:tcW w:w="930" w:type="pct"/>
            <w:vMerge w:val="continue"/>
            <w:vAlign w:val="center"/>
          </w:tcPr>
          <w:p w14:paraId="7B73E4F1">
            <w:pPr>
              <w:autoSpaceDE w:val="0"/>
              <w:autoSpaceDN w:val="0"/>
              <w:spacing w:before="40" w:line="300" w:lineRule="exact"/>
              <w:ind w:left="35" w:right="138" w:firstLine="0" w:firstLineChars="0"/>
              <w:jc w:val="center"/>
              <w:rPr>
                <w:color w:val="auto"/>
                <w:sz w:val="21"/>
                <w:szCs w:val="21"/>
                <w:lang w:val="zh-CN" w:bidi="zh-CN"/>
              </w:rPr>
            </w:pPr>
          </w:p>
        </w:tc>
        <w:tc>
          <w:tcPr>
            <w:tcW w:w="592" w:type="pct"/>
            <w:vMerge w:val="continue"/>
            <w:vAlign w:val="center"/>
          </w:tcPr>
          <w:p w14:paraId="411F65C3">
            <w:pPr>
              <w:autoSpaceDE w:val="0"/>
              <w:autoSpaceDN w:val="0"/>
              <w:spacing w:before="40" w:line="300" w:lineRule="exact"/>
              <w:ind w:left="35" w:right="138" w:firstLine="0" w:firstLineChars="0"/>
              <w:jc w:val="center"/>
              <w:rPr>
                <w:color w:val="auto"/>
                <w:sz w:val="21"/>
                <w:szCs w:val="21"/>
                <w:lang w:val="zh-CN" w:bidi="zh-CN"/>
              </w:rPr>
            </w:pPr>
          </w:p>
        </w:tc>
      </w:tr>
      <w:tr w14:paraId="238AF9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601" w:type="pct"/>
            <w:vMerge w:val="restart"/>
            <w:vAlign w:val="center"/>
          </w:tcPr>
          <w:p w14:paraId="25217E40">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1</w:t>
            </w:r>
          </w:p>
        </w:tc>
        <w:tc>
          <w:tcPr>
            <w:tcW w:w="1438" w:type="pct"/>
            <w:vMerge w:val="restart"/>
            <w:vAlign w:val="center"/>
          </w:tcPr>
          <w:p w14:paraId="4D07D152">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大学城水厂与红工水厂之间应急管道</w:t>
            </w:r>
          </w:p>
        </w:tc>
        <w:tc>
          <w:tcPr>
            <w:tcW w:w="676" w:type="pct"/>
            <w:vMerge w:val="restart"/>
            <w:vAlign w:val="center"/>
          </w:tcPr>
          <w:p w14:paraId="081A6AAC">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综合管廊</w:t>
            </w:r>
          </w:p>
        </w:tc>
        <w:tc>
          <w:tcPr>
            <w:tcW w:w="761" w:type="pct"/>
            <w:vMerge w:val="restart"/>
            <w:vAlign w:val="center"/>
          </w:tcPr>
          <w:p w14:paraId="4E7D0498">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DN800</w:t>
            </w:r>
          </w:p>
        </w:tc>
        <w:tc>
          <w:tcPr>
            <w:tcW w:w="930" w:type="pct"/>
            <w:vMerge w:val="restart"/>
            <w:vAlign w:val="center"/>
          </w:tcPr>
          <w:p w14:paraId="315F2E05">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5</w:t>
            </w:r>
          </w:p>
        </w:tc>
        <w:tc>
          <w:tcPr>
            <w:tcW w:w="592" w:type="pct"/>
            <w:vMerge w:val="restart"/>
            <w:vAlign w:val="center"/>
          </w:tcPr>
          <w:p w14:paraId="2986B57F">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现状道路</w:t>
            </w:r>
          </w:p>
        </w:tc>
      </w:tr>
      <w:tr w14:paraId="09010C5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1" w:type="pct"/>
            <w:vMerge w:val="continue"/>
            <w:vAlign w:val="center"/>
          </w:tcPr>
          <w:p w14:paraId="5BDBBEDB">
            <w:pPr>
              <w:autoSpaceDE w:val="0"/>
              <w:autoSpaceDN w:val="0"/>
              <w:spacing w:before="40" w:line="300" w:lineRule="exact"/>
              <w:ind w:left="35" w:right="138" w:firstLine="0" w:firstLineChars="0"/>
              <w:jc w:val="center"/>
              <w:rPr>
                <w:color w:val="auto"/>
                <w:sz w:val="21"/>
                <w:szCs w:val="21"/>
                <w:lang w:val="zh-CN" w:bidi="zh-CN"/>
              </w:rPr>
            </w:pPr>
          </w:p>
        </w:tc>
        <w:tc>
          <w:tcPr>
            <w:tcW w:w="1438" w:type="pct"/>
            <w:vMerge w:val="continue"/>
            <w:vAlign w:val="center"/>
          </w:tcPr>
          <w:p w14:paraId="6F9428BE">
            <w:pPr>
              <w:autoSpaceDE w:val="0"/>
              <w:autoSpaceDN w:val="0"/>
              <w:spacing w:before="40" w:line="300" w:lineRule="exact"/>
              <w:ind w:left="35" w:right="138" w:firstLine="0" w:firstLineChars="0"/>
              <w:jc w:val="center"/>
              <w:rPr>
                <w:color w:val="auto"/>
                <w:sz w:val="21"/>
                <w:szCs w:val="21"/>
                <w:lang w:val="zh-CN" w:bidi="zh-CN"/>
              </w:rPr>
            </w:pPr>
          </w:p>
        </w:tc>
        <w:tc>
          <w:tcPr>
            <w:tcW w:w="676" w:type="pct"/>
            <w:vMerge w:val="continue"/>
            <w:vAlign w:val="center"/>
          </w:tcPr>
          <w:p w14:paraId="117D915B">
            <w:pPr>
              <w:autoSpaceDE w:val="0"/>
              <w:autoSpaceDN w:val="0"/>
              <w:spacing w:before="40" w:line="300" w:lineRule="exact"/>
              <w:ind w:left="35" w:right="138" w:firstLine="0" w:firstLineChars="0"/>
              <w:jc w:val="center"/>
              <w:rPr>
                <w:color w:val="auto"/>
                <w:sz w:val="21"/>
                <w:szCs w:val="21"/>
                <w:lang w:val="zh-CN" w:bidi="zh-CN"/>
              </w:rPr>
            </w:pPr>
          </w:p>
        </w:tc>
        <w:tc>
          <w:tcPr>
            <w:tcW w:w="761" w:type="pct"/>
            <w:vMerge w:val="continue"/>
            <w:vAlign w:val="center"/>
          </w:tcPr>
          <w:p w14:paraId="1233971B">
            <w:pPr>
              <w:autoSpaceDE w:val="0"/>
              <w:autoSpaceDN w:val="0"/>
              <w:spacing w:before="40" w:line="300" w:lineRule="exact"/>
              <w:ind w:left="35" w:right="138" w:firstLine="0" w:firstLineChars="0"/>
              <w:jc w:val="center"/>
              <w:rPr>
                <w:color w:val="auto"/>
                <w:sz w:val="21"/>
                <w:szCs w:val="21"/>
                <w:lang w:val="zh-CN" w:bidi="zh-CN"/>
              </w:rPr>
            </w:pPr>
          </w:p>
        </w:tc>
        <w:tc>
          <w:tcPr>
            <w:tcW w:w="930" w:type="pct"/>
            <w:vMerge w:val="continue"/>
            <w:vAlign w:val="center"/>
          </w:tcPr>
          <w:p w14:paraId="3DA222F7">
            <w:pPr>
              <w:autoSpaceDE w:val="0"/>
              <w:autoSpaceDN w:val="0"/>
              <w:spacing w:before="40" w:line="300" w:lineRule="exact"/>
              <w:ind w:left="35" w:right="138" w:firstLine="0" w:firstLineChars="0"/>
              <w:jc w:val="center"/>
              <w:rPr>
                <w:color w:val="auto"/>
                <w:sz w:val="21"/>
                <w:szCs w:val="21"/>
                <w:lang w:val="zh-CN" w:bidi="zh-CN"/>
              </w:rPr>
            </w:pPr>
          </w:p>
        </w:tc>
        <w:tc>
          <w:tcPr>
            <w:tcW w:w="592" w:type="pct"/>
            <w:vMerge w:val="continue"/>
            <w:vAlign w:val="center"/>
          </w:tcPr>
          <w:p w14:paraId="2F348C89">
            <w:pPr>
              <w:autoSpaceDE w:val="0"/>
              <w:autoSpaceDN w:val="0"/>
              <w:spacing w:before="40" w:line="300" w:lineRule="exact"/>
              <w:ind w:left="35" w:right="138" w:firstLine="0" w:firstLineChars="0"/>
              <w:jc w:val="center"/>
              <w:rPr>
                <w:color w:val="auto"/>
                <w:sz w:val="21"/>
                <w:szCs w:val="21"/>
                <w:lang w:val="zh-CN" w:bidi="zh-CN"/>
              </w:rPr>
            </w:pPr>
          </w:p>
        </w:tc>
      </w:tr>
      <w:tr w14:paraId="29C8A1E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601" w:type="pct"/>
            <w:vMerge w:val="restart"/>
            <w:vAlign w:val="center"/>
          </w:tcPr>
          <w:p w14:paraId="4F5EE43D">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2</w:t>
            </w:r>
          </w:p>
        </w:tc>
        <w:tc>
          <w:tcPr>
            <w:tcW w:w="1438" w:type="pct"/>
            <w:vMerge w:val="restart"/>
            <w:vAlign w:val="center"/>
          </w:tcPr>
          <w:p w14:paraId="319C2EBC">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大学城水厂与井口水厂西部供区之间应急管道</w:t>
            </w:r>
          </w:p>
        </w:tc>
        <w:tc>
          <w:tcPr>
            <w:tcW w:w="676" w:type="pct"/>
            <w:vMerge w:val="restart"/>
            <w:vAlign w:val="center"/>
          </w:tcPr>
          <w:p w14:paraId="4B5D4A01">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现状道路</w:t>
            </w:r>
          </w:p>
        </w:tc>
        <w:tc>
          <w:tcPr>
            <w:tcW w:w="761" w:type="pct"/>
            <w:vMerge w:val="restart"/>
            <w:vAlign w:val="center"/>
          </w:tcPr>
          <w:p w14:paraId="598A3838">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DN800</w:t>
            </w:r>
          </w:p>
        </w:tc>
        <w:tc>
          <w:tcPr>
            <w:tcW w:w="930" w:type="pct"/>
            <w:vMerge w:val="restart"/>
            <w:vAlign w:val="center"/>
          </w:tcPr>
          <w:p w14:paraId="2DCCDC50">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5</w:t>
            </w:r>
          </w:p>
        </w:tc>
        <w:tc>
          <w:tcPr>
            <w:tcW w:w="592" w:type="pct"/>
            <w:vMerge w:val="restart"/>
            <w:vAlign w:val="center"/>
          </w:tcPr>
          <w:p w14:paraId="1E99DA5F">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现状道路</w:t>
            </w:r>
          </w:p>
        </w:tc>
      </w:tr>
      <w:tr w14:paraId="6B2C9FB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1" w:type="pct"/>
            <w:vMerge w:val="continue"/>
            <w:vAlign w:val="center"/>
          </w:tcPr>
          <w:p w14:paraId="0F5E2697">
            <w:pPr>
              <w:autoSpaceDE w:val="0"/>
              <w:autoSpaceDN w:val="0"/>
              <w:spacing w:before="40" w:line="300" w:lineRule="exact"/>
              <w:ind w:left="35" w:right="138" w:firstLine="0" w:firstLineChars="0"/>
              <w:jc w:val="center"/>
              <w:rPr>
                <w:color w:val="auto"/>
                <w:sz w:val="21"/>
                <w:szCs w:val="21"/>
                <w:lang w:val="zh-CN" w:bidi="zh-CN"/>
              </w:rPr>
            </w:pPr>
          </w:p>
        </w:tc>
        <w:tc>
          <w:tcPr>
            <w:tcW w:w="1438" w:type="pct"/>
            <w:vMerge w:val="continue"/>
            <w:vAlign w:val="center"/>
          </w:tcPr>
          <w:p w14:paraId="27FEAFE2">
            <w:pPr>
              <w:autoSpaceDE w:val="0"/>
              <w:autoSpaceDN w:val="0"/>
              <w:spacing w:before="40" w:line="300" w:lineRule="exact"/>
              <w:ind w:left="35" w:right="138" w:firstLine="0" w:firstLineChars="0"/>
              <w:jc w:val="center"/>
              <w:rPr>
                <w:color w:val="auto"/>
                <w:sz w:val="21"/>
                <w:szCs w:val="21"/>
                <w:lang w:val="zh-CN" w:bidi="zh-CN"/>
              </w:rPr>
            </w:pPr>
          </w:p>
        </w:tc>
        <w:tc>
          <w:tcPr>
            <w:tcW w:w="676" w:type="pct"/>
            <w:vMerge w:val="continue"/>
            <w:vAlign w:val="center"/>
          </w:tcPr>
          <w:p w14:paraId="2F3E098E">
            <w:pPr>
              <w:autoSpaceDE w:val="0"/>
              <w:autoSpaceDN w:val="0"/>
              <w:spacing w:before="40" w:line="300" w:lineRule="exact"/>
              <w:ind w:left="35" w:right="138" w:firstLine="0" w:firstLineChars="0"/>
              <w:jc w:val="center"/>
              <w:rPr>
                <w:color w:val="auto"/>
                <w:sz w:val="21"/>
                <w:szCs w:val="21"/>
                <w:lang w:val="zh-CN" w:bidi="zh-CN"/>
              </w:rPr>
            </w:pPr>
          </w:p>
        </w:tc>
        <w:tc>
          <w:tcPr>
            <w:tcW w:w="761" w:type="pct"/>
            <w:vMerge w:val="continue"/>
            <w:vAlign w:val="center"/>
          </w:tcPr>
          <w:p w14:paraId="240A02E6">
            <w:pPr>
              <w:autoSpaceDE w:val="0"/>
              <w:autoSpaceDN w:val="0"/>
              <w:spacing w:before="40" w:line="300" w:lineRule="exact"/>
              <w:ind w:left="35" w:right="138" w:firstLine="0" w:firstLineChars="0"/>
              <w:jc w:val="center"/>
              <w:rPr>
                <w:color w:val="auto"/>
                <w:sz w:val="21"/>
                <w:szCs w:val="21"/>
                <w:lang w:val="zh-CN" w:bidi="zh-CN"/>
              </w:rPr>
            </w:pPr>
          </w:p>
        </w:tc>
        <w:tc>
          <w:tcPr>
            <w:tcW w:w="930" w:type="pct"/>
            <w:vMerge w:val="continue"/>
            <w:vAlign w:val="center"/>
          </w:tcPr>
          <w:p w14:paraId="586CE91B">
            <w:pPr>
              <w:autoSpaceDE w:val="0"/>
              <w:autoSpaceDN w:val="0"/>
              <w:spacing w:before="40" w:line="300" w:lineRule="exact"/>
              <w:ind w:left="35" w:right="138" w:firstLine="0" w:firstLineChars="0"/>
              <w:jc w:val="center"/>
              <w:rPr>
                <w:color w:val="auto"/>
                <w:sz w:val="21"/>
                <w:szCs w:val="21"/>
                <w:lang w:val="zh-CN" w:bidi="zh-CN"/>
              </w:rPr>
            </w:pPr>
          </w:p>
        </w:tc>
        <w:tc>
          <w:tcPr>
            <w:tcW w:w="592" w:type="pct"/>
            <w:vMerge w:val="continue"/>
            <w:vAlign w:val="center"/>
          </w:tcPr>
          <w:p w14:paraId="0D789588">
            <w:pPr>
              <w:autoSpaceDE w:val="0"/>
              <w:autoSpaceDN w:val="0"/>
              <w:spacing w:before="40" w:line="300" w:lineRule="exact"/>
              <w:ind w:left="35" w:right="138" w:firstLine="0" w:firstLineChars="0"/>
              <w:jc w:val="center"/>
              <w:rPr>
                <w:color w:val="auto"/>
                <w:sz w:val="21"/>
                <w:szCs w:val="21"/>
                <w:lang w:val="zh-CN" w:bidi="zh-CN"/>
              </w:rPr>
            </w:pPr>
          </w:p>
        </w:tc>
      </w:tr>
      <w:tr w14:paraId="0F8EEB7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601" w:type="pct"/>
            <w:vAlign w:val="center"/>
          </w:tcPr>
          <w:p w14:paraId="3B6F03A0">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3</w:t>
            </w:r>
          </w:p>
        </w:tc>
        <w:tc>
          <w:tcPr>
            <w:tcW w:w="1438" w:type="pct"/>
            <w:vAlign w:val="center"/>
          </w:tcPr>
          <w:p w14:paraId="459DC2ED">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西彭水厂向中部应急供水管道</w:t>
            </w:r>
          </w:p>
        </w:tc>
        <w:tc>
          <w:tcPr>
            <w:tcW w:w="676" w:type="pct"/>
            <w:vAlign w:val="center"/>
          </w:tcPr>
          <w:p w14:paraId="73FA4197">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综合管廊</w:t>
            </w:r>
          </w:p>
        </w:tc>
        <w:tc>
          <w:tcPr>
            <w:tcW w:w="761" w:type="pct"/>
            <w:vAlign w:val="center"/>
          </w:tcPr>
          <w:p w14:paraId="41555DE7">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DN1400</w:t>
            </w:r>
          </w:p>
        </w:tc>
        <w:tc>
          <w:tcPr>
            <w:tcW w:w="930" w:type="pct"/>
            <w:vAlign w:val="center"/>
          </w:tcPr>
          <w:p w14:paraId="03B51339">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20</w:t>
            </w:r>
          </w:p>
        </w:tc>
        <w:tc>
          <w:tcPr>
            <w:tcW w:w="592" w:type="pct"/>
            <w:vAlign w:val="center"/>
          </w:tcPr>
          <w:p w14:paraId="00A9FA4D">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规划</w:t>
            </w:r>
          </w:p>
        </w:tc>
      </w:tr>
      <w:tr w14:paraId="37052C3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601" w:type="pct"/>
            <w:vAlign w:val="center"/>
          </w:tcPr>
          <w:p w14:paraId="02D6411A">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4</w:t>
            </w:r>
          </w:p>
        </w:tc>
        <w:tc>
          <w:tcPr>
            <w:tcW w:w="1438" w:type="pct"/>
            <w:vAlign w:val="center"/>
          </w:tcPr>
          <w:p w14:paraId="09127496">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西彭水厂与大学城水厂之间互通管道</w:t>
            </w:r>
          </w:p>
        </w:tc>
        <w:tc>
          <w:tcPr>
            <w:tcW w:w="676" w:type="pct"/>
            <w:vAlign w:val="center"/>
          </w:tcPr>
          <w:p w14:paraId="2BBD1D78">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沿外环敷设</w:t>
            </w:r>
          </w:p>
        </w:tc>
        <w:tc>
          <w:tcPr>
            <w:tcW w:w="761" w:type="pct"/>
            <w:vAlign w:val="center"/>
          </w:tcPr>
          <w:p w14:paraId="0CCE5A15">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DN1200x2</w:t>
            </w:r>
          </w:p>
        </w:tc>
        <w:tc>
          <w:tcPr>
            <w:tcW w:w="930" w:type="pct"/>
            <w:vAlign w:val="center"/>
          </w:tcPr>
          <w:p w14:paraId="71CF7979">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20</w:t>
            </w:r>
          </w:p>
        </w:tc>
        <w:tc>
          <w:tcPr>
            <w:tcW w:w="592" w:type="pct"/>
            <w:vAlign w:val="center"/>
          </w:tcPr>
          <w:p w14:paraId="5A3D5273">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规划</w:t>
            </w:r>
          </w:p>
        </w:tc>
      </w:tr>
      <w:tr w14:paraId="785C016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14" w:hRule="atLeast"/>
        </w:trPr>
        <w:tc>
          <w:tcPr>
            <w:tcW w:w="2715" w:type="pct"/>
            <w:gridSpan w:val="3"/>
            <w:vAlign w:val="center"/>
          </w:tcPr>
          <w:p w14:paraId="126625DE">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合计</w:t>
            </w:r>
          </w:p>
        </w:tc>
        <w:tc>
          <w:tcPr>
            <w:tcW w:w="761" w:type="pct"/>
            <w:vAlign w:val="center"/>
          </w:tcPr>
          <w:p w14:paraId="7253F7D8">
            <w:pPr>
              <w:autoSpaceDE w:val="0"/>
              <w:autoSpaceDN w:val="0"/>
              <w:spacing w:before="40" w:line="300" w:lineRule="exact"/>
              <w:ind w:left="35" w:right="138" w:firstLine="0" w:firstLineChars="0"/>
              <w:jc w:val="center"/>
              <w:rPr>
                <w:color w:val="auto"/>
                <w:sz w:val="21"/>
                <w:szCs w:val="21"/>
                <w:lang w:val="zh-CN" w:bidi="zh-CN"/>
              </w:rPr>
            </w:pPr>
          </w:p>
        </w:tc>
        <w:tc>
          <w:tcPr>
            <w:tcW w:w="930" w:type="pct"/>
            <w:vAlign w:val="center"/>
          </w:tcPr>
          <w:p w14:paraId="49DCCFD9">
            <w:pPr>
              <w:autoSpaceDE w:val="0"/>
              <w:autoSpaceDN w:val="0"/>
              <w:spacing w:before="40" w:line="300" w:lineRule="exact"/>
              <w:ind w:left="35" w:right="138" w:firstLine="0" w:firstLineChars="0"/>
              <w:jc w:val="center"/>
              <w:rPr>
                <w:color w:val="auto"/>
                <w:sz w:val="21"/>
                <w:szCs w:val="21"/>
                <w:lang w:val="zh-CN" w:bidi="zh-CN"/>
              </w:rPr>
            </w:pPr>
            <w:r>
              <w:rPr>
                <w:color w:val="auto"/>
                <w:sz w:val="21"/>
                <w:szCs w:val="21"/>
                <w:lang w:val="zh-CN" w:bidi="zh-CN"/>
              </w:rPr>
              <w:t>50</w:t>
            </w:r>
          </w:p>
        </w:tc>
        <w:tc>
          <w:tcPr>
            <w:tcW w:w="592" w:type="pct"/>
            <w:vAlign w:val="center"/>
          </w:tcPr>
          <w:p w14:paraId="38A930DD">
            <w:pPr>
              <w:autoSpaceDE w:val="0"/>
              <w:autoSpaceDN w:val="0"/>
              <w:spacing w:before="40" w:line="300" w:lineRule="exact"/>
              <w:ind w:left="35" w:right="138" w:firstLine="0" w:firstLineChars="0"/>
              <w:jc w:val="center"/>
              <w:rPr>
                <w:color w:val="auto"/>
                <w:sz w:val="21"/>
                <w:szCs w:val="21"/>
                <w:lang w:val="zh-CN" w:bidi="zh-CN"/>
              </w:rPr>
            </w:pPr>
          </w:p>
        </w:tc>
      </w:tr>
    </w:tbl>
    <w:p w14:paraId="081D7DF4">
      <w:pPr>
        <w:spacing w:line="560" w:lineRule="exact"/>
        <w:ind w:firstLine="480"/>
        <w:rPr>
          <w:color w:val="auto"/>
          <w:szCs w:val="28"/>
        </w:rPr>
      </w:pPr>
      <w:r>
        <w:rPr>
          <w:color w:val="auto"/>
          <w:szCs w:val="28"/>
        </w:rPr>
        <w:t>所有的互联互通管道完善后，西部片区外部调水规模达到60万m</w:t>
      </w:r>
      <w:r>
        <w:rPr>
          <w:color w:val="auto"/>
          <w:szCs w:val="28"/>
          <w:vertAlign w:val="superscript"/>
        </w:rPr>
        <w:t>3</w:t>
      </w:r>
      <w:r>
        <w:rPr>
          <w:color w:val="auto"/>
          <w:szCs w:val="28"/>
        </w:rPr>
        <w:t>/d，内部调水</w:t>
      </w:r>
      <w:r>
        <w:rPr>
          <w:color w:val="auto"/>
          <w:szCs w:val="28"/>
          <w:lang w:val="zh-CN" w:bidi="zh-CN"/>
        </w:rPr>
        <w:t>50</w:t>
      </w:r>
      <w:r>
        <w:rPr>
          <w:color w:val="auto"/>
          <w:szCs w:val="28"/>
        </w:rPr>
        <w:t>万m</w:t>
      </w:r>
      <w:r>
        <w:rPr>
          <w:color w:val="auto"/>
          <w:szCs w:val="28"/>
          <w:vertAlign w:val="superscript"/>
        </w:rPr>
        <w:t>3</w:t>
      </w:r>
      <w:r>
        <w:rPr>
          <w:color w:val="auto"/>
          <w:szCs w:val="28"/>
        </w:rPr>
        <w:t>/d，形成了完善的应急供水保障系统。</w:t>
      </w:r>
    </w:p>
    <w:p w14:paraId="03527572">
      <w:pPr>
        <w:spacing w:line="240" w:lineRule="auto"/>
        <w:ind w:firstLine="480"/>
        <w:jc w:val="center"/>
        <w:rPr>
          <w:color w:val="auto"/>
          <w:szCs w:val="28"/>
        </w:rPr>
      </w:pPr>
      <w:r>
        <w:rPr>
          <w:color w:val="auto"/>
          <w:szCs w:val="28"/>
        </w:rPr>
        <w:drawing>
          <wp:inline distT="0" distB="0" distL="114300" distR="114300">
            <wp:extent cx="3241675" cy="8051800"/>
            <wp:effectExtent l="19050" t="19050" r="15875" b="254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4"/>
                    <a:stretch>
                      <a:fillRect/>
                    </a:stretch>
                  </pic:blipFill>
                  <pic:spPr>
                    <a:xfrm>
                      <a:off x="0" y="0"/>
                      <a:ext cx="3245308" cy="8060119"/>
                    </a:xfrm>
                    <a:prstGeom prst="rect">
                      <a:avLst/>
                    </a:prstGeom>
                    <a:noFill/>
                    <a:ln>
                      <a:solidFill>
                        <a:schemeClr val="tx1"/>
                      </a:solidFill>
                    </a:ln>
                  </pic:spPr>
                </pic:pic>
              </a:graphicData>
            </a:graphic>
          </wp:inline>
        </w:drawing>
      </w:r>
    </w:p>
    <w:p w14:paraId="6F07CDC1">
      <w:pPr>
        <w:ind w:firstLine="482"/>
        <w:jc w:val="center"/>
        <w:rPr>
          <w:b/>
          <w:color w:val="auto"/>
          <w:szCs w:val="28"/>
        </w:rPr>
      </w:pPr>
      <w:r>
        <w:rPr>
          <w:b/>
          <w:color w:val="auto"/>
          <w:szCs w:val="28"/>
          <w:lang w:bidi="en-US"/>
        </w:rPr>
        <w:t xml:space="preserve">图6.4-1  </w:t>
      </w:r>
      <w:r>
        <w:rPr>
          <w:b/>
          <w:color w:val="auto"/>
          <w:szCs w:val="28"/>
        </w:rPr>
        <w:t>西部片区互联互通管道规划建设示意图</w:t>
      </w:r>
    </w:p>
    <w:p w14:paraId="424850B6">
      <w:pPr>
        <w:pStyle w:val="3"/>
        <w:numPr>
          <w:ilvl w:val="0"/>
          <w:numId w:val="0"/>
        </w:numPr>
        <w:spacing w:before="333" w:after="333"/>
        <w:rPr>
          <w:color w:val="auto"/>
        </w:rPr>
      </w:pPr>
      <w:bookmarkStart w:id="80" w:name="_Toc10979"/>
      <w:bookmarkStart w:id="81" w:name="_Toc26274"/>
      <w:r>
        <w:rPr>
          <w:color w:val="auto"/>
        </w:rPr>
        <w:t>7区域退水方案分析</w:t>
      </w:r>
      <w:bookmarkEnd w:id="80"/>
      <w:bookmarkEnd w:id="81"/>
    </w:p>
    <w:p w14:paraId="0ACBCCBA">
      <w:pPr>
        <w:pStyle w:val="4"/>
        <w:numPr>
          <w:ilvl w:val="0"/>
          <w:numId w:val="0"/>
        </w:numPr>
        <w:spacing w:before="166" w:after="166"/>
        <w:rPr>
          <w:color w:val="auto"/>
        </w:rPr>
      </w:pPr>
      <w:bookmarkStart w:id="82" w:name="_Toc20624"/>
      <w:r>
        <w:rPr>
          <w:color w:val="auto"/>
        </w:rPr>
        <w:t>7.1退水总量及水质</w:t>
      </w:r>
      <w:bookmarkEnd w:id="82"/>
    </w:p>
    <w:p w14:paraId="5CE37AC8">
      <w:pPr>
        <w:pStyle w:val="5"/>
        <w:numPr>
          <w:ilvl w:val="0"/>
          <w:numId w:val="0"/>
        </w:numPr>
        <w:spacing w:before="166" w:after="166"/>
        <w:rPr>
          <w:color w:val="auto"/>
        </w:rPr>
      </w:pPr>
      <w:r>
        <w:rPr>
          <w:color w:val="auto"/>
        </w:rPr>
        <w:t>7.1.1退水总量退水系统组成</w:t>
      </w:r>
    </w:p>
    <w:p w14:paraId="19F6D56D">
      <w:pPr>
        <w:pStyle w:val="2"/>
        <w:ind w:firstLine="480"/>
        <w:rPr>
          <w:color w:val="auto"/>
        </w:rPr>
      </w:pPr>
      <w:r>
        <w:rPr>
          <w:color w:val="auto"/>
        </w:rPr>
        <w:t>九龙工业园区排水系统采取分类回收，集中处理，统一排放的方式。按废污水的水质性质，基本分为三大排水系统，分别是生产废水、生活污水、雨水系统组成。本工程退水来自于九龙工业园生活污水和工业废水。</w:t>
      </w:r>
      <w:r>
        <w:rPr>
          <w:rFonts w:hint="eastAsia"/>
          <w:color w:val="auto"/>
        </w:rPr>
        <w:t>按照前述规划年（2</w:t>
      </w:r>
      <w:r>
        <w:rPr>
          <w:color w:val="auto"/>
        </w:rPr>
        <w:t>025</w:t>
      </w:r>
      <w:r>
        <w:rPr>
          <w:rFonts w:hint="eastAsia"/>
          <w:color w:val="auto"/>
        </w:rPr>
        <w:t>年）园区供用耗排水量分析，</w:t>
      </w:r>
      <w:r>
        <w:rPr>
          <w:color w:val="auto"/>
        </w:rPr>
        <w:t>九龙工业园区规划年用水总规模为3685.95万m</w:t>
      </w:r>
      <w:r>
        <w:rPr>
          <w:color w:val="auto"/>
          <w:vertAlign w:val="superscript"/>
        </w:rPr>
        <w:t>3</w:t>
      </w:r>
      <w:r>
        <w:rPr>
          <w:color w:val="auto"/>
        </w:rPr>
        <w:t>年退水总量为2111.40万m</w:t>
      </w:r>
      <w:r>
        <w:rPr>
          <w:color w:val="auto"/>
          <w:vertAlign w:val="superscript"/>
        </w:rPr>
        <w:t>3</w:t>
      </w:r>
      <w:r>
        <w:rPr>
          <w:color w:val="auto"/>
        </w:rPr>
        <w:t>，其中A区年退水总量为332.06万m</w:t>
      </w:r>
      <w:r>
        <w:rPr>
          <w:color w:val="auto"/>
          <w:vertAlign w:val="superscript"/>
        </w:rPr>
        <w:t>3</w:t>
      </w:r>
      <w:r>
        <w:rPr>
          <w:color w:val="auto"/>
        </w:rPr>
        <w:t>，B区年退水总量为996.05万m</w:t>
      </w:r>
      <w:r>
        <w:rPr>
          <w:color w:val="auto"/>
          <w:vertAlign w:val="superscript"/>
        </w:rPr>
        <w:t>3</w:t>
      </w:r>
      <w:r>
        <w:rPr>
          <w:color w:val="auto"/>
        </w:rPr>
        <w:t>，C区年退水总量为783.29万m</w:t>
      </w:r>
      <w:r>
        <w:rPr>
          <w:color w:val="auto"/>
          <w:vertAlign w:val="superscript"/>
        </w:rPr>
        <w:t>3</w:t>
      </w:r>
      <w:r>
        <w:rPr>
          <w:color w:val="auto"/>
        </w:rPr>
        <w:t>。根据九龙园区现状污水处理厂总体分布及园区产业发展规划，九龙园区退水系统组成如下：</w:t>
      </w:r>
    </w:p>
    <w:p w14:paraId="4AC30BB3">
      <w:pPr>
        <w:pStyle w:val="2"/>
        <w:ind w:firstLine="480"/>
        <w:rPr>
          <w:color w:val="auto"/>
        </w:rPr>
      </w:pPr>
      <w:r>
        <w:rPr>
          <w:color w:val="auto"/>
        </w:rPr>
        <w:t>（1）生产废污水系统</w:t>
      </w:r>
    </w:p>
    <w:p w14:paraId="6DE8C76F">
      <w:pPr>
        <w:pStyle w:val="2"/>
        <w:ind w:firstLine="480"/>
        <w:rPr>
          <w:color w:val="auto"/>
        </w:rPr>
      </w:pPr>
      <w:r>
        <w:rPr>
          <w:color w:val="auto"/>
        </w:rPr>
        <w:t>九龙工业园区生产废水主要来自</w:t>
      </w:r>
      <w:r>
        <w:rPr>
          <w:color w:val="auto"/>
          <w:kern w:val="0"/>
        </w:rPr>
        <w:t>生物医药产业、新能源材料、电子信息</w:t>
      </w:r>
      <w:r>
        <w:rPr>
          <w:color w:val="auto"/>
        </w:rPr>
        <w:t>产业产生的废污水。污水处理厂设定接纳污水水质标准，凡入驻企业必须自行进行污水预处理，达到污水处理厂接纳污水水质要求后，才可排入园区的污水管道送入污水处理厂进一步处理。</w:t>
      </w:r>
    </w:p>
    <w:p w14:paraId="611272E2">
      <w:pPr>
        <w:pStyle w:val="2"/>
        <w:ind w:firstLine="480"/>
        <w:rPr>
          <w:color w:val="auto"/>
        </w:rPr>
      </w:pPr>
      <w:r>
        <w:rPr>
          <w:color w:val="auto"/>
        </w:rPr>
        <w:t>其中九龙园区A区生产废水主要进入主城排水工程截流管C线后，进入鸡冠石污水处理厂集中处理后排入长江；B区生产废水的退水主要包含两部分，其中B3区的生产废水主要进入B3区污水处理厂集中处理后排入跳蹬河支流响水沟，其余区域主要进入大九污水处理厂集中处理后，排入跳蹬河；C区目前产生的生产废水量较少，一部分由临时建设的一体化污水处理设施处理后排入大溪河，一部分经龙塘凼污水处理站集中处理后再进入陶家生活污水处理厂处理后排入大溪河。未来C区生产废水将主要进入九龙园区L分区污水处理厂（陶家工业污水处理厂）集中处理后排入大溪河支流杨柳曲河，然后再汇进大溪河。</w:t>
      </w:r>
    </w:p>
    <w:p w14:paraId="5A186256">
      <w:pPr>
        <w:pStyle w:val="2"/>
        <w:ind w:firstLine="480"/>
        <w:rPr>
          <w:color w:val="auto"/>
        </w:rPr>
      </w:pPr>
      <w:r>
        <w:rPr>
          <w:color w:val="auto"/>
        </w:rPr>
        <w:t>（2）生活污水系统</w:t>
      </w:r>
    </w:p>
    <w:p w14:paraId="3F35D5B5">
      <w:pPr>
        <w:pStyle w:val="2"/>
        <w:ind w:firstLine="480"/>
        <w:rPr>
          <w:color w:val="auto"/>
        </w:rPr>
      </w:pPr>
      <w:r>
        <w:rPr>
          <w:color w:val="auto"/>
        </w:rPr>
        <w:t>九龙工业园区生活污水主要来自安置房、公租房、酒店、企业办公楼冲厕水、食堂厨余水、澡堂洗浴水等。其中九龙园区A区一部分（巴国城片区部分生活污水）进入彩云湖污水处理厂集中处理后排入彩云湖，另一部分进入主城排水工程截流管C线后，进入鸡冠石污水处理厂集中处理后排入长江；B区生活污水的退水主要包含两部分，其中B3区的生活污水主要进入B3区污水处理厂集中处理后排入跳蹬河支流响水沟，其余区域主要进入大九污水处理厂集中处理后，排入跳蹬河；C区生活污水主要进入陶家生活污水处理厂集中处理后，排入大溪河。</w:t>
      </w:r>
    </w:p>
    <w:p w14:paraId="4A4D6138">
      <w:pPr>
        <w:pStyle w:val="2"/>
        <w:ind w:firstLine="480"/>
        <w:rPr>
          <w:color w:val="auto"/>
        </w:rPr>
      </w:pPr>
      <w:r>
        <w:rPr>
          <w:color w:val="auto"/>
        </w:rPr>
        <w:t>（3）雨水系统</w:t>
      </w:r>
    </w:p>
    <w:p w14:paraId="159CA28B">
      <w:pPr>
        <w:pStyle w:val="2"/>
        <w:ind w:firstLine="480"/>
        <w:rPr>
          <w:color w:val="auto"/>
        </w:rPr>
      </w:pPr>
      <w:r>
        <w:rPr>
          <w:color w:val="auto"/>
        </w:rPr>
        <w:t>本系统主要用于收集非污染区雨水，由管网直接排入邻近河流。</w:t>
      </w:r>
    </w:p>
    <w:p w14:paraId="0DD79854">
      <w:pPr>
        <w:pStyle w:val="5"/>
        <w:numPr>
          <w:ilvl w:val="0"/>
          <w:numId w:val="0"/>
        </w:numPr>
        <w:spacing w:before="166" w:after="166"/>
        <w:rPr>
          <w:color w:val="auto"/>
        </w:rPr>
      </w:pPr>
      <w:r>
        <w:rPr>
          <w:color w:val="auto"/>
        </w:rPr>
        <w:t>7.1.2 退水水质</w:t>
      </w:r>
    </w:p>
    <w:p w14:paraId="103D5686">
      <w:pPr>
        <w:pStyle w:val="2"/>
        <w:ind w:firstLine="480"/>
        <w:rPr>
          <w:color w:val="auto"/>
        </w:rPr>
      </w:pPr>
      <w:r>
        <w:rPr>
          <w:color w:val="auto"/>
        </w:rPr>
        <w:t>（1）彩云湖污水处理厂</w:t>
      </w:r>
    </w:p>
    <w:p w14:paraId="1733EFCB">
      <w:pPr>
        <w:ind w:firstLine="480"/>
        <w:rPr>
          <w:color w:val="auto"/>
        </w:rPr>
      </w:pPr>
      <w:r>
        <w:rPr>
          <w:color w:val="auto"/>
        </w:rPr>
        <w:t>彩云湖污水处理厂，原设计排污标准达到《城镇污水处理厂污染物排放标准》（GB18918-2002）一级B标准后排放，该污水处理厂于2014年进行提标改造后，现状出水水质可达到《城镇污水处理厂污染物排放标准》（GB18918-2002）一级A标准，处理后排放污染物浓度指标为COD50mg/L，BOD</w:t>
      </w:r>
      <w:r>
        <w:rPr>
          <w:color w:val="auto"/>
          <w:vertAlign w:val="subscript"/>
        </w:rPr>
        <w:t>5</w:t>
      </w:r>
      <w:r>
        <w:rPr>
          <w:color w:val="auto"/>
        </w:rPr>
        <w:t>10mg/L、SS10mg/L、NH</w:t>
      </w:r>
      <w:r>
        <w:rPr>
          <w:color w:val="auto"/>
          <w:vertAlign w:val="subscript"/>
        </w:rPr>
        <w:t>3</w:t>
      </w:r>
      <w:r>
        <w:rPr>
          <w:color w:val="auto"/>
        </w:rPr>
        <w:t>-N5mg/L、TN15 mg/L、TP0.5 mg/L、PH6~9。</w:t>
      </w:r>
    </w:p>
    <w:p w14:paraId="02697317">
      <w:pPr>
        <w:ind w:firstLine="480"/>
        <w:rPr>
          <w:color w:val="auto"/>
        </w:rPr>
      </w:pPr>
      <w:r>
        <w:rPr>
          <w:color w:val="auto"/>
        </w:rPr>
        <w:t>目前，九龙坡区已将彩云湖污水处理厂提标扩容纳入规划中，提标改造后，该污水处理厂将增加脱氮工艺和深度处理设施，出水指标将由《城镇污水处理厂污染物排放标准》（GB18918-2002）一级A标准提升至《地表水环境质量标准》（GB3838-83）IV类标准，处理后排放污染物浓度指标可达到COD30mg/L，BOD</w:t>
      </w:r>
      <w:r>
        <w:rPr>
          <w:color w:val="auto"/>
          <w:vertAlign w:val="subscript"/>
        </w:rPr>
        <w:t>5</w:t>
      </w:r>
      <w:r>
        <w:rPr>
          <w:color w:val="auto"/>
        </w:rPr>
        <w:t>6mg/L、NH</w:t>
      </w:r>
      <w:r>
        <w:rPr>
          <w:color w:val="auto"/>
          <w:vertAlign w:val="subscript"/>
        </w:rPr>
        <w:t>3</w:t>
      </w:r>
      <w:r>
        <w:rPr>
          <w:color w:val="auto"/>
        </w:rPr>
        <w:t>-N1.5mg/L、TN1.5 mg/L、TP0.3mg/L、石油类0.5 mg/L。</w:t>
      </w:r>
    </w:p>
    <w:p w14:paraId="7E7BD176">
      <w:pPr>
        <w:pStyle w:val="2"/>
        <w:ind w:firstLine="480"/>
        <w:rPr>
          <w:color w:val="auto"/>
        </w:rPr>
      </w:pPr>
      <w:r>
        <w:rPr>
          <w:color w:val="auto"/>
        </w:rPr>
        <w:t>（2）鸡冠石污水处理厂</w:t>
      </w:r>
    </w:p>
    <w:p w14:paraId="169DC576">
      <w:pPr>
        <w:pStyle w:val="10"/>
        <w:spacing w:after="0"/>
        <w:ind w:firstLine="480"/>
        <w:rPr>
          <w:color w:val="auto"/>
        </w:rPr>
      </w:pPr>
      <w:r>
        <w:rPr>
          <w:color w:val="auto"/>
        </w:rPr>
        <w:t>鸡冠石污水处理厂一、二期工程原设计排放标准为《污水综合排放标准》（GB8978-1996）一级标准，2011年三期工程投运后，合并一期、二期污水一起达到《城镇污水处理厂污染物排放标准》（GB18918-2002）一级B标准。</w:t>
      </w:r>
    </w:p>
    <w:p w14:paraId="11AA95E9">
      <w:pPr>
        <w:ind w:firstLine="480"/>
        <w:rPr>
          <w:color w:val="auto"/>
        </w:rPr>
      </w:pPr>
      <w:r>
        <w:rPr>
          <w:color w:val="auto"/>
        </w:rPr>
        <w:t>2018年，重庆市排水公司对鸡冠石污水处理厂进行了提标改造，进行污水处理工艺升级，使出水达到《城镇污水处理厂污染物排放标准》（GB18918-2002）一级A标准，处理后排放污染物浓度指标为COD50mg/L，BOD</w:t>
      </w:r>
      <w:r>
        <w:rPr>
          <w:color w:val="auto"/>
          <w:vertAlign w:val="subscript"/>
        </w:rPr>
        <w:t>5</w:t>
      </w:r>
      <w:r>
        <w:rPr>
          <w:color w:val="auto"/>
        </w:rPr>
        <w:t>10mg/L、SS10mg/L、NH</w:t>
      </w:r>
      <w:r>
        <w:rPr>
          <w:color w:val="auto"/>
          <w:vertAlign w:val="subscript"/>
        </w:rPr>
        <w:t>3</w:t>
      </w:r>
      <w:r>
        <w:rPr>
          <w:color w:val="auto"/>
        </w:rPr>
        <w:t>-N5mg/L、TN15 mg/L、TP0.5 mg/L、PH6~9。</w:t>
      </w:r>
    </w:p>
    <w:p w14:paraId="289A4F2D">
      <w:pPr>
        <w:pStyle w:val="2"/>
        <w:ind w:firstLine="480"/>
        <w:rPr>
          <w:color w:val="auto"/>
        </w:rPr>
      </w:pPr>
      <w:r>
        <w:rPr>
          <w:color w:val="auto"/>
        </w:rPr>
        <w:t>（3）大九污水处理厂</w:t>
      </w:r>
    </w:p>
    <w:p w14:paraId="2B65BC5A">
      <w:pPr>
        <w:ind w:firstLine="480"/>
        <w:rPr>
          <w:color w:val="auto"/>
        </w:rPr>
      </w:pPr>
      <w:r>
        <w:rPr>
          <w:color w:val="auto"/>
        </w:rPr>
        <w:t>大九污水处理厂一期工程出水水质达到《城镇污水处理厂污染物排放标准》（GB18918-2002）一级B标准。该厂于2018年提标改造后，现状出水水质可达到《城镇污水处理厂污染物排放标准》（GB18918-2002）一级A标准，处理后排放污染物浓度指标为COD50mg/L，BOD</w:t>
      </w:r>
      <w:r>
        <w:rPr>
          <w:color w:val="auto"/>
          <w:vertAlign w:val="subscript"/>
        </w:rPr>
        <w:t>5</w:t>
      </w:r>
      <w:r>
        <w:rPr>
          <w:color w:val="auto"/>
        </w:rPr>
        <w:t>10mg/L、SS10mg/L、NH</w:t>
      </w:r>
      <w:r>
        <w:rPr>
          <w:color w:val="auto"/>
          <w:vertAlign w:val="subscript"/>
        </w:rPr>
        <w:t>3</w:t>
      </w:r>
      <w:r>
        <w:rPr>
          <w:color w:val="auto"/>
        </w:rPr>
        <w:t>-N5mg/L、TN15 mg/L、TP0.5 mg/L、PH6~9。</w:t>
      </w:r>
    </w:p>
    <w:p w14:paraId="3A00AF8D">
      <w:pPr>
        <w:pStyle w:val="2"/>
        <w:ind w:firstLine="480"/>
        <w:rPr>
          <w:color w:val="auto"/>
        </w:rPr>
      </w:pPr>
      <w:r>
        <w:rPr>
          <w:color w:val="auto"/>
        </w:rPr>
        <w:t>（4）九龙园区B3区污水处理厂</w:t>
      </w:r>
    </w:p>
    <w:p w14:paraId="49D6A7BC">
      <w:pPr>
        <w:ind w:firstLine="480"/>
        <w:rPr>
          <w:color w:val="auto"/>
        </w:rPr>
      </w:pPr>
      <w:r>
        <w:rPr>
          <w:color w:val="auto"/>
        </w:rPr>
        <w:t>九龙工业园区B3区污水处理厂排放标准执行地表水考核Ⅳ类水质标准。即处理后排放污染物浓度指标为COD30mg/L，BOD</w:t>
      </w:r>
      <w:r>
        <w:rPr>
          <w:color w:val="auto"/>
          <w:vertAlign w:val="subscript"/>
        </w:rPr>
        <w:t>5</w:t>
      </w:r>
      <w:r>
        <w:rPr>
          <w:color w:val="auto"/>
        </w:rPr>
        <w:t>6mg/L、NH</w:t>
      </w:r>
      <w:r>
        <w:rPr>
          <w:color w:val="auto"/>
          <w:vertAlign w:val="subscript"/>
        </w:rPr>
        <w:t>3</w:t>
      </w:r>
      <w:r>
        <w:rPr>
          <w:color w:val="auto"/>
        </w:rPr>
        <w:t>-N1.5mg/L、TN1.5 mg/L、TP0.3 mg/L、石油类0.5 mg/L。</w:t>
      </w:r>
    </w:p>
    <w:p w14:paraId="3B87ACEE">
      <w:pPr>
        <w:pStyle w:val="2"/>
        <w:ind w:firstLine="480"/>
        <w:rPr>
          <w:color w:val="auto"/>
        </w:rPr>
      </w:pPr>
      <w:r>
        <w:rPr>
          <w:color w:val="auto"/>
        </w:rPr>
        <w:t>（5）陶家生活污水处理厂</w:t>
      </w:r>
    </w:p>
    <w:p w14:paraId="0B641B51">
      <w:pPr>
        <w:ind w:firstLine="480"/>
        <w:rPr>
          <w:color w:val="auto"/>
        </w:rPr>
      </w:pPr>
      <w:r>
        <w:rPr>
          <w:color w:val="auto"/>
        </w:rPr>
        <w:t>陶家镇生活污水处理厂尾水处理可达到《城镇污水处理厂污染物排放标准》 （GB18918-2002）一级A标准，处理后排放污染物浓度指标为COD50mg/L，BOD510mg/L、SS10mg/L、NH3-N5mg/L、TN15 mg/L、TP0.5 mg/L、PH6~9。</w:t>
      </w:r>
    </w:p>
    <w:p w14:paraId="7E423A93">
      <w:pPr>
        <w:pStyle w:val="2"/>
        <w:ind w:firstLine="480"/>
        <w:rPr>
          <w:color w:val="auto"/>
        </w:rPr>
      </w:pPr>
      <w:r>
        <w:rPr>
          <w:color w:val="auto"/>
        </w:rPr>
        <w:t>（6）九龙园区L分区污水处理厂</w:t>
      </w:r>
    </w:p>
    <w:p w14:paraId="01EBC7F4">
      <w:pPr>
        <w:ind w:firstLine="480"/>
        <w:rPr>
          <w:color w:val="auto"/>
          <w:szCs w:val="24"/>
        </w:rPr>
      </w:pPr>
      <w:r>
        <w:rPr>
          <w:color w:val="auto"/>
          <w:szCs w:val="24"/>
        </w:rPr>
        <w:t>拟建的九龙园区L分区污水处理厂（即陶家工业污水处理厂）设计出水COD、NH</w:t>
      </w:r>
      <w:r>
        <w:rPr>
          <w:color w:val="auto"/>
          <w:szCs w:val="24"/>
          <w:vertAlign w:val="subscript"/>
        </w:rPr>
        <w:t>3</w:t>
      </w:r>
      <w:r>
        <w:rPr>
          <w:color w:val="auto"/>
          <w:szCs w:val="24"/>
        </w:rPr>
        <w:t>-N、总磷等主要指标处理达《地表水环境质量标准》（GB3838-2002）IV类标准，其余指标达《城镇污水处理厂污染物排放标准》（GB18918-2002）一级A标准，处理后排放污染物浓度指标为COD30mg/L，BOD</w:t>
      </w:r>
      <w:r>
        <w:rPr>
          <w:color w:val="auto"/>
          <w:szCs w:val="24"/>
          <w:vertAlign w:val="subscript"/>
        </w:rPr>
        <w:t>5</w:t>
      </w:r>
      <w:r>
        <w:rPr>
          <w:color w:val="auto"/>
          <w:szCs w:val="24"/>
        </w:rPr>
        <w:t>6mg/L、SS5mg/L、NH</w:t>
      </w:r>
      <w:r>
        <w:rPr>
          <w:color w:val="auto"/>
          <w:szCs w:val="24"/>
          <w:vertAlign w:val="subscript"/>
        </w:rPr>
        <w:t>3</w:t>
      </w:r>
      <w:r>
        <w:rPr>
          <w:color w:val="auto"/>
          <w:szCs w:val="24"/>
        </w:rPr>
        <w:t>-N1.5mg/L、TN10mg/L、TP0.3 mg/L、</w:t>
      </w:r>
      <w:r>
        <w:rPr>
          <w:color w:val="auto"/>
        </w:rPr>
        <w:t>石油类1 mg/L</w:t>
      </w:r>
      <w:r>
        <w:rPr>
          <w:color w:val="auto"/>
          <w:szCs w:val="24"/>
        </w:rPr>
        <w:t xml:space="preserve"> 、PH6~9。</w:t>
      </w:r>
    </w:p>
    <w:p w14:paraId="35EA2A30">
      <w:pPr>
        <w:pStyle w:val="4"/>
        <w:numPr>
          <w:ilvl w:val="0"/>
          <w:numId w:val="0"/>
        </w:numPr>
        <w:spacing w:before="166" w:after="166"/>
        <w:rPr>
          <w:color w:val="auto"/>
        </w:rPr>
      </w:pPr>
      <w:bookmarkStart w:id="83" w:name="_Toc25283"/>
      <w:r>
        <w:rPr>
          <w:color w:val="auto"/>
        </w:rPr>
        <w:t>7.2退水处理方案</w:t>
      </w:r>
      <w:bookmarkEnd w:id="83"/>
    </w:p>
    <w:p w14:paraId="0E145494">
      <w:pPr>
        <w:ind w:firstLine="480"/>
        <w:rPr>
          <w:color w:val="auto"/>
        </w:rPr>
      </w:pPr>
      <w:r>
        <w:rPr>
          <w:color w:val="auto"/>
        </w:rPr>
        <w:t>根据调查，九龙工业园区内污水分别由6个污水处理厂处理。其中A区由彩云湖污水处理厂、鸡冠石污水处理厂共同处理，B区由重庆市大九污水处理厂、九龙园区B3区污水处理厂处理，C区由陶家镇生活污水处理厂以及规划建设的九龙园区L分区污水处理厂共同处理。</w:t>
      </w:r>
      <w:r>
        <w:rPr>
          <w:rFonts w:hint="eastAsia"/>
          <w:color w:val="auto"/>
        </w:rPr>
        <w:t>九龙园区各主要退水所涉及污水处理厂统计表如下所示：</w:t>
      </w:r>
    </w:p>
    <w:p w14:paraId="3EDC4154">
      <w:pPr>
        <w:pStyle w:val="11"/>
        <w:ind w:firstLine="0" w:firstLineChars="0"/>
        <w:rPr>
          <w:b/>
          <w:bCs/>
          <w:color w:val="auto"/>
        </w:rPr>
      </w:pPr>
      <w:r>
        <w:rPr>
          <w:rFonts w:hint="eastAsia"/>
          <w:b/>
          <w:bCs/>
          <w:color w:val="auto"/>
        </w:rPr>
        <w:t>表7</w:t>
      </w:r>
      <w:r>
        <w:rPr>
          <w:b/>
          <w:bCs/>
          <w:color w:val="auto"/>
        </w:rPr>
        <w:t xml:space="preserve">.2-1                </w:t>
      </w:r>
      <w:r>
        <w:rPr>
          <w:rFonts w:hint="eastAsia"/>
          <w:b/>
          <w:bCs/>
          <w:color w:val="auto"/>
        </w:rPr>
        <w:t>九龙工业园区主要退水涉及污水处理厂统计表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2977"/>
        <w:gridCol w:w="2901"/>
        <w:gridCol w:w="2280"/>
      </w:tblGrid>
      <w:tr w14:paraId="763B0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14:paraId="164ED2E8">
            <w:pPr>
              <w:spacing w:line="240" w:lineRule="auto"/>
              <w:ind w:firstLine="0" w:firstLineChars="0"/>
              <w:jc w:val="center"/>
              <w:rPr>
                <w:color w:val="auto"/>
                <w:sz w:val="21"/>
                <w:szCs w:val="21"/>
              </w:rPr>
            </w:pPr>
            <w:r>
              <w:rPr>
                <w:rFonts w:hint="eastAsia"/>
                <w:color w:val="auto"/>
                <w:sz w:val="21"/>
                <w:szCs w:val="21"/>
              </w:rPr>
              <w:t>区域</w:t>
            </w:r>
          </w:p>
        </w:tc>
        <w:tc>
          <w:tcPr>
            <w:tcW w:w="2977" w:type="dxa"/>
            <w:vAlign w:val="center"/>
          </w:tcPr>
          <w:p w14:paraId="13A51F7C">
            <w:pPr>
              <w:spacing w:line="240" w:lineRule="auto"/>
              <w:ind w:firstLine="0" w:firstLineChars="0"/>
              <w:jc w:val="center"/>
              <w:rPr>
                <w:color w:val="auto"/>
                <w:sz w:val="21"/>
                <w:szCs w:val="21"/>
              </w:rPr>
            </w:pPr>
            <w:r>
              <w:rPr>
                <w:rFonts w:hint="eastAsia"/>
                <w:color w:val="auto"/>
                <w:sz w:val="21"/>
                <w:szCs w:val="21"/>
              </w:rPr>
              <w:t>退水涉及污水处理厂</w:t>
            </w:r>
          </w:p>
        </w:tc>
        <w:tc>
          <w:tcPr>
            <w:tcW w:w="2901" w:type="dxa"/>
            <w:vAlign w:val="center"/>
          </w:tcPr>
          <w:p w14:paraId="1D7A4FE3">
            <w:pPr>
              <w:spacing w:line="240" w:lineRule="auto"/>
              <w:ind w:firstLine="0" w:firstLineChars="0"/>
              <w:jc w:val="center"/>
              <w:rPr>
                <w:color w:val="auto"/>
                <w:sz w:val="21"/>
                <w:szCs w:val="21"/>
              </w:rPr>
            </w:pPr>
            <w:r>
              <w:rPr>
                <w:rFonts w:hint="eastAsia"/>
                <w:color w:val="auto"/>
                <w:sz w:val="21"/>
                <w:szCs w:val="21"/>
              </w:rPr>
              <w:t>现状设计处理规模</w:t>
            </w:r>
          </w:p>
          <w:p w14:paraId="23A1FC05">
            <w:pPr>
              <w:spacing w:line="240" w:lineRule="auto"/>
              <w:ind w:firstLine="0" w:firstLineChars="0"/>
              <w:jc w:val="center"/>
              <w:rPr>
                <w:color w:val="auto"/>
                <w:sz w:val="21"/>
                <w:szCs w:val="21"/>
              </w:rPr>
            </w:pPr>
            <w:r>
              <w:rPr>
                <w:rFonts w:hint="eastAsia"/>
                <w:color w:val="auto"/>
                <w:sz w:val="21"/>
                <w:szCs w:val="21"/>
              </w:rPr>
              <w:t>（万m</w:t>
            </w:r>
            <w:r>
              <w:rPr>
                <w:color w:val="auto"/>
                <w:sz w:val="21"/>
                <w:szCs w:val="21"/>
                <w:vertAlign w:val="superscript"/>
              </w:rPr>
              <w:t>3</w:t>
            </w:r>
            <w:r>
              <w:rPr>
                <w:color w:val="auto"/>
                <w:sz w:val="21"/>
                <w:szCs w:val="21"/>
              </w:rPr>
              <w:t>/</w:t>
            </w:r>
            <w:r>
              <w:rPr>
                <w:rFonts w:hint="eastAsia"/>
                <w:color w:val="auto"/>
                <w:sz w:val="21"/>
                <w:szCs w:val="21"/>
              </w:rPr>
              <w:t>d）</w:t>
            </w:r>
          </w:p>
        </w:tc>
        <w:tc>
          <w:tcPr>
            <w:tcW w:w="2280" w:type="dxa"/>
            <w:vAlign w:val="center"/>
          </w:tcPr>
          <w:p w14:paraId="6B47F98F">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025</w:t>
            </w:r>
            <w:r>
              <w:rPr>
                <w:rFonts w:hint="eastAsia"/>
                <w:color w:val="auto"/>
                <w:sz w:val="21"/>
                <w:szCs w:val="21"/>
              </w:rPr>
              <w:t>年规划处理规模</w:t>
            </w:r>
          </w:p>
          <w:p w14:paraId="186E6B6F">
            <w:pPr>
              <w:spacing w:line="240" w:lineRule="auto"/>
              <w:ind w:firstLine="0" w:firstLineChars="0"/>
              <w:jc w:val="center"/>
              <w:rPr>
                <w:color w:val="auto"/>
                <w:sz w:val="21"/>
                <w:szCs w:val="21"/>
              </w:rPr>
            </w:pPr>
            <w:r>
              <w:rPr>
                <w:rFonts w:hint="eastAsia"/>
                <w:color w:val="auto"/>
                <w:sz w:val="21"/>
                <w:szCs w:val="21"/>
              </w:rPr>
              <w:t>（万m</w:t>
            </w:r>
            <w:r>
              <w:rPr>
                <w:color w:val="auto"/>
                <w:sz w:val="21"/>
                <w:szCs w:val="21"/>
                <w:vertAlign w:val="superscript"/>
              </w:rPr>
              <w:t>3</w:t>
            </w:r>
            <w:r>
              <w:rPr>
                <w:color w:val="auto"/>
                <w:sz w:val="21"/>
                <w:szCs w:val="21"/>
              </w:rPr>
              <w:t>/</w:t>
            </w:r>
            <w:r>
              <w:rPr>
                <w:rFonts w:hint="eastAsia"/>
                <w:color w:val="auto"/>
                <w:sz w:val="21"/>
                <w:szCs w:val="21"/>
              </w:rPr>
              <w:t>d）</w:t>
            </w:r>
          </w:p>
        </w:tc>
      </w:tr>
      <w:tr w14:paraId="29620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959" w:type="dxa"/>
            <w:vMerge w:val="restart"/>
            <w:vAlign w:val="center"/>
          </w:tcPr>
          <w:p w14:paraId="2B64989F">
            <w:pPr>
              <w:spacing w:line="240" w:lineRule="auto"/>
              <w:ind w:firstLine="0" w:firstLineChars="0"/>
              <w:jc w:val="center"/>
              <w:rPr>
                <w:color w:val="auto"/>
                <w:sz w:val="21"/>
                <w:szCs w:val="21"/>
              </w:rPr>
            </w:pPr>
            <w:r>
              <w:rPr>
                <w:rFonts w:hint="eastAsia"/>
                <w:color w:val="auto"/>
                <w:sz w:val="21"/>
                <w:szCs w:val="21"/>
              </w:rPr>
              <w:t>A区</w:t>
            </w:r>
          </w:p>
        </w:tc>
        <w:tc>
          <w:tcPr>
            <w:tcW w:w="2977" w:type="dxa"/>
            <w:vAlign w:val="center"/>
          </w:tcPr>
          <w:p w14:paraId="32026FC7">
            <w:pPr>
              <w:spacing w:line="240" w:lineRule="auto"/>
              <w:ind w:firstLine="0" w:firstLineChars="0"/>
              <w:jc w:val="center"/>
              <w:rPr>
                <w:color w:val="auto"/>
                <w:sz w:val="21"/>
                <w:szCs w:val="21"/>
              </w:rPr>
            </w:pPr>
            <w:r>
              <w:rPr>
                <w:rFonts w:hint="eastAsia"/>
                <w:color w:val="auto"/>
                <w:sz w:val="21"/>
                <w:szCs w:val="21"/>
              </w:rPr>
              <w:t>彩云湖污水处理厂</w:t>
            </w:r>
          </w:p>
        </w:tc>
        <w:tc>
          <w:tcPr>
            <w:tcW w:w="2901" w:type="dxa"/>
            <w:vAlign w:val="center"/>
          </w:tcPr>
          <w:p w14:paraId="69289133">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.7</w:t>
            </w:r>
            <w:r>
              <w:rPr>
                <w:rFonts w:hint="eastAsia"/>
                <w:color w:val="auto"/>
                <w:sz w:val="21"/>
                <w:szCs w:val="21"/>
              </w:rPr>
              <w:t>（现状实际为1</w:t>
            </w:r>
            <w:r>
              <w:rPr>
                <w:color w:val="auto"/>
                <w:sz w:val="21"/>
                <w:szCs w:val="21"/>
              </w:rPr>
              <w:t>.85</w:t>
            </w:r>
            <w:r>
              <w:rPr>
                <w:rFonts w:hint="eastAsia"/>
                <w:color w:val="auto"/>
                <w:sz w:val="21"/>
                <w:szCs w:val="21"/>
              </w:rPr>
              <w:t>）</w:t>
            </w:r>
          </w:p>
        </w:tc>
        <w:tc>
          <w:tcPr>
            <w:tcW w:w="2280" w:type="dxa"/>
            <w:vAlign w:val="center"/>
          </w:tcPr>
          <w:p w14:paraId="5E0B3D2B">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.0</w:t>
            </w:r>
          </w:p>
        </w:tc>
      </w:tr>
      <w:tr w14:paraId="61B9E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exact"/>
        </w:trPr>
        <w:tc>
          <w:tcPr>
            <w:tcW w:w="959" w:type="dxa"/>
            <w:vMerge w:val="continue"/>
            <w:vAlign w:val="center"/>
          </w:tcPr>
          <w:p w14:paraId="0A72079B">
            <w:pPr>
              <w:spacing w:line="240" w:lineRule="auto"/>
              <w:ind w:firstLine="0" w:firstLineChars="0"/>
              <w:jc w:val="center"/>
              <w:rPr>
                <w:color w:val="auto"/>
                <w:sz w:val="21"/>
                <w:szCs w:val="21"/>
              </w:rPr>
            </w:pPr>
          </w:p>
        </w:tc>
        <w:tc>
          <w:tcPr>
            <w:tcW w:w="2977" w:type="dxa"/>
            <w:vAlign w:val="center"/>
          </w:tcPr>
          <w:p w14:paraId="2194AF9B">
            <w:pPr>
              <w:spacing w:line="240" w:lineRule="auto"/>
              <w:ind w:firstLine="0" w:firstLineChars="0"/>
              <w:jc w:val="center"/>
              <w:rPr>
                <w:color w:val="auto"/>
                <w:sz w:val="21"/>
                <w:szCs w:val="21"/>
              </w:rPr>
            </w:pPr>
            <w:r>
              <w:rPr>
                <w:rFonts w:hint="eastAsia"/>
                <w:color w:val="auto"/>
                <w:sz w:val="21"/>
                <w:szCs w:val="21"/>
              </w:rPr>
              <w:t>鸡冠石污水处理厂</w:t>
            </w:r>
          </w:p>
        </w:tc>
        <w:tc>
          <w:tcPr>
            <w:tcW w:w="2901" w:type="dxa"/>
            <w:vAlign w:val="center"/>
          </w:tcPr>
          <w:p w14:paraId="14157179">
            <w:pPr>
              <w:spacing w:line="240" w:lineRule="auto"/>
              <w:ind w:firstLine="0" w:firstLineChars="0"/>
              <w:jc w:val="center"/>
              <w:rPr>
                <w:color w:val="auto"/>
                <w:sz w:val="21"/>
                <w:szCs w:val="21"/>
              </w:rPr>
            </w:pPr>
            <w:r>
              <w:rPr>
                <w:rFonts w:hint="eastAsia"/>
                <w:color w:val="auto"/>
                <w:sz w:val="21"/>
                <w:szCs w:val="21"/>
              </w:rPr>
              <w:t>雨季处理能力165万m</w:t>
            </w:r>
            <w:r>
              <w:rPr>
                <w:rFonts w:hint="eastAsia"/>
                <w:color w:val="auto"/>
                <w:sz w:val="21"/>
                <w:szCs w:val="21"/>
                <w:vertAlign w:val="superscript"/>
              </w:rPr>
              <w:t>3</w:t>
            </w:r>
            <w:r>
              <w:rPr>
                <w:rFonts w:hint="eastAsia"/>
                <w:color w:val="auto"/>
                <w:sz w:val="21"/>
                <w:szCs w:val="21"/>
              </w:rPr>
              <w:t>/d，旱季80万m</w:t>
            </w:r>
            <w:r>
              <w:rPr>
                <w:rFonts w:hint="eastAsia"/>
                <w:color w:val="auto"/>
                <w:sz w:val="21"/>
                <w:szCs w:val="21"/>
                <w:vertAlign w:val="superscript"/>
              </w:rPr>
              <w:t>3</w:t>
            </w:r>
            <w:r>
              <w:rPr>
                <w:rFonts w:hint="eastAsia"/>
                <w:color w:val="auto"/>
                <w:sz w:val="21"/>
                <w:szCs w:val="21"/>
              </w:rPr>
              <w:t>/d</w:t>
            </w:r>
          </w:p>
        </w:tc>
        <w:tc>
          <w:tcPr>
            <w:tcW w:w="2280" w:type="dxa"/>
            <w:vAlign w:val="center"/>
          </w:tcPr>
          <w:p w14:paraId="692C0307">
            <w:pPr>
              <w:spacing w:line="240" w:lineRule="auto"/>
              <w:ind w:firstLine="0" w:firstLineChars="0"/>
              <w:jc w:val="center"/>
              <w:rPr>
                <w:color w:val="auto"/>
                <w:sz w:val="21"/>
                <w:szCs w:val="21"/>
              </w:rPr>
            </w:pPr>
            <w:r>
              <w:rPr>
                <w:rFonts w:hint="eastAsia"/>
                <w:color w:val="auto"/>
                <w:sz w:val="21"/>
                <w:szCs w:val="21"/>
              </w:rPr>
              <w:t>雨季处理能力165万m</w:t>
            </w:r>
            <w:r>
              <w:rPr>
                <w:rFonts w:hint="eastAsia"/>
                <w:color w:val="auto"/>
                <w:sz w:val="21"/>
                <w:szCs w:val="21"/>
                <w:vertAlign w:val="superscript"/>
              </w:rPr>
              <w:t>3</w:t>
            </w:r>
            <w:r>
              <w:rPr>
                <w:rFonts w:hint="eastAsia"/>
                <w:color w:val="auto"/>
                <w:sz w:val="21"/>
                <w:szCs w:val="21"/>
              </w:rPr>
              <w:t>/d，旱季80万m</w:t>
            </w:r>
            <w:r>
              <w:rPr>
                <w:rFonts w:hint="eastAsia"/>
                <w:color w:val="auto"/>
                <w:sz w:val="21"/>
                <w:szCs w:val="21"/>
                <w:vertAlign w:val="superscript"/>
              </w:rPr>
              <w:t>3</w:t>
            </w:r>
            <w:r>
              <w:rPr>
                <w:rFonts w:hint="eastAsia"/>
                <w:color w:val="auto"/>
                <w:sz w:val="21"/>
                <w:szCs w:val="21"/>
              </w:rPr>
              <w:t>/d</w:t>
            </w:r>
          </w:p>
        </w:tc>
      </w:tr>
      <w:tr w14:paraId="2E85B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959" w:type="dxa"/>
            <w:vMerge w:val="restart"/>
            <w:vAlign w:val="center"/>
          </w:tcPr>
          <w:p w14:paraId="758C3AE4">
            <w:pPr>
              <w:spacing w:line="240" w:lineRule="auto"/>
              <w:ind w:firstLine="0" w:firstLineChars="0"/>
              <w:jc w:val="center"/>
              <w:rPr>
                <w:color w:val="auto"/>
                <w:sz w:val="21"/>
                <w:szCs w:val="21"/>
              </w:rPr>
            </w:pPr>
            <w:r>
              <w:rPr>
                <w:rFonts w:hint="eastAsia"/>
                <w:color w:val="auto"/>
                <w:sz w:val="21"/>
                <w:szCs w:val="21"/>
              </w:rPr>
              <w:t>B区</w:t>
            </w:r>
          </w:p>
        </w:tc>
        <w:tc>
          <w:tcPr>
            <w:tcW w:w="2977" w:type="dxa"/>
            <w:vAlign w:val="center"/>
          </w:tcPr>
          <w:p w14:paraId="4A1DADAA">
            <w:pPr>
              <w:spacing w:line="240" w:lineRule="auto"/>
              <w:ind w:firstLine="0" w:firstLineChars="0"/>
              <w:jc w:val="center"/>
              <w:rPr>
                <w:color w:val="auto"/>
                <w:sz w:val="21"/>
                <w:szCs w:val="21"/>
              </w:rPr>
            </w:pPr>
            <w:r>
              <w:rPr>
                <w:rFonts w:hint="eastAsia"/>
                <w:color w:val="auto"/>
                <w:sz w:val="21"/>
                <w:szCs w:val="21"/>
              </w:rPr>
              <w:t>大九污水处理厂</w:t>
            </w:r>
          </w:p>
        </w:tc>
        <w:tc>
          <w:tcPr>
            <w:tcW w:w="2901" w:type="dxa"/>
            <w:vAlign w:val="center"/>
          </w:tcPr>
          <w:p w14:paraId="43B64940">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.0</w:t>
            </w:r>
          </w:p>
        </w:tc>
        <w:tc>
          <w:tcPr>
            <w:tcW w:w="2280" w:type="dxa"/>
            <w:vAlign w:val="center"/>
          </w:tcPr>
          <w:p w14:paraId="126452C7">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.0</w:t>
            </w:r>
          </w:p>
        </w:tc>
      </w:tr>
      <w:tr w14:paraId="4902E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959" w:type="dxa"/>
            <w:vMerge w:val="continue"/>
            <w:vAlign w:val="center"/>
          </w:tcPr>
          <w:p w14:paraId="58F9BEAA">
            <w:pPr>
              <w:spacing w:line="240" w:lineRule="auto"/>
              <w:ind w:firstLine="0" w:firstLineChars="0"/>
              <w:jc w:val="center"/>
              <w:rPr>
                <w:color w:val="auto"/>
                <w:sz w:val="21"/>
                <w:szCs w:val="21"/>
              </w:rPr>
            </w:pPr>
          </w:p>
        </w:tc>
        <w:tc>
          <w:tcPr>
            <w:tcW w:w="2977" w:type="dxa"/>
            <w:vAlign w:val="center"/>
          </w:tcPr>
          <w:p w14:paraId="3B16BEEA">
            <w:pPr>
              <w:spacing w:line="240" w:lineRule="auto"/>
              <w:ind w:firstLine="0" w:firstLineChars="0"/>
              <w:jc w:val="center"/>
              <w:rPr>
                <w:color w:val="auto"/>
                <w:sz w:val="21"/>
                <w:szCs w:val="21"/>
              </w:rPr>
            </w:pPr>
            <w:r>
              <w:rPr>
                <w:rFonts w:hint="eastAsia"/>
                <w:color w:val="auto"/>
                <w:sz w:val="21"/>
                <w:szCs w:val="21"/>
              </w:rPr>
              <w:t>九龙园区B</w:t>
            </w:r>
            <w:r>
              <w:rPr>
                <w:color w:val="auto"/>
                <w:sz w:val="21"/>
                <w:szCs w:val="21"/>
              </w:rPr>
              <w:t>3</w:t>
            </w:r>
            <w:r>
              <w:rPr>
                <w:rFonts w:hint="eastAsia"/>
                <w:color w:val="auto"/>
                <w:sz w:val="21"/>
                <w:szCs w:val="21"/>
              </w:rPr>
              <w:t>区污水处理厂</w:t>
            </w:r>
          </w:p>
        </w:tc>
        <w:tc>
          <w:tcPr>
            <w:tcW w:w="2901" w:type="dxa"/>
            <w:vAlign w:val="center"/>
          </w:tcPr>
          <w:p w14:paraId="4FDE266D">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.25</w:t>
            </w:r>
          </w:p>
        </w:tc>
        <w:tc>
          <w:tcPr>
            <w:tcW w:w="2280" w:type="dxa"/>
            <w:vAlign w:val="center"/>
          </w:tcPr>
          <w:p w14:paraId="4994FA46">
            <w:pPr>
              <w:spacing w:line="240" w:lineRule="auto"/>
              <w:ind w:firstLine="0" w:firstLineChars="0"/>
              <w:jc w:val="center"/>
              <w:rPr>
                <w:color w:val="auto"/>
                <w:sz w:val="21"/>
                <w:szCs w:val="21"/>
              </w:rPr>
            </w:pPr>
            <w:r>
              <w:rPr>
                <w:color w:val="auto"/>
                <w:sz w:val="21"/>
                <w:szCs w:val="21"/>
              </w:rPr>
              <w:t>0.25</w:t>
            </w:r>
          </w:p>
        </w:tc>
      </w:tr>
      <w:tr w14:paraId="3CB3A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959" w:type="dxa"/>
            <w:vMerge w:val="restart"/>
            <w:vAlign w:val="center"/>
          </w:tcPr>
          <w:p w14:paraId="65812CB6">
            <w:pPr>
              <w:spacing w:line="240" w:lineRule="auto"/>
              <w:ind w:firstLine="0" w:firstLineChars="0"/>
              <w:jc w:val="center"/>
              <w:rPr>
                <w:color w:val="auto"/>
                <w:sz w:val="21"/>
                <w:szCs w:val="21"/>
              </w:rPr>
            </w:pPr>
            <w:r>
              <w:rPr>
                <w:rFonts w:hint="eastAsia"/>
                <w:color w:val="auto"/>
                <w:sz w:val="21"/>
                <w:szCs w:val="21"/>
              </w:rPr>
              <w:t>C区</w:t>
            </w:r>
          </w:p>
        </w:tc>
        <w:tc>
          <w:tcPr>
            <w:tcW w:w="2977" w:type="dxa"/>
            <w:vAlign w:val="center"/>
          </w:tcPr>
          <w:p w14:paraId="4B20F166">
            <w:pPr>
              <w:spacing w:line="240" w:lineRule="auto"/>
              <w:ind w:firstLine="0" w:firstLineChars="0"/>
              <w:jc w:val="center"/>
              <w:rPr>
                <w:color w:val="auto"/>
                <w:sz w:val="21"/>
                <w:szCs w:val="21"/>
              </w:rPr>
            </w:pPr>
            <w:r>
              <w:rPr>
                <w:rFonts w:hint="eastAsia"/>
                <w:color w:val="auto"/>
                <w:sz w:val="21"/>
                <w:szCs w:val="21"/>
              </w:rPr>
              <w:t>陶家污水处理厂</w:t>
            </w:r>
          </w:p>
        </w:tc>
        <w:tc>
          <w:tcPr>
            <w:tcW w:w="2901" w:type="dxa"/>
            <w:vAlign w:val="center"/>
          </w:tcPr>
          <w:p w14:paraId="45ED51E5">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.5</w:t>
            </w:r>
          </w:p>
        </w:tc>
        <w:tc>
          <w:tcPr>
            <w:tcW w:w="2280" w:type="dxa"/>
            <w:vAlign w:val="center"/>
          </w:tcPr>
          <w:p w14:paraId="0F0BF335">
            <w:pPr>
              <w:spacing w:line="240" w:lineRule="auto"/>
              <w:ind w:firstLine="0" w:firstLineChars="0"/>
              <w:jc w:val="center"/>
              <w:rPr>
                <w:color w:val="auto"/>
                <w:sz w:val="21"/>
                <w:szCs w:val="21"/>
              </w:rPr>
            </w:pPr>
            <w:r>
              <w:rPr>
                <w:color w:val="auto"/>
                <w:sz w:val="21"/>
                <w:szCs w:val="21"/>
              </w:rPr>
              <w:t>2.5</w:t>
            </w:r>
          </w:p>
        </w:tc>
      </w:tr>
      <w:tr w14:paraId="52F23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exact"/>
        </w:trPr>
        <w:tc>
          <w:tcPr>
            <w:tcW w:w="959" w:type="dxa"/>
            <w:vMerge w:val="continue"/>
            <w:vAlign w:val="center"/>
          </w:tcPr>
          <w:p w14:paraId="0CD343AC">
            <w:pPr>
              <w:spacing w:line="240" w:lineRule="auto"/>
              <w:ind w:firstLine="0" w:firstLineChars="0"/>
              <w:jc w:val="center"/>
              <w:rPr>
                <w:color w:val="auto"/>
                <w:sz w:val="21"/>
                <w:szCs w:val="21"/>
              </w:rPr>
            </w:pPr>
          </w:p>
        </w:tc>
        <w:tc>
          <w:tcPr>
            <w:tcW w:w="2977" w:type="dxa"/>
            <w:vAlign w:val="center"/>
          </w:tcPr>
          <w:p w14:paraId="5BD62EAD">
            <w:pPr>
              <w:spacing w:line="240" w:lineRule="auto"/>
              <w:ind w:firstLine="0" w:firstLineChars="0"/>
              <w:jc w:val="center"/>
              <w:rPr>
                <w:color w:val="auto"/>
                <w:sz w:val="21"/>
                <w:szCs w:val="21"/>
              </w:rPr>
            </w:pPr>
            <w:r>
              <w:rPr>
                <w:rFonts w:hint="eastAsia"/>
                <w:color w:val="auto"/>
                <w:sz w:val="21"/>
                <w:szCs w:val="21"/>
              </w:rPr>
              <w:t>九龙园区L分区污水处理厂</w:t>
            </w:r>
          </w:p>
          <w:p w14:paraId="7E2AC715">
            <w:pPr>
              <w:spacing w:line="240" w:lineRule="auto"/>
              <w:ind w:firstLine="0" w:firstLineChars="0"/>
              <w:jc w:val="center"/>
              <w:rPr>
                <w:color w:val="auto"/>
                <w:sz w:val="21"/>
                <w:szCs w:val="21"/>
              </w:rPr>
            </w:pPr>
            <w:r>
              <w:rPr>
                <w:rFonts w:hint="eastAsia"/>
                <w:color w:val="auto"/>
                <w:sz w:val="21"/>
                <w:szCs w:val="21"/>
              </w:rPr>
              <w:t>（陶家工业污水处理厂）</w:t>
            </w:r>
          </w:p>
        </w:tc>
        <w:tc>
          <w:tcPr>
            <w:tcW w:w="2901" w:type="dxa"/>
            <w:vAlign w:val="center"/>
          </w:tcPr>
          <w:p w14:paraId="02835DBE">
            <w:pPr>
              <w:spacing w:line="240" w:lineRule="auto"/>
              <w:ind w:firstLine="0" w:firstLineChars="0"/>
              <w:jc w:val="center"/>
              <w:rPr>
                <w:color w:val="auto"/>
                <w:sz w:val="21"/>
                <w:szCs w:val="21"/>
              </w:rPr>
            </w:pPr>
            <w:r>
              <w:rPr>
                <w:rFonts w:hint="eastAsia"/>
                <w:color w:val="auto"/>
                <w:sz w:val="21"/>
                <w:szCs w:val="21"/>
              </w:rPr>
              <w:t>/</w:t>
            </w:r>
          </w:p>
        </w:tc>
        <w:tc>
          <w:tcPr>
            <w:tcW w:w="2280" w:type="dxa"/>
            <w:vAlign w:val="center"/>
          </w:tcPr>
          <w:p w14:paraId="71CE1937">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.0</w:t>
            </w:r>
          </w:p>
        </w:tc>
      </w:tr>
    </w:tbl>
    <w:p w14:paraId="22C7B64E">
      <w:pPr>
        <w:pStyle w:val="5"/>
        <w:numPr>
          <w:ilvl w:val="0"/>
          <w:numId w:val="0"/>
        </w:numPr>
        <w:spacing w:before="166" w:after="166"/>
        <w:rPr>
          <w:color w:val="auto"/>
        </w:rPr>
      </w:pPr>
      <w:r>
        <w:rPr>
          <w:color w:val="auto"/>
        </w:rPr>
        <w:t>7.2.1彩云湖污水处理厂退水处理方案</w:t>
      </w:r>
    </w:p>
    <w:p w14:paraId="5EDA8CFB">
      <w:pPr>
        <w:pStyle w:val="10"/>
        <w:spacing w:after="0"/>
        <w:ind w:firstLine="480"/>
        <w:rPr>
          <w:color w:val="auto"/>
        </w:rPr>
      </w:pPr>
      <w:r>
        <w:rPr>
          <w:color w:val="auto"/>
        </w:rPr>
        <w:t>（1）污水处理厂概况</w:t>
      </w:r>
    </w:p>
    <w:p w14:paraId="57B652C6">
      <w:pPr>
        <w:pStyle w:val="10"/>
        <w:spacing w:after="0"/>
        <w:ind w:firstLine="480"/>
        <w:rPr>
          <w:color w:val="auto"/>
        </w:rPr>
      </w:pPr>
      <w:r>
        <w:rPr>
          <w:color w:val="auto"/>
        </w:rPr>
        <w:t>彩云湖污水处理厂位于九龙坡区彩云湖西南侧，该污水处理厂于2008年建成投产，原业主单位为渝隆集团，2015年九龙坡区与市环投公司签订特许经营协议，将彩云湖污水处理厂移交市环投公司管理运营。该污水处理厂设计处理规模为1.7万m</w:t>
      </w:r>
      <w:r>
        <w:rPr>
          <w:color w:val="auto"/>
          <w:vertAlign w:val="superscript"/>
        </w:rPr>
        <w:t>3</w:t>
      </w:r>
      <w:r>
        <w:rPr>
          <w:color w:val="auto"/>
        </w:rPr>
        <w:t>/d，</w:t>
      </w:r>
      <w:r>
        <w:rPr>
          <w:rFonts w:hint="eastAsia"/>
          <w:color w:val="auto"/>
        </w:rPr>
        <w:t>现状实际日平均处理规模为1</w:t>
      </w:r>
      <w:r>
        <w:rPr>
          <w:color w:val="auto"/>
        </w:rPr>
        <w:t>.85万m</w:t>
      </w:r>
      <w:r>
        <w:rPr>
          <w:color w:val="auto"/>
          <w:vertAlign w:val="superscript"/>
        </w:rPr>
        <w:t>3</w:t>
      </w:r>
      <w:r>
        <w:rPr>
          <w:color w:val="auto"/>
        </w:rPr>
        <w:t>/d</w:t>
      </w:r>
      <w:r>
        <w:rPr>
          <w:rFonts w:hint="eastAsia"/>
          <w:color w:val="auto"/>
        </w:rPr>
        <w:t>。</w:t>
      </w:r>
      <w:r>
        <w:rPr>
          <w:color w:val="auto"/>
        </w:rPr>
        <w:t>根据《桃花溪、彩云湖清水绿岸治理提升方案》，九龙坡区规划在2021~2022年期间对彩云湖污水处理厂进行扩容改造，设计处理规模将由1.7万m</w:t>
      </w:r>
      <w:r>
        <w:rPr>
          <w:color w:val="auto"/>
          <w:vertAlign w:val="superscript"/>
        </w:rPr>
        <w:t>3</w:t>
      </w:r>
      <w:r>
        <w:rPr>
          <w:color w:val="auto"/>
        </w:rPr>
        <w:t>/d提升至3.0万m</w:t>
      </w:r>
      <w:r>
        <w:rPr>
          <w:color w:val="auto"/>
          <w:vertAlign w:val="superscript"/>
        </w:rPr>
        <w:t>3</w:t>
      </w:r>
      <w:r>
        <w:rPr>
          <w:color w:val="auto"/>
        </w:rPr>
        <w:t>/d。</w:t>
      </w:r>
    </w:p>
    <w:p w14:paraId="7BBE1180">
      <w:pPr>
        <w:pStyle w:val="10"/>
        <w:spacing w:after="0"/>
        <w:ind w:firstLine="480"/>
        <w:rPr>
          <w:color w:val="auto"/>
        </w:rPr>
      </w:pPr>
      <w:r>
        <w:rPr>
          <w:color w:val="auto"/>
        </w:rPr>
        <w:t>彩云湖污水处理厂的服务范围主要为巴国城、二郎片区城镇生活污水。彩云湖污水处理厂服务范围中的巴国城红狮水库片区部分区域属于九龙园区A区范围，该部分城镇生活污水纳入彩云湖污水处理厂集中处理后排放入彩云湖，作为彩云湖和桃花溪的生态补水水源。</w:t>
      </w:r>
    </w:p>
    <w:p w14:paraId="06C34061">
      <w:pPr>
        <w:pStyle w:val="10"/>
        <w:spacing w:after="0"/>
        <w:ind w:firstLine="480"/>
        <w:rPr>
          <w:color w:val="auto"/>
        </w:rPr>
      </w:pPr>
      <w:r>
        <w:rPr>
          <w:color w:val="auto"/>
        </w:rPr>
        <w:t>（2）污水处理工艺及排放标准</w:t>
      </w:r>
    </w:p>
    <w:p w14:paraId="07D74F20">
      <w:pPr>
        <w:pStyle w:val="10"/>
        <w:spacing w:after="0"/>
        <w:ind w:firstLine="480"/>
        <w:rPr>
          <w:color w:val="auto"/>
        </w:rPr>
      </w:pPr>
      <w:r>
        <w:rPr>
          <w:color w:val="auto"/>
        </w:rPr>
        <w:t>彩云湖污水处理厂主要以人工快渗为主要处理工艺，原设计排污标准达到《城镇污水处理厂污染物排放标准》（GB18918-2002）一级B标准后排放，该污水处理厂于2014年进行提标改造后，现状出水水质可达到《城镇污水处理厂污染物排放标准》（GB18918-2002）一级A标准。</w:t>
      </w:r>
    </w:p>
    <w:p w14:paraId="5FFC4603">
      <w:pPr>
        <w:pStyle w:val="10"/>
        <w:spacing w:after="0"/>
        <w:ind w:firstLine="480"/>
        <w:rPr>
          <w:color w:val="auto"/>
        </w:rPr>
      </w:pPr>
      <w:r>
        <w:rPr>
          <w:color w:val="auto"/>
        </w:rPr>
        <w:t>经过处理后的中水进入流经人工湿地再次净化后，进入彩云湖。根据重庆市政府《关于印发重庆市主城区</w:t>
      </w:r>
      <w:r>
        <w:rPr>
          <w:rFonts w:hint="eastAsia"/>
          <w:color w:val="auto"/>
        </w:rPr>
        <w:t>“</w:t>
      </w:r>
      <w:r>
        <w:rPr>
          <w:color w:val="auto"/>
        </w:rPr>
        <w:t>清水绿岸</w:t>
      </w:r>
      <w:r>
        <w:rPr>
          <w:rFonts w:hint="eastAsia"/>
          <w:color w:val="auto"/>
        </w:rPr>
        <w:t>”</w:t>
      </w:r>
      <w:r>
        <w:rPr>
          <w:color w:val="auto"/>
        </w:rPr>
        <w:t>治理提升实施方案的通知》（渝府办〔2018〕27号），要求桃花溪水质于2021年力争达到地表水四类标准（其中总氮为1.5mg/L）。桃花溪水源主要来自彩云湖污水处理厂，目前水质经彩云湖净化和稀释后，主要水质指标在非雨季能达到五类，其中总氮约6-8 mg/L，距离四类标准还有较大差距。目前，九龙坡区已将彩云湖污水处理厂提标扩容纳入规划中，提标改造后，该污水处理厂将增加脱氮工艺和深度处理设施，出水指标将由《城镇污水处理厂污染物排放标准》（GB18918-2002）一级A标准提升至《地表水环境质量标准》（GB3838-83）IV类标准。</w:t>
      </w:r>
    </w:p>
    <w:p w14:paraId="7BE71840">
      <w:pPr>
        <w:pStyle w:val="5"/>
        <w:numPr>
          <w:ilvl w:val="0"/>
          <w:numId w:val="0"/>
        </w:numPr>
        <w:spacing w:before="166" w:after="166"/>
        <w:rPr>
          <w:color w:val="auto"/>
        </w:rPr>
      </w:pPr>
      <w:r>
        <w:rPr>
          <w:color w:val="auto"/>
        </w:rPr>
        <w:t>7.2.2鸡冠石污水处理厂退水处理方案</w:t>
      </w:r>
    </w:p>
    <w:p w14:paraId="232BA5EA">
      <w:pPr>
        <w:pStyle w:val="10"/>
        <w:spacing w:after="0"/>
        <w:ind w:firstLine="480"/>
        <w:rPr>
          <w:color w:val="auto"/>
        </w:rPr>
      </w:pPr>
      <w:r>
        <w:rPr>
          <w:color w:val="auto"/>
        </w:rPr>
        <w:t>（1）污水处理厂概况</w:t>
      </w:r>
    </w:p>
    <w:p w14:paraId="59573E3E">
      <w:pPr>
        <w:pStyle w:val="10"/>
        <w:spacing w:after="0"/>
        <w:ind w:firstLine="480"/>
        <w:rPr>
          <w:color w:val="auto"/>
        </w:rPr>
      </w:pPr>
      <w:r>
        <w:rPr>
          <w:color w:val="auto"/>
        </w:rPr>
        <w:t>鸡冠石污水处理厂位于重庆主城南岸区鸡冠石镇下窑村，服务范围为杨公桥、土湾、化龙桥、牛角沱、大溪沟、洪岩洞、桃花溪、龙凤溪、储奇门、哑巴洞、海棠溪和鸡冠石共计11个排水系统（即重庆市主城B、C、D主截流干管收集的城市污水）。服务面积125km</w:t>
      </w:r>
      <w:r>
        <w:rPr>
          <w:color w:val="auto"/>
          <w:vertAlign w:val="superscript"/>
        </w:rPr>
        <w:t>2</w:t>
      </w:r>
      <w:r>
        <w:rPr>
          <w:color w:val="auto"/>
        </w:rPr>
        <w:t>，服务人口300万人。</w:t>
      </w:r>
    </w:p>
    <w:p w14:paraId="3B4EE559">
      <w:pPr>
        <w:pStyle w:val="10"/>
        <w:spacing w:after="0"/>
        <w:ind w:firstLine="480"/>
        <w:rPr>
          <w:color w:val="auto"/>
        </w:rPr>
      </w:pPr>
      <w:r>
        <w:rPr>
          <w:color w:val="auto"/>
        </w:rPr>
        <w:t>鸡冠石污水处理厂主体工程分为三期建设，于2011年全部建成投运。其中一期、二期工程属于重庆市主城排水项目一期工程，是重庆市政府利用世界银行贷款进行的重庆城市环境工程项目之一，于2006年建成投运，占地面积46.7hm</w:t>
      </w:r>
      <w:r>
        <w:rPr>
          <w:color w:val="auto"/>
          <w:vertAlign w:val="superscript"/>
        </w:rPr>
        <w:t>2</w:t>
      </w:r>
      <w:r>
        <w:rPr>
          <w:color w:val="auto"/>
        </w:rPr>
        <w:t>，处理规模为雨季135万m</w:t>
      </w:r>
      <w:r>
        <w:rPr>
          <w:color w:val="auto"/>
          <w:vertAlign w:val="superscript"/>
        </w:rPr>
        <w:t>3</w:t>
      </w:r>
      <w:r>
        <w:rPr>
          <w:color w:val="auto"/>
        </w:rPr>
        <w:t>/d，旱季60万m</w:t>
      </w:r>
      <w:r>
        <w:rPr>
          <w:color w:val="auto"/>
          <w:vertAlign w:val="superscript"/>
        </w:rPr>
        <w:t>3</w:t>
      </w:r>
      <w:r>
        <w:rPr>
          <w:color w:val="auto"/>
        </w:rPr>
        <w:t>/d。鸡冠石污水处理厂三期工程新增雨季处理能力30万m</w:t>
      </w:r>
      <w:r>
        <w:rPr>
          <w:color w:val="auto"/>
          <w:vertAlign w:val="superscript"/>
        </w:rPr>
        <w:t>3</w:t>
      </w:r>
      <w:r>
        <w:rPr>
          <w:color w:val="auto"/>
        </w:rPr>
        <w:t>/d，旱季20万m</w:t>
      </w:r>
      <w:r>
        <w:rPr>
          <w:color w:val="auto"/>
          <w:vertAlign w:val="superscript"/>
        </w:rPr>
        <w:t>3</w:t>
      </w:r>
      <w:r>
        <w:rPr>
          <w:color w:val="auto"/>
        </w:rPr>
        <w:t>/d，总体达到雨季处理能力165万m</w:t>
      </w:r>
      <w:r>
        <w:rPr>
          <w:color w:val="auto"/>
          <w:vertAlign w:val="superscript"/>
        </w:rPr>
        <w:t>3</w:t>
      </w:r>
      <w:r>
        <w:rPr>
          <w:color w:val="auto"/>
        </w:rPr>
        <w:t>/d，旱季80万m</w:t>
      </w:r>
      <w:r>
        <w:rPr>
          <w:color w:val="auto"/>
          <w:vertAlign w:val="superscript"/>
        </w:rPr>
        <w:t>3</w:t>
      </w:r>
      <w:r>
        <w:rPr>
          <w:color w:val="auto"/>
        </w:rPr>
        <w:t>/d，于2011年建成投运。</w:t>
      </w:r>
    </w:p>
    <w:p w14:paraId="6F9353DF">
      <w:pPr>
        <w:pStyle w:val="10"/>
        <w:spacing w:after="0"/>
        <w:ind w:firstLine="480"/>
        <w:rPr>
          <w:color w:val="auto"/>
        </w:rPr>
      </w:pPr>
      <w:r>
        <w:rPr>
          <w:color w:val="auto"/>
        </w:rPr>
        <w:t>九龙园区A区除巴国红狮水库片区城镇生活污水外，均进入主城排水工程截流管C线后，进入鸡冠石污水处理厂集中处理。</w:t>
      </w:r>
    </w:p>
    <w:p w14:paraId="767A0274">
      <w:pPr>
        <w:ind w:firstLine="480"/>
        <w:rPr>
          <w:color w:val="auto"/>
        </w:rPr>
      </w:pPr>
      <w:r>
        <w:rPr>
          <w:color w:val="auto"/>
        </w:rPr>
        <w:t>（2）污水处理工艺及排放标准</w:t>
      </w:r>
    </w:p>
    <w:p w14:paraId="07093433">
      <w:pPr>
        <w:pStyle w:val="10"/>
        <w:spacing w:after="0"/>
        <w:ind w:firstLine="480"/>
        <w:rPr>
          <w:color w:val="auto"/>
        </w:rPr>
      </w:pPr>
      <w:r>
        <w:rPr>
          <w:color w:val="auto"/>
        </w:rPr>
        <w:t>鸡冠石污水处理厂一、二期工程污水经3.5×3.5m进水箱涵流入进水井，经泵提升至细格栅和沉砂池，经初次沉淀池沉淀后，约75万m</w:t>
      </w:r>
      <w:r>
        <w:rPr>
          <w:color w:val="auto"/>
          <w:vertAlign w:val="superscript"/>
        </w:rPr>
        <w:t>3</w:t>
      </w:r>
      <w:r>
        <w:rPr>
          <w:color w:val="auto"/>
        </w:rPr>
        <w:t>/d的雨季合流污水经排放管排入长江；60万m</w:t>
      </w:r>
      <w:r>
        <w:rPr>
          <w:color w:val="auto"/>
          <w:vertAlign w:val="superscript"/>
        </w:rPr>
        <w:t>3</w:t>
      </w:r>
      <w:r>
        <w:rPr>
          <w:color w:val="auto"/>
        </w:rPr>
        <w:t>/d污水量，经二级处理（包括A/A/O 除磷脱氮反应池、二次沉淀池、接触消毒池）达到《污水综合排放标准》（GB8978-1996）一级标准，经过尾水排江管道江心排入长江。鸡冠石污水处理厂三期工程采用A</w:t>
      </w:r>
      <w:r>
        <w:rPr>
          <w:color w:val="auto"/>
          <w:vertAlign w:val="superscript"/>
        </w:rPr>
        <w:t>2</w:t>
      </w:r>
      <w:r>
        <w:rPr>
          <w:color w:val="auto"/>
        </w:rPr>
        <w:t>/O处理工艺，污泥采用浓缩、厌氧中温消化、机械脱水处置技术；污泥消化产气用于消化池加热及带动沼气鼓风机。2011年建成投运后，合并一期、二期污水一起达到《城镇污水处理厂污染物排放标准》（GB18918-2002）一级B标准后排入长江。</w:t>
      </w:r>
    </w:p>
    <w:p w14:paraId="51CF8058">
      <w:pPr>
        <w:pStyle w:val="19"/>
        <w:spacing w:after="0" w:line="520" w:lineRule="exact"/>
        <w:ind w:firstLine="480"/>
        <w:rPr>
          <w:color w:val="auto"/>
          <w:sz w:val="24"/>
        </w:rPr>
      </w:pPr>
      <w:r>
        <w:rPr>
          <w:color w:val="auto"/>
          <w:sz w:val="24"/>
        </w:rPr>
        <w:t>2018年，重庆市排水公司对鸡冠石污水处理厂进行了提标改造，进行污水处理工艺调整，依托现有污水管网、污水处理主体工程、污泥处置工程以及公辅工程，采取减负增容法，新增1座处理规模为15万m</w:t>
      </w:r>
      <w:r>
        <w:rPr>
          <w:color w:val="auto"/>
          <w:sz w:val="24"/>
          <w:vertAlign w:val="superscript"/>
        </w:rPr>
        <w:t>3</w:t>
      </w:r>
      <w:r>
        <w:rPr>
          <w:color w:val="auto"/>
          <w:sz w:val="24"/>
        </w:rPr>
        <w:t>/dA</w:t>
      </w:r>
      <w:r>
        <w:rPr>
          <w:color w:val="auto"/>
          <w:sz w:val="24"/>
          <w:vertAlign w:val="superscript"/>
        </w:rPr>
        <w:t>2</w:t>
      </w:r>
      <w:r>
        <w:rPr>
          <w:color w:val="auto"/>
          <w:sz w:val="24"/>
        </w:rPr>
        <w:t>/O生化反应池，将二期工程现有的3座规模为 20万m</w:t>
      </w:r>
      <w:r>
        <w:rPr>
          <w:color w:val="auto"/>
          <w:sz w:val="24"/>
          <w:vertAlign w:val="superscript"/>
        </w:rPr>
        <w:t>3</w:t>
      </w:r>
      <w:r>
        <w:rPr>
          <w:color w:val="auto"/>
          <w:sz w:val="24"/>
        </w:rPr>
        <w:t>/d的生化反应池规模调整为15万m</w:t>
      </w:r>
      <w:r>
        <w:rPr>
          <w:color w:val="auto"/>
          <w:sz w:val="24"/>
          <w:vertAlign w:val="superscript"/>
        </w:rPr>
        <w:t>3</w:t>
      </w:r>
      <w:r>
        <w:rPr>
          <w:color w:val="auto"/>
          <w:sz w:val="24"/>
        </w:rPr>
        <w:t>/d，通过延长废水停留时间提高处理率，在二沉池和消毒工序之间新增处理规模为80万m</w:t>
      </w:r>
      <w:r>
        <w:rPr>
          <w:color w:val="auto"/>
          <w:sz w:val="24"/>
          <w:vertAlign w:val="superscript"/>
        </w:rPr>
        <w:t>3</w:t>
      </w:r>
      <w:r>
        <w:rPr>
          <w:color w:val="auto"/>
          <w:sz w:val="24"/>
        </w:rPr>
        <w:t>/d的高效沉淀池和气水反冲洗滤池，使出水达到《城镇污水处理厂污染物排放标准》（GB18918-2002）一级标准A标准后于长江右岸寸滩长江大桥下游约3.5km处排入长江。</w:t>
      </w:r>
    </w:p>
    <w:p w14:paraId="731D3B9D">
      <w:pPr>
        <w:pStyle w:val="5"/>
        <w:numPr>
          <w:ilvl w:val="0"/>
          <w:numId w:val="0"/>
        </w:numPr>
        <w:spacing w:before="166" w:after="166"/>
        <w:rPr>
          <w:color w:val="auto"/>
        </w:rPr>
      </w:pPr>
      <w:r>
        <w:rPr>
          <w:color w:val="auto"/>
        </w:rPr>
        <w:t>7.2.3大九污水处理厂退水处理方案</w:t>
      </w:r>
    </w:p>
    <w:p w14:paraId="3DE1F80E">
      <w:pPr>
        <w:ind w:firstLine="480"/>
        <w:rPr>
          <w:color w:val="auto"/>
        </w:rPr>
      </w:pPr>
      <w:r>
        <w:rPr>
          <w:color w:val="auto"/>
        </w:rPr>
        <w:t>（1）污水处理厂概况</w:t>
      </w:r>
    </w:p>
    <w:p w14:paraId="6D63E393">
      <w:pPr>
        <w:pStyle w:val="19"/>
        <w:spacing w:after="0" w:line="520" w:lineRule="exact"/>
        <w:ind w:firstLine="480"/>
        <w:rPr>
          <w:color w:val="auto"/>
          <w:sz w:val="24"/>
        </w:rPr>
      </w:pPr>
      <w:r>
        <w:rPr>
          <w:color w:val="auto"/>
          <w:sz w:val="24"/>
        </w:rPr>
        <w:t>大九污水处理厂位于重庆市大渡口区跳蹬镇沟口村，厂区占地面积30亩，于2008年1月建成投运。该厂一期工程设计处理规模为3.5万m</w:t>
      </w:r>
      <w:r>
        <w:rPr>
          <w:color w:val="auto"/>
          <w:sz w:val="24"/>
          <w:vertAlign w:val="superscript"/>
        </w:rPr>
        <w:t>3</w:t>
      </w:r>
      <w:r>
        <w:rPr>
          <w:color w:val="auto"/>
          <w:sz w:val="24"/>
        </w:rPr>
        <w:t>/d，该厂二期工程（提标改造）于2018年4月28日建成投运，现状处理总规模达到7万m</w:t>
      </w:r>
      <w:r>
        <w:rPr>
          <w:color w:val="auto"/>
          <w:sz w:val="24"/>
          <w:vertAlign w:val="superscript"/>
        </w:rPr>
        <w:t>3</w:t>
      </w:r>
      <w:r>
        <w:rPr>
          <w:color w:val="auto"/>
          <w:sz w:val="24"/>
        </w:rPr>
        <w:t>/d。该污水处理厂服务范围为重庆市中梁山组团和部分大渡口组团，即中梁山编组站以东，庹家坳以西，北至双山，南抵金鳌寺。随着服务区内市政二、三级管网不断完善和扩展，目前大九污水处理厂服务面积已递增至45km</w:t>
      </w:r>
      <w:r>
        <w:rPr>
          <w:color w:val="auto"/>
          <w:sz w:val="24"/>
          <w:vertAlign w:val="superscript"/>
        </w:rPr>
        <w:t>2</w:t>
      </w:r>
      <w:r>
        <w:rPr>
          <w:color w:val="auto"/>
          <w:sz w:val="24"/>
        </w:rPr>
        <w:t>，服务人口已达约31万人，其中九龙坡区由华岩镇、玉清寺街道及华福路沿线组成约36km</w:t>
      </w:r>
      <w:r>
        <w:rPr>
          <w:color w:val="auto"/>
          <w:sz w:val="24"/>
          <w:vertAlign w:val="superscript"/>
        </w:rPr>
        <w:t>2</w:t>
      </w:r>
      <w:r>
        <w:rPr>
          <w:color w:val="auto"/>
          <w:sz w:val="24"/>
        </w:rPr>
        <w:t>占80%，大渡口区由跳蹬镇组成约9km</w:t>
      </w:r>
      <w:r>
        <w:rPr>
          <w:color w:val="auto"/>
          <w:sz w:val="24"/>
          <w:vertAlign w:val="superscript"/>
        </w:rPr>
        <w:t>2</w:t>
      </w:r>
      <w:r>
        <w:rPr>
          <w:color w:val="auto"/>
          <w:sz w:val="24"/>
        </w:rPr>
        <w:t>占20%。自2020年10月起，大渡口区跳蹬镇的新增小区将陆续交房预计新增服务人口9万人（分别为金科集美阳光1.1万人、金地自在城3万人、荣安林语春风0.5万人、幸福华庭公租房4万人、联发西城首府0.6万人）。</w:t>
      </w:r>
    </w:p>
    <w:p w14:paraId="7F95CDF5">
      <w:pPr>
        <w:pStyle w:val="19"/>
        <w:spacing w:after="0" w:line="520" w:lineRule="exact"/>
        <w:ind w:firstLine="480"/>
        <w:rPr>
          <w:color w:val="auto"/>
          <w:sz w:val="24"/>
        </w:rPr>
      </w:pPr>
      <w:r>
        <w:rPr>
          <w:color w:val="auto"/>
          <w:sz w:val="24"/>
        </w:rPr>
        <w:t>根据区域规划及园区与重庆市水务集团的协议，九龙园区B区废水属于重庆市大九污水处理厂的服务范围。目前，九龙园区B区除B3区部分区域外，园区产生的各类污水均接入该污水处理厂进行集中处理。</w:t>
      </w:r>
    </w:p>
    <w:p w14:paraId="2C7BD803">
      <w:pPr>
        <w:ind w:firstLine="480"/>
        <w:rPr>
          <w:color w:val="auto"/>
        </w:rPr>
      </w:pPr>
      <w:r>
        <w:rPr>
          <w:color w:val="auto"/>
        </w:rPr>
        <w:t>（2）污水处理工艺及排放标准</w:t>
      </w:r>
    </w:p>
    <w:p w14:paraId="54185E20">
      <w:pPr>
        <w:pStyle w:val="19"/>
        <w:spacing w:after="0" w:line="520" w:lineRule="exact"/>
        <w:ind w:firstLine="480"/>
        <w:rPr>
          <w:color w:val="auto"/>
          <w:sz w:val="24"/>
        </w:rPr>
      </w:pPr>
      <w:r>
        <w:rPr>
          <w:color w:val="auto"/>
          <w:sz w:val="24"/>
        </w:rPr>
        <w:t>大九污水处理厂采用较为先进的CAST+过滤设备处理工艺，一期工程出水水质达到《城镇污水处理厂污染物排放标准》（GB18918-2002）一级B标准。该厂于2018年提标改造后，现状出水水质可达到《城镇污水处理厂污染物排放标准》（GB18918-2002）一级A标准，处理后的中水直接排入跳蹬河，最后进入长江。</w:t>
      </w:r>
    </w:p>
    <w:p w14:paraId="2C332141">
      <w:pPr>
        <w:pStyle w:val="5"/>
        <w:numPr>
          <w:ilvl w:val="0"/>
          <w:numId w:val="0"/>
        </w:numPr>
        <w:spacing w:before="166" w:after="166"/>
        <w:rPr>
          <w:color w:val="auto"/>
        </w:rPr>
      </w:pPr>
      <w:r>
        <w:rPr>
          <w:color w:val="auto"/>
        </w:rPr>
        <w:t>7.2.4九龙园区B3区污水处理厂退水处理方案</w:t>
      </w:r>
    </w:p>
    <w:p w14:paraId="2BCA1380">
      <w:pPr>
        <w:pStyle w:val="10"/>
        <w:spacing w:after="0"/>
        <w:ind w:left="119" w:right="117" w:firstLine="432"/>
        <w:rPr>
          <w:color w:val="auto"/>
          <w:spacing w:val="-12"/>
        </w:rPr>
      </w:pPr>
      <w:r>
        <w:rPr>
          <w:color w:val="auto"/>
          <w:spacing w:val="-12"/>
        </w:rPr>
        <w:t>（1）污水处理厂概况</w:t>
      </w:r>
    </w:p>
    <w:p w14:paraId="56A81690">
      <w:pPr>
        <w:pStyle w:val="45"/>
        <w:spacing w:line="520" w:lineRule="exact"/>
        <w:ind w:firstLine="480"/>
        <w:rPr>
          <w:color w:val="auto"/>
        </w:rPr>
      </w:pPr>
      <w:r>
        <w:rPr>
          <w:color w:val="auto"/>
        </w:rPr>
        <w:t>九龙园区B3区污水处理设施工程选址位于九龙坡区华岩镇西站村I01-1-7/04地块，地块面积为3557.0m</w:t>
      </w:r>
      <w:r>
        <w:rPr>
          <w:color w:val="auto"/>
          <w:vertAlign w:val="superscript"/>
        </w:rPr>
        <w:t>2</w:t>
      </w:r>
      <w:r>
        <w:rPr>
          <w:color w:val="auto"/>
        </w:rPr>
        <w:t>。该污水处理厂设计规模为2500m³/d。工程服务范围</w:t>
      </w:r>
      <w:r>
        <w:rPr>
          <w:color w:val="auto"/>
          <w:szCs w:val="24"/>
        </w:rPr>
        <w:t>包括九龙园区B3区规划区域和规划区外东北侧规划的居住区</w:t>
      </w:r>
      <w:r>
        <w:rPr>
          <w:color w:val="auto"/>
        </w:rPr>
        <w:t>。其中B3区规划区域面积1.46km</w:t>
      </w:r>
      <w:r>
        <w:rPr>
          <w:color w:val="auto"/>
          <w:vertAlign w:val="superscript"/>
        </w:rPr>
        <w:t>2</w:t>
      </w:r>
      <w:r>
        <w:rPr>
          <w:color w:val="auto"/>
        </w:rPr>
        <w:t>，规划区外东北侧规划的居住区面积为0.23km</w:t>
      </w:r>
      <w:r>
        <w:rPr>
          <w:color w:val="auto"/>
          <w:vertAlign w:val="superscript"/>
        </w:rPr>
        <w:t>2</w:t>
      </w:r>
      <w:r>
        <w:rPr>
          <w:color w:val="auto"/>
        </w:rPr>
        <w:t>，服务范围内面积共计1.69km</w:t>
      </w:r>
      <w:r>
        <w:rPr>
          <w:color w:val="auto"/>
          <w:vertAlign w:val="superscript"/>
        </w:rPr>
        <w:t>2</w:t>
      </w:r>
      <w:r>
        <w:rPr>
          <w:color w:val="auto"/>
        </w:rPr>
        <w:t>。</w:t>
      </w:r>
    </w:p>
    <w:p w14:paraId="1839DD58">
      <w:pPr>
        <w:ind w:firstLine="480"/>
        <w:rPr>
          <w:color w:val="auto"/>
        </w:rPr>
      </w:pPr>
      <w:r>
        <w:rPr>
          <w:color w:val="auto"/>
        </w:rPr>
        <w:t>（2）污水处理工艺及排放标准</w:t>
      </w:r>
    </w:p>
    <w:p w14:paraId="122AE825">
      <w:pPr>
        <w:pStyle w:val="45"/>
        <w:spacing w:line="520" w:lineRule="exact"/>
        <w:ind w:firstLine="480"/>
        <w:rPr>
          <w:color w:val="auto"/>
        </w:rPr>
      </w:pPr>
      <w:r>
        <w:rPr>
          <w:color w:val="auto"/>
        </w:rPr>
        <w:t>九龙工业园区B3区污水处理厂采用</w:t>
      </w:r>
      <w:r>
        <w:rPr>
          <w:rFonts w:hint="eastAsia"/>
          <w:color w:val="auto"/>
        </w:rPr>
        <w:t>“</w:t>
      </w:r>
      <w:r>
        <w:rPr>
          <w:color w:val="auto"/>
        </w:rPr>
        <w:t>预处理+水解酸化+改良型 AAO生物池+高效沉淀池+反硝化滤池+紫外消毒</w:t>
      </w:r>
      <w:r>
        <w:rPr>
          <w:rFonts w:hint="eastAsia"/>
          <w:color w:val="auto"/>
        </w:rPr>
        <w:t>”</w:t>
      </w:r>
      <w:r>
        <w:rPr>
          <w:color w:val="auto"/>
        </w:rPr>
        <w:t>工艺，排放标准执行</w:t>
      </w:r>
      <w:r>
        <w:rPr>
          <w:color w:val="auto"/>
          <w:szCs w:val="24"/>
        </w:rPr>
        <w:t>《地表水环境质量标准》（GB3838-2002）IV类标准</w:t>
      </w:r>
      <w:r>
        <w:rPr>
          <w:color w:val="auto"/>
        </w:rPr>
        <w:t>。污水集中处理达标后排入响水沟箱涵（改道箱涵与银谷路西侧交界处），于350m后汇入石林支流，2.57km后进入跳磴河，最终汇入长江。</w:t>
      </w:r>
    </w:p>
    <w:p w14:paraId="2CF74201">
      <w:pPr>
        <w:pStyle w:val="5"/>
        <w:numPr>
          <w:ilvl w:val="0"/>
          <w:numId w:val="0"/>
        </w:numPr>
        <w:spacing w:before="166" w:after="166"/>
        <w:rPr>
          <w:color w:val="auto"/>
        </w:rPr>
      </w:pPr>
      <w:r>
        <w:rPr>
          <w:color w:val="auto"/>
        </w:rPr>
        <w:t>7.2.5陶家生活污水处理厂退水处理方案</w:t>
      </w:r>
    </w:p>
    <w:p w14:paraId="0E217E2F">
      <w:pPr>
        <w:pStyle w:val="10"/>
        <w:spacing w:after="0"/>
        <w:ind w:left="119" w:right="117" w:firstLine="432"/>
        <w:rPr>
          <w:color w:val="auto"/>
          <w:spacing w:val="-12"/>
        </w:rPr>
      </w:pPr>
      <w:r>
        <w:rPr>
          <w:color w:val="auto"/>
          <w:spacing w:val="-12"/>
        </w:rPr>
        <w:t>（1）污水处理厂概况</w:t>
      </w:r>
    </w:p>
    <w:p w14:paraId="6F184B7B">
      <w:pPr>
        <w:ind w:firstLine="480"/>
        <w:rPr>
          <w:rFonts w:eastAsiaTheme="minorEastAsia"/>
          <w:color w:val="auto"/>
        </w:rPr>
      </w:pPr>
      <w:r>
        <w:rPr>
          <w:rFonts w:eastAsiaTheme="minorEastAsia"/>
          <w:color w:val="auto"/>
        </w:rPr>
        <w:t>陶家镇生活污水处理厂位于九龙坡区陶家镇七眼坡，处于九龙园区C区规划区南侧的L24-01-02地块，该污水处理厂建于2018年。其一期处理规模为0.5万m</w:t>
      </w:r>
      <w:r>
        <w:rPr>
          <w:rFonts w:eastAsiaTheme="minorEastAsia"/>
          <w:color w:val="auto"/>
          <w:vertAlign w:val="superscript"/>
        </w:rPr>
        <w:t>3</w:t>
      </w:r>
      <w:r>
        <w:rPr>
          <w:rFonts w:eastAsiaTheme="minorEastAsia"/>
          <w:color w:val="auto"/>
        </w:rPr>
        <w:t>/d，二期规模为2万m</w:t>
      </w:r>
      <w:r>
        <w:rPr>
          <w:rFonts w:eastAsiaTheme="minorEastAsia"/>
          <w:color w:val="auto"/>
          <w:vertAlign w:val="superscript"/>
        </w:rPr>
        <w:t>3</w:t>
      </w:r>
      <w:r>
        <w:rPr>
          <w:rFonts w:eastAsiaTheme="minorEastAsia"/>
          <w:color w:val="auto"/>
        </w:rPr>
        <w:t>/d，远期拟扩建至4万m</w:t>
      </w:r>
      <w:r>
        <w:rPr>
          <w:rFonts w:eastAsiaTheme="minorEastAsia"/>
          <w:color w:val="auto"/>
          <w:vertAlign w:val="superscript"/>
        </w:rPr>
        <w:t>3</w:t>
      </w:r>
      <w:r>
        <w:rPr>
          <w:rFonts w:eastAsiaTheme="minorEastAsia"/>
          <w:color w:val="auto"/>
        </w:rPr>
        <w:t>/d。该污水处理厂已建成一期和二期，目前只有二期工程投用，其实际处理规模为1.3万m</w:t>
      </w:r>
      <w:r>
        <w:rPr>
          <w:rFonts w:eastAsiaTheme="minorEastAsia"/>
          <w:color w:val="auto"/>
          <w:vertAlign w:val="superscript"/>
        </w:rPr>
        <w:t>3</w:t>
      </w:r>
      <w:r>
        <w:rPr>
          <w:rFonts w:eastAsiaTheme="minorEastAsia"/>
          <w:color w:val="auto"/>
        </w:rPr>
        <w:t>/d。该污水处理厂设计服务范围为西彭组团O标准分区、西彭组团J标准分区（不含工业区污水）、西彭组团S标准分区、九龙工业园区C区L分区（不含L分区工业区污水）以及西彭镇长石村和宝华村。</w:t>
      </w:r>
    </w:p>
    <w:p w14:paraId="1BFBFBD9">
      <w:pPr>
        <w:ind w:firstLine="480"/>
        <w:rPr>
          <w:color w:val="auto"/>
        </w:rPr>
      </w:pPr>
      <w:r>
        <w:rPr>
          <w:color w:val="auto"/>
        </w:rPr>
        <w:t>（2）污水处理工艺及排放标准</w:t>
      </w:r>
    </w:p>
    <w:p w14:paraId="1ACD1F12">
      <w:pPr>
        <w:ind w:firstLine="480"/>
        <w:rPr>
          <w:rFonts w:eastAsiaTheme="minorEastAsia"/>
          <w:color w:val="auto"/>
        </w:rPr>
      </w:pPr>
      <w:r>
        <w:rPr>
          <w:rFonts w:eastAsiaTheme="minorEastAsia"/>
          <w:color w:val="auto"/>
        </w:rPr>
        <w:t>陶家镇生活污水处理厂一期工程设计处理工艺为卡鲁塞尔氧化沟工艺； 二期工程设计采用A</w:t>
      </w:r>
      <w:r>
        <w:rPr>
          <w:rFonts w:eastAsiaTheme="minorEastAsia"/>
          <w:color w:val="auto"/>
        </w:rPr>
        <w:object>
          <v:shape id="_x0000_i1025" o:spt="75" type="#_x0000_t75" style="height:15.05pt;width:8.35pt;" o:ole="t" filled="f" o:preferrelative="t" stroked="f" coordsize="21600,21600">
            <v:path/>
            <v:fill on="f" focussize="0,0"/>
            <v:stroke on="f" joinstyle="miter"/>
            <v:imagedata r:id="rId36" o:title=""/>
            <o:lock v:ext="edit" aspectratio="t"/>
            <w10:wrap type="none"/>
            <w10:anchorlock/>
          </v:shape>
          <o:OLEObject Type="Embed" ProgID="Equations" ShapeID="_x0000_i1025" DrawAspect="Content" ObjectID="_1468075726" r:id="rId35">
            <o:LockedField>false</o:LockedField>
          </o:OLEObject>
        </w:object>
      </w:r>
      <w:r>
        <w:rPr>
          <w:rFonts w:eastAsiaTheme="minorEastAsia"/>
          <w:color w:val="auto"/>
        </w:rPr>
        <w:t>/O氧化沟工艺。其尾水处理达《城镇污水处理厂污染物排放标准》 （GB18918-2002）一级A标准后，排入大溪河</w:t>
      </w:r>
      <w:r>
        <w:rPr>
          <w:color w:val="auto"/>
        </w:rPr>
        <w:t>，最终汇入长江。</w:t>
      </w:r>
    </w:p>
    <w:p w14:paraId="09BB3879">
      <w:pPr>
        <w:pStyle w:val="5"/>
        <w:numPr>
          <w:ilvl w:val="0"/>
          <w:numId w:val="0"/>
        </w:numPr>
        <w:spacing w:before="166" w:after="166"/>
        <w:rPr>
          <w:color w:val="auto"/>
        </w:rPr>
      </w:pPr>
      <w:r>
        <w:rPr>
          <w:color w:val="auto"/>
        </w:rPr>
        <w:t>7.2.6九龙园区L分区污水处理厂退水处理方案</w:t>
      </w:r>
    </w:p>
    <w:p w14:paraId="6B4BAF40">
      <w:pPr>
        <w:ind w:firstLine="480"/>
        <w:rPr>
          <w:rFonts w:eastAsiaTheme="minorEastAsia"/>
          <w:color w:val="auto"/>
          <w:szCs w:val="24"/>
        </w:rPr>
      </w:pPr>
      <w:r>
        <w:rPr>
          <w:rFonts w:eastAsiaTheme="minorEastAsia"/>
          <w:color w:val="auto"/>
          <w:szCs w:val="24"/>
        </w:rPr>
        <w:t>（1）污水处理厂概况</w:t>
      </w:r>
    </w:p>
    <w:p w14:paraId="1D6EABEB">
      <w:pPr>
        <w:pStyle w:val="19"/>
        <w:spacing w:after="0" w:line="520" w:lineRule="exact"/>
        <w:ind w:firstLine="480"/>
        <w:rPr>
          <w:color w:val="auto"/>
          <w:sz w:val="24"/>
        </w:rPr>
      </w:pPr>
      <w:r>
        <w:rPr>
          <w:color w:val="auto"/>
          <w:sz w:val="24"/>
        </w:rPr>
        <w:t>由于目前九龙园区C区启动区工业用地204.82hm</w:t>
      </w:r>
      <w:r>
        <w:rPr>
          <w:color w:val="auto"/>
          <w:sz w:val="24"/>
          <w:vertAlign w:val="superscript"/>
        </w:rPr>
        <w:t>2</w:t>
      </w:r>
      <w:r>
        <w:rPr>
          <w:color w:val="auto"/>
          <w:sz w:val="24"/>
        </w:rPr>
        <w:t>面积已基本使用完全，九龙园区C区的发展逐步向南面进行调整。九龙园区C区南面的工业用地部分主要位于L标准分区内。L分区工业区内目前有陶家镇历史遗留工业企业约30家，其余为居住用地和未建设用地。规划区内节能环保产业园区区域产生的污水部分通过已建的临时污水一体化设备处理，规划区内友爱康居村安置房和除节能环保产业园内的企业的生活污水通过市政污水管网进入陶家生活污水处理厂集中处理，规划区内其他区域的工业废水经规划区内已建的龙塘凼污水处理站进行处理后，再排入陶家镇生活污水处理厂进一步处理。</w:t>
      </w:r>
    </w:p>
    <w:p w14:paraId="210D4C44">
      <w:pPr>
        <w:pStyle w:val="19"/>
        <w:spacing w:after="0" w:line="520" w:lineRule="exact"/>
        <w:ind w:firstLine="480"/>
        <w:rPr>
          <w:color w:val="auto"/>
          <w:sz w:val="24"/>
        </w:rPr>
      </w:pPr>
      <w:r>
        <w:rPr>
          <w:color w:val="auto"/>
          <w:sz w:val="24"/>
        </w:rPr>
        <w:t>考虑到九龙园区C区L标准分区未来的发展，重庆九龙园高新产业集团有限公司启动九龙园区L分区污水处理厂（陶家工业污水处理厂）的建设工作，该污水处理厂选址九龙坡区西彭组团L标准分区L24—01/01地块南侧，规划占地面积23.79亩，拟建厂址现状为未开发的荒地。厂址北邻陶家镇生活污水处理厂，南靠大溪河，东西两侧均为市政规划道路。该污水处理厂目前已完成前期设计工作，预计将于2021年开工建设</w:t>
      </w:r>
      <w:r>
        <w:rPr>
          <w:rFonts w:hint="eastAsia"/>
          <w:color w:val="auto"/>
          <w:sz w:val="24"/>
        </w:rPr>
        <w:t>，预计2</w:t>
      </w:r>
      <w:r>
        <w:rPr>
          <w:color w:val="auto"/>
          <w:sz w:val="24"/>
        </w:rPr>
        <w:t>023</w:t>
      </w:r>
      <w:r>
        <w:rPr>
          <w:rFonts w:hint="eastAsia"/>
          <w:color w:val="auto"/>
          <w:sz w:val="24"/>
        </w:rPr>
        <w:t>年投入使用</w:t>
      </w:r>
      <w:r>
        <w:rPr>
          <w:color w:val="auto"/>
          <w:sz w:val="24"/>
        </w:rPr>
        <w:t>。根据《九龙园区L分区污水处理厂初步设计》，拟建的九龙园区L分区污水处理厂项目总投资12564.91万元，设计污水处理规模为1万m</w:t>
      </w:r>
      <w:r>
        <w:rPr>
          <w:color w:val="auto"/>
          <w:sz w:val="24"/>
          <w:vertAlign w:val="superscript"/>
        </w:rPr>
        <w:t>3</w:t>
      </w:r>
      <w:r>
        <w:rPr>
          <w:color w:val="auto"/>
          <w:sz w:val="24"/>
        </w:rPr>
        <w:t>/d，其服务范围为九龙工业园C区南部L分区工业区和西彭工业园区的J、L标准分区三部分区域，其中九龙工业园C区L分区总规划面积约2.8km</w:t>
      </w:r>
      <w:r>
        <w:rPr>
          <w:color w:val="auto"/>
          <w:sz w:val="24"/>
          <w:vertAlign w:val="superscript"/>
        </w:rPr>
        <w:t>2</w:t>
      </w:r>
      <w:r>
        <w:rPr>
          <w:color w:val="auto"/>
          <w:sz w:val="24"/>
        </w:rPr>
        <w:t>，其中工业用地面积约2.16km</w:t>
      </w:r>
      <w:r>
        <w:rPr>
          <w:color w:val="auto"/>
          <w:sz w:val="24"/>
          <w:vertAlign w:val="superscript"/>
        </w:rPr>
        <w:t>2</w:t>
      </w:r>
      <w:r>
        <w:rPr>
          <w:color w:val="auto"/>
          <w:sz w:val="24"/>
        </w:rPr>
        <w:t>。</w:t>
      </w:r>
    </w:p>
    <w:p w14:paraId="4438D560">
      <w:pPr>
        <w:ind w:firstLine="480"/>
        <w:rPr>
          <w:color w:val="auto"/>
          <w:szCs w:val="24"/>
        </w:rPr>
      </w:pPr>
      <w:r>
        <w:rPr>
          <w:color w:val="auto"/>
          <w:szCs w:val="24"/>
        </w:rPr>
        <w:t>（2）污水处理工艺及排放标准</w:t>
      </w:r>
    </w:p>
    <w:p w14:paraId="4B2C124F">
      <w:pPr>
        <w:pStyle w:val="2"/>
        <w:ind w:firstLine="480"/>
        <w:rPr>
          <w:color w:val="auto"/>
        </w:rPr>
      </w:pPr>
      <w:r>
        <w:rPr>
          <w:color w:val="auto"/>
        </w:rPr>
        <w:t>现状节能环保产业园区已建的临时污水一体化设备采用</w:t>
      </w:r>
      <w:r>
        <w:rPr>
          <w:rFonts w:eastAsiaTheme="minorEastAsia"/>
          <w:color w:val="auto"/>
        </w:rPr>
        <w:t>A</w:t>
      </w:r>
      <w:r>
        <w:rPr>
          <w:rFonts w:eastAsiaTheme="minorEastAsia"/>
          <w:color w:val="auto"/>
        </w:rPr>
        <w:object>
          <v:shape id="_x0000_i1026" o:spt="75" type="#_x0000_t75" style="height:15.05pt;width:8.35pt;" o:ole="t" filled="f" o:preferrelative="t" stroked="f" coordsize="21600,21600">
            <v:path/>
            <v:fill on="f" focussize="0,0"/>
            <v:stroke on="f" joinstyle="miter"/>
            <v:imagedata r:id="rId36" o:title=""/>
            <o:lock v:ext="edit" aspectratio="t"/>
            <w10:wrap type="none"/>
            <w10:anchorlock/>
          </v:shape>
          <o:OLEObject Type="Embed" ProgID="Equations" ShapeID="_x0000_i1026" DrawAspect="Content" ObjectID="_1468075727" r:id="rId37">
            <o:LockedField>false</o:LockedField>
          </o:OLEObject>
        </w:object>
      </w:r>
      <w:r>
        <w:rPr>
          <w:rFonts w:eastAsiaTheme="minorEastAsia"/>
          <w:color w:val="auto"/>
        </w:rPr>
        <w:t>/O工艺，其出水水质达到《城镇污水处理厂污染物排放标准》 （GB18918-2002）一级A标准后，排入</w:t>
      </w:r>
      <w:r>
        <w:rPr>
          <w:color w:val="auto"/>
        </w:rPr>
        <w:t>大溪河支流杨柳曲河，然后再汇进大溪河，最终汇入长江。</w:t>
      </w:r>
    </w:p>
    <w:p w14:paraId="6693D567">
      <w:pPr>
        <w:ind w:firstLine="480"/>
        <w:rPr>
          <w:rFonts w:eastAsiaTheme="minorEastAsia"/>
          <w:color w:val="auto"/>
          <w:szCs w:val="24"/>
        </w:rPr>
      </w:pPr>
      <w:r>
        <w:rPr>
          <w:rFonts w:eastAsiaTheme="minorEastAsia"/>
          <w:color w:val="auto"/>
          <w:szCs w:val="24"/>
        </w:rPr>
        <w:t>龙塘凼污水处理站采用絮凝沉淀处理工艺，出水水质达《 污水综合排放标准》（GB8978-1996）三级标准后通过管网接入陶家镇生活污水处理厂进一步处理，</w:t>
      </w:r>
      <w:r>
        <w:rPr>
          <w:color w:val="auto"/>
          <w:szCs w:val="24"/>
        </w:rPr>
        <w:t>进入陶家镇生活污水处理厂处理达《城镇污水处理厂污染物排放标准》（GB18918-2002）一级A标准后排入大溪河，最终汇入长江</w:t>
      </w:r>
      <w:r>
        <w:rPr>
          <w:rFonts w:eastAsiaTheme="minorEastAsia"/>
          <w:color w:val="auto"/>
          <w:szCs w:val="24"/>
        </w:rPr>
        <w:t>。</w:t>
      </w:r>
    </w:p>
    <w:p w14:paraId="00B36B2B">
      <w:pPr>
        <w:ind w:firstLine="480"/>
        <w:rPr>
          <w:rFonts w:eastAsiaTheme="minorEastAsia"/>
          <w:color w:val="auto"/>
          <w:szCs w:val="24"/>
        </w:rPr>
      </w:pPr>
      <w:r>
        <w:rPr>
          <w:rFonts w:eastAsiaTheme="minorEastAsia"/>
          <w:color w:val="auto"/>
          <w:szCs w:val="24"/>
        </w:rPr>
        <w:t>拟建的</w:t>
      </w:r>
      <w:r>
        <w:rPr>
          <w:color w:val="auto"/>
          <w:szCs w:val="24"/>
        </w:rPr>
        <w:t>九龙园区L分区污水处理厂</w:t>
      </w:r>
      <w:r>
        <w:rPr>
          <w:rFonts w:eastAsiaTheme="minorEastAsia"/>
          <w:color w:val="auto"/>
          <w:szCs w:val="24"/>
        </w:rPr>
        <w:t>污水处理采用</w:t>
      </w:r>
      <w:r>
        <w:rPr>
          <w:rFonts w:hint="eastAsia" w:eastAsiaTheme="minorEastAsia"/>
          <w:color w:val="auto"/>
          <w:szCs w:val="24"/>
        </w:rPr>
        <w:t>“</w:t>
      </w:r>
      <w:r>
        <w:rPr>
          <w:rFonts w:eastAsiaTheme="minorEastAsia"/>
          <w:color w:val="auto"/>
          <w:szCs w:val="24"/>
        </w:rPr>
        <w:t>预处理+调节池及事故池+水解酸化及改良型AAO生物池+高效沉淀池+反硝化滤池+紫外消毒</w:t>
      </w:r>
      <w:r>
        <w:rPr>
          <w:rFonts w:hint="eastAsia" w:eastAsiaTheme="minorEastAsia"/>
          <w:color w:val="auto"/>
          <w:szCs w:val="24"/>
        </w:rPr>
        <w:t>”</w:t>
      </w:r>
      <w:r>
        <w:rPr>
          <w:rFonts w:eastAsiaTheme="minorEastAsia"/>
          <w:color w:val="auto"/>
          <w:szCs w:val="24"/>
        </w:rPr>
        <w:t>工艺；污泥处理采用</w:t>
      </w:r>
      <w:r>
        <w:rPr>
          <w:rFonts w:hint="eastAsia" w:eastAsiaTheme="minorEastAsia"/>
          <w:color w:val="auto"/>
          <w:szCs w:val="24"/>
        </w:rPr>
        <w:t>“</w:t>
      </w:r>
      <w:r>
        <w:rPr>
          <w:rFonts w:eastAsiaTheme="minorEastAsia"/>
          <w:color w:val="auto"/>
          <w:szCs w:val="24"/>
        </w:rPr>
        <w:t>污泥调理+高压隔膜压滤机</w:t>
      </w:r>
      <w:r>
        <w:rPr>
          <w:rFonts w:hint="eastAsia" w:eastAsiaTheme="minorEastAsia"/>
          <w:color w:val="auto"/>
          <w:szCs w:val="24"/>
        </w:rPr>
        <w:t>”</w:t>
      </w:r>
      <w:r>
        <w:rPr>
          <w:rFonts w:eastAsiaTheme="minorEastAsia"/>
          <w:color w:val="auto"/>
          <w:szCs w:val="24"/>
        </w:rPr>
        <w:t>工艺， 将污泥含水率降至 60%后外运处置。</w:t>
      </w:r>
    </w:p>
    <w:p w14:paraId="3C9AFAF0">
      <w:pPr>
        <w:ind w:firstLine="480"/>
        <w:rPr>
          <w:color w:val="auto"/>
          <w:szCs w:val="24"/>
        </w:rPr>
      </w:pPr>
      <w:r>
        <w:rPr>
          <w:color w:val="auto"/>
          <w:szCs w:val="24"/>
        </w:rPr>
        <w:t>九龙园区L分区污水处理厂（即陶家工业污水处理厂）设计出水COD、NH3-N、总磷等主要指标处理达《地表水环境质量标准》（GB3838-2002）IV类标准，其余指标达《城镇污水处理厂污染物排放标准》（GB18918-2002）一级A标准。经处理后的尾水排入大溪河，最终汇入长江。</w:t>
      </w:r>
    </w:p>
    <w:p w14:paraId="74588C36">
      <w:pPr>
        <w:pStyle w:val="4"/>
        <w:numPr>
          <w:ilvl w:val="0"/>
          <w:numId w:val="0"/>
        </w:numPr>
        <w:spacing w:before="166" w:after="166"/>
        <w:rPr>
          <w:color w:val="auto"/>
        </w:rPr>
      </w:pPr>
      <w:bookmarkStart w:id="84" w:name="_Toc23337"/>
      <w:r>
        <w:rPr>
          <w:color w:val="auto"/>
        </w:rPr>
        <w:t>7.3退水方案合理性分析</w:t>
      </w:r>
      <w:bookmarkEnd w:id="84"/>
    </w:p>
    <w:p w14:paraId="0D4AD34F">
      <w:pPr>
        <w:pStyle w:val="2"/>
        <w:ind w:firstLine="480"/>
        <w:rPr>
          <w:color w:val="auto"/>
        </w:rPr>
      </w:pPr>
      <w:r>
        <w:rPr>
          <w:color w:val="auto"/>
        </w:rPr>
        <w:t>九龙工业园区分为A、B、C三个区，其中A区退水主要依托彩云湖污水处理厂和鸡冠石污水处理厂；B区退水主要依托大九污水处理厂和九龙园区B3区污水处理厂；C区退水主要依托陶家生活污水处理厂和拟建的九龙园区L分区污水处理厂。</w:t>
      </w:r>
    </w:p>
    <w:p w14:paraId="0590441B">
      <w:pPr>
        <w:pStyle w:val="2"/>
        <w:ind w:firstLine="480"/>
        <w:rPr>
          <w:color w:val="auto"/>
        </w:rPr>
      </w:pPr>
      <w:r>
        <w:rPr>
          <w:color w:val="auto"/>
        </w:rPr>
        <w:t>（1）九龙工业园区A区退水方案合理性分析</w:t>
      </w:r>
    </w:p>
    <w:p w14:paraId="29B0ABC1">
      <w:pPr>
        <w:pStyle w:val="2"/>
        <w:ind w:firstLine="480"/>
        <w:rPr>
          <w:color w:val="auto"/>
        </w:rPr>
      </w:pPr>
      <w:r>
        <w:rPr>
          <w:color w:val="auto"/>
        </w:rPr>
        <w:t>九龙工业园区A区全境已完成城市化，其现状排水体系已基本形成，A区规划区内除巴国城红狮水库片区生活污水进入彩云湖污水处理厂集中处理外，其他区域污水均进入鸡冠石污水处理厂集中处理。</w:t>
      </w:r>
    </w:p>
    <w:p w14:paraId="67137B7E">
      <w:pPr>
        <w:pStyle w:val="10"/>
        <w:spacing w:after="0"/>
        <w:ind w:firstLine="480"/>
        <w:rPr>
          <w:color w:val="auto"/>
        </w:rPr>
      </w:pPr>
      <w:r>
        <w:rPr>
          <w:color w:val="auto"/>
        </w:rPr>
        <w:t>彩云湖污水处理厂是实现桃花溪上游两岸城镇污水截流的重要节点工程，也是桃花溪水质逐步改善的重要基础设施，同时该污水处理厂尾水还是彩云湖湿地公园重要的生态补水水源。九龙坡区规划在2021~2022年期间对彩云湖污水处理厂进行扩容改造，设计处理规模将由1.7万m</w:t>
      </w:r>
      <w:r>
        <w:rPr>
          <w:color w:val="auto"/>
          <w:vertAlign w:val="superscript"/>
        </w:rPr>
        <w:t>3</w:t>
      </w:r>
      <w:r>
        <w:rPr>
          <w:color w:val="auto"/>
        </w:rPr>
        <w:t>/d提升至3.0万m</w:t>
      </w:r>
      <w:r>
        <w:rPr>
          <w:color w:val="auto"/>
          <w:vertAlign w:val="superscript"/>
        </w:rPr>
        <w:t>3</w:t>
      </w:r>
      <w:r>
        <w:rPr>
          <w:color w:val="auto"/>
        </w:rPr>
        <w:t>/d，提标改造后，该污水处理厂将增加脱氮工艺和深度处理设施，出水指标将由《城镇污水处理厂污染物排放标准》（GB18918-2002）一级A标准提升至《地表水环境质量标准》（GB3838-83）IV类标准，项目区产生的退水对彩云湖及桃花溪水质产生的影响将进一步减小。考虑到桃花溪流域现状污染负荷较重，建议尽可能提高彩云湖污水处理厂的处理工艺及处理标准，以减少项目区退水对彩云湖及桃花溪水体产生的影响。</w:t>
      </w:r>
    </w:p>
    <w:p w14:paraId="1F1F6F26">
      <w:pPr>
        <w:pStyle w:val="10"/>
        <w:spacing w:after="0"/>
        <w:ind w:firstLine="480"/>
        <w:rPr>
          <w:color w:val="auto"/>
        </w:rPr>
      </w:pPr>
      <w:r>
        <w:rPr>
          <w:color w:val="auto"/>
        </w:rPr>
        <w:t>九龙工业园区A区除巴国红狮水库片区城镇生活污水外，均进入主城排水工程截流管C线后，进入鸡冠石污水处理厂集中处理。鸡冠石污水处理厂现状雨季处理能力165万m</w:t>
      </w:r>
      <w:r>
        <w:rPr>
          <w:color w:val="auto"/>
          <w:vertAlign w:val="superscript"/>
        </w:rPr>
        <w:t>3</w:t>
      </w:r>
      <w:r>
        <w:rPr>
          <w:color w:val="auto"/>
        </w:rPr>
        <w:t>/d，旱季80万m</w:t>
      </w:r>
      <w:r>
        <w:rPr>
          <w:color w:val="auto"/>
          <w:vertAlign w:val="superscript"/>
        </w:rPr>
        <w:t>3/</w:t>
      </w:r>
      <w:r>
        <w:rPr>
          <w:color w:val="auto"/>
        </w:rPr>
        <w:t>d，规划年污水处理厂处理能力能够满足A区退水要求。同时，鸡冠石污水处理厂已通过入河排污口设置论证审批和环保验收，项目区属于鸡冠石污水处理厂服务范围，其出水水质达到《城镇污水处理厂污染物排放标准》（GB18918-2002）一级标准A标准，尾水于长江右岸寸滩长江大桥下游约3.5km处排入长江，根据《鸡冠石污水处理厂提标改造工程环境影响评价报告书》结论，鸡冠石污水处理维持80万m</w:t>
      </w:r>
      <w:r>
        <w:rPr>
          <w:color w:val="auto"/>
          <w:vertAlign w:val="superscript"/>
        </w:rPr>
        <w:t>3</w:t>
      </w:r>
      <w:r>
        <w:rPr>
          <w:color w:val="auto"/>
        </w:rPr>
        <w:t>/d，污水处理厂排水量仅占长江枯水期流量的0.31%，鸡冠石污水处理厂的退水不会对水功能区水质产生明显不利影响。</w:t>
      </w:r>
    </w:p>
    <w:p w14:paraId="5608177B">
      <w:pPr>
        <w:pStyle w:val="2"/>
        <w:ind w:firstLine="480"/>
        <w:rPr>
          <w:color w:val="auto"/>
        </w:rPr>
      </w:pPr>
      <w:r>
        <w:rPr>
          <w:color w:val="auto"/>
        </w:rPr>
        <w:t>（2）九龙工业园区B区退水方案合理性分析</w:t>
      </w:r>
    </w:p>
    <w:p w14:paraId="2C19CEF3">
      <w:pPr>
        <w:pStyle w:val="2"/>
        <w:ind w:firstLine="480"/>
        <w:rPr>
          <w:color w:val="auto"/>
        </w:rPr>
      </w:pPr>
      <w:r>
        <w:rPr>
          <w:color w:val="auto"/>
        </w:rPr>
        <w:t>九龙工业园区B区现状大部分区域为建成区，B区规划区内除B3区污水外，全部进入大九污水处理厂集中处理。</w:t>
      </w:r>
    </w:p>
    <w:p w14:paraId="724F0DE2">
      <w:pPr>
        <w:pStyle w:val="2"/>
        <w:ind w:firstLine="480"/>
        <w:rPr>
          <w:color w:val="auto"/>
        </w:rPr>
      </w:pPr>
      <w:r>
        <w:rPr>
          <w:color w:val="auto"/>
        </w:rPr>
        <w:t>根据区域规划及园区与重庆市水务集团的协议，九龙园区B区废水属于重庆市大九污水处理厂的集水范围，外排废水经截污管网排入重庆市大九污水处理厂处理后排入跳蹬河，最后进入长江。大九污水处理厂采用较为先进的CAST+过滤设备处理工艺，该厂于2018年提标改造后，现状出水水质可达到《城镇污水处理厂污染物排放标准》（GB18918-2002）一级A标准。根据《重庆市九龙工业园区B区规划环境影响报告书》，大九污水处理厂的退水在排污口下游131m处已与跳蹬河水充分混合，正常排放情况下，大九污水处理厂的退水不会明显改变跳蹬河的总体水质。</w:t>
      </w:r>
    </w:p>
    <w:p w14:paraId="63BB5C60">
      <w:pPr>
        <w:pStyle w:val="2"/>
        <w:ind w:firstLine="480"/>
        <w:rPr>
          <w:color w:val="auto"/>
        </w:rPr>
      </w:pPr>
      <w:r>
        <w:rPr>
          <w:color w:val="auto"/>
        </w:rPr>
        <w:t>为满足九龙工业园区B3区的退水要求，九龙工业园区在B3区单独建设了1座污水处理厂，该污水处理厂服务范围主要为九龙工业园区B3区及规划区外东北侧规划的居住区。九龙工业园区B3区污水处理厂采用</w:t>
      </w:r>
      <w:r>
        <w:rPr>
          <w:rFonts w:hint="eastAsia"/>
          <w:color w:val="auto"/>
        </w:rPr>
        <w:t>“</w:t>
      </w:r>
      <w:r>
        <w:rPr>
          <w:color w:val="auto"/>
        </w:rPr>
        <w:t>预处理+水解酸化+改良型 AAO生物池+高效沉淀池+反硝化滤池+紫外消毒</w:t>
      </w:r>
      <w:r>
        <w:rPr>
          <w:rFonts w:hint="eastAsia"/>
          <w:color w:val="auto"/>
        </w:rPr>
        <w:t>”</w:t>
      </w:r>
      <w:r>
        <w:rPr>
          <w:color w:val="auto"/>
        </w:rPr>
        <w:t>工艺，排放标准执行《地表水环境质量标准》（GB3838-2002）IV类标准。污水集中处理达标后排入响水沟箱涵（改道箱涵与银谷路西侧交界处），于350m后汇入石林支流，2.57km后进入跳磴河，最终汇入长江。根据已批复的《九龙园区B3区污水处理设施工程入河排污口设置论证报告》，正常情况下，B3区污水处理厂的退水会造成石林支流响水沟汇入口下游2.57km河段污染物浓度有所增加，但仍满足地表水Ⅳ类水质标准，其影响范围为排污口下游350m的响水沟和石林支流响水沟箱涵汇入口下游2.57km范围。因此，B3区污水处理厂的退水对河道水质产生的影响较小，退水方案基本可行。</w:t>
      </w:r>
    </w:p>
    <w:p w14:paraId="495533D7">
      <w:pPr>
        <w:pStyle w:val="2"/>
        <w:ind w:firstLine="480"/>
        <w:rPr>
          <w:color w:val="auto"/>
        </w:rPr>
      </w:pPr>
      <w:r>
        <w:rPr>
          <w:color w:val="auto"/>
        </w:rPr>
        <w:t>（3）九龙工业园区C区退水方案合理性分析</w:t>
      </w:r>
    </w:p>
    <w:p w14:paraId="08188ED8">
      <w:pPr>
        <w:pStyle w:val="2"/>
        <w:ind w:firstLine="480"/>
        <w:rPr>
          <w:rFonts w:eastAsiaTheme="minorEastAsia"/>
          <w:color w:val="auto"/>
        </w:rPr>
      </w:pPr>
      <w:r>
        <w:rPr>
          <w:color w:val="auto"/>
        </w:rPr>
        <w:t>九龙工业园区C区除启动区外，</w:t>
      </w:r>
      <w:r>
        <w:rPr>
          <w:color w:val="auto"/>
          <w:szCs w:val="20"/>
        </w:rPr>
        <w:t>目前相关产业布局尚不完善，各工业企业相对较少。目前九龙工业园区C区的生活污水退水主要依托陶家生活污水处理厂，</w:t>
      </w:r>
      <w:r>
        <w:rPr>
          <w:rFonts w:eastAsiaTheme="minorEastAsia"/>
          <w:color w:val="auto"/>
        </w:rPr>
        <w:t>该污水处理厂设计服务范围为西彭组团O标准分区、西彭组团J标准分区（不含工业区污水）、西彭组团S标准分区、九龙工业园区C区L分区（不含L分区工业区污水）以及西彭镇长石村和宝华村。陶家生活污水处理厂一期处理规模为0.5万m</w:t>
      </w:r>
      <w:r>
        <w:rPr>
          <w:rFonts w:eastAsiaTheme="minorEastAsia"/>
          <w:color w:val="auto"/>
          <w:vertAlign w:val="superscript"/>
        </w:rPr>
        <w:t>3</w:t>
      </w:r>
      <w:r>
        <w:rPr>
          <w:rFonts w:eastAsiaTheme="minorEastAsia"/>
          <w:color w:val="auto"/>
        </w:rPr>
        <w:t>/d，二期规模为2万m</w:t>
      </w:r>
      <w:r>
        <w:rPr>
          <w:rFonts w:eastAsiaTheme="minorEastAsia"/>
          <w:color w:val="auto"/>
          <w:vertAlign w:val="superscript"/>
        </w:rPr>
        <w:t>3</w:t>
      </w:r>
      <w:r>
        <w:rPr>
          <w:rFonts w:eastAsiaTheme="minorEastAsia"/>
          <w:color w:val="auto"/>
        </w:rPr>
        <w:t>/d，远期拟扩建至4万m</w:t>
      </w:r>
      <w:r>
        <w:rPr>
          <w:rFonts w:eastAsiaTheme="minorEastAsia"/>
          <w:color w:val="auto"/>
          <w:vertAlign w:val="superscript"/>
        </w:rPr>
        <w:t>3</w:t>
      </w:r>
      <w:r>
        <w:rPr>
          <w:rFonts w:eastAsiaTheme="minorEastAsia"/>
          <w:color w:val="auto"/>
        </w:rPr>
        <w:t>/d。该污水处理厂已建成一期和二期，目前只有二期工程投用，实际污水处理量为1.3万m</w:t>
      </w:r>
      <w:r>
        <w:rPr>
          <w:rFonts w:eastAsiaTheme="minorEastAsia"/>
          <w:color w:val="auto"/>
          <w:vertAlign w:val="superscript"/>
        </w:rPr>
        <w:t>3</w:t>
      </w:r>
      <w:r>
        <w:rPr>
          <w:rFonts w:eastAsiaTheme="minorEastAsia"/>
          <w:color w:val="auto"/>
        </w:rPr>
        <w:t>/d。</w:t>
      </w:r>
    </w:p>
    <w:p w14:paraId="5325CA30">
      <w:pPr>
        <w:pStyle w:val="2"/>
        <w:ind w:firstLine="480"/>
        <w:rPr>
          <w:rFonts w:eastAsiaTheme="minorEastAsia"/>
          <w:color w:val="auto"/>
        </w:rPr>
      </w:pPr>
      <w:r>
        <w:rPr>
          <w:rFonts w:eastAsiaTheme="minorEastAsia"/>
          <w:color w:val="auto"/>
        </w:rPr>
        <w:t>陶家生活污水处理厂退水可达《城镇污水处理厂污染物排放标准》（GB18918-2002）一级A标准后，排入大溪河，最终汇入长江。根据</w:t>
      </w:r>
      <w:r>
        <w:rPr>
          <w:color w:val="auto"/>
          <w:kern w:val="0"/>
        </w:rPr>
        <w:t>《大溪河流域陶家污水处理厂排污口设置论证报告》，在正常情况下，污水处理厂出水稳定达标排放</w:t>
      </w:r>
      <w:r>
        <w:rPr>
          <w:rFonts w:eastAsiaTheme="minorEastAsia"/>
          <w:color w:val="auto"/>
        </w:rPr>
        <w:t>，排污口下游6.2km处COD浓度能达到地表水质量标准Ⅳ类水体水质（与长江交汇处能够满足Ⅳ类水体水质要求，不会对长江水质造成影响）。2.0km外NH</w:t>
      </w:r>
      <w:r>
        <w:rPr>
          <w:rFonts w:eastAsiaTheme="minorEastAsia"/>
          <w:color w:val="auto"/>
          <w:vertAlign w:val="subscript"/>
        </w:rPr>
        <w:t>3</w:t>
      </w:r>
      <w:r>
        <w:rPr>
          <w:rFonts w:eastAsiaTheme="minorEastAsia"/>
          <w:color w:val="auto"/>
        </w:rPr>
        <w:t>-N浓度能达到地表水质量标准Ⅳ类水体水质。该污水处理厂的退水不会对大溪河水质产生明显不利影响。</w:t>
      </w:r>
    </w:p>
    <w:p w14:paraId="328AA654">
      <w:pPr>
        <w:pStyle w:val="2"/>
        <w:ind w:firstLine="480"/>
        <w:rPr>
          <w:color w:val="auto"/>
        </w:rPr>
      </w:pPr>
      <w:r>
        <w:rPr>
          <w:color w:val="auto"/>
        </w:rPr>
        <w:t>九龙工业园区C区内现状产生的工业污水量不大，目前一部分工业污水依托临时建设的一体化污水处理站处理，另外一部分经龙塘凼污水处理站处理后在进入陶家生活污水处理厂处理，其出水水质均能达到《城镇污水处理厂污染物排放标准》（GB18918-2002）一级A标准后排入大溪河。</w:t>
      </w:r>
    </w:p>
    <w:p w14:paraId="4007CF5F">
      <w:pPr>
        <w:pStyle w:val="2"/>
        <w:ind w:firstLine="480"/>
        <w:rPr>
          <w:color w:val="auto"/>
        </w:rPr>
      </w:pPr>
      <w:r>
        <w:rPr>
          <w:color w:val="auto"/>
        </w:rPr>
        <w:t>考虑到九龙园区C区L标准分区未来的发展，重庆九龙园高新产业集团有限公司启动九龙园区L分区污水处理厂（陶家工业污水处理厂）的建设工作，该污水处理厂选址九龙坡区西彭组团L标准分区L24—01/01地块南侧，设计污水处理规模为1万m3/d，其服务范围为九龙工业园C区南部L分区工业区和西彭工业园区的J、L标准分区三部分区域，其中九龙工业园C区L分区总规划面积约2.8km2，其中工业用地面积约2.16km2。九龙园区L分区污水处理厂（陶家工业污水处理厂）设计出水COD、NH3-N、总磷等主要指标处理达《地表水环境质量标准》（GB3838-2002）IV类标准，其余指标达《城镇污水处理厂污染物排放标准》（GB18918-2002）一级A标准，污水处理厂的尾水通过管道引至大溪河支流杨柳曲河后排放，根据《九龙园区L分区污水处理厂排污口设置论证报告书》，在正常情况下，污水处理厂出水稳定达标排放，大溪河河口水质基本能保持Ⅳ类水体水质要求，基本不会对长江水质产生影响。</w:t>
      </w:r>
    </w:p>
    <w:p w14:paraId="6ED6323F">
      <w:pPr>
        <w:pStyle w:val="2"/>
        <w:ind w:firstLine="480"/>
        <w:rPr>
          <w:color w:val="auto"/>
        </w:rPr>
      </w:pPr>
      <w:r>
        <w:rPr>
          <w:rFonts w:eastAsiaTheme="minorEastAsia"/>
          <w:color w:val="auto"/>
        </w:rPr>
        <w:t>综上所述，九龙工业园区现状各区域的污水处理厂基本满足园区发展的需要，各污水处理厂的退水方案基本可行。建议尽快完成彩云湖污水处理厂的提标改造，以减少其退水对彩云湖及桃花溪水体产生的影响。同时尽早完成</w:t>
      </w:r>
      <w:r>
        <w:rPr>
          <w:color w:val="auto"/>
        </w:rPr>
        <w:t>九龙园区L分区污水处理厂（陶家工业污水处理厂）的建设工作，以满足九龙工业园区C区的未来的退水需要。</w:t>
      </w:r>
      <w:bookmarkStart w:id="85" w:name="_Toc24300"/>
      <w:r>
        <w:rPr>
          <w:color w:val="auto"/>
        </w:rPr>
        <w:br w:type="page"/>
      </w:r>
    </w:p>
    <w:p w14:paraId="60E0DDBC">
      <w:pPr>
        <w:pStyle w:val="3"/>
        <w:numPr>
          <w:ilvl w:val="0"/>
          <w:numId w:val="0"/>
        </w:numPr>
        <w:spacing w:before="333" w:after="333"/>
        <w:rPr>
          <w:color w:val="auto"/>
        </w:rPr>
      </w:pPr>
      <w:bookmarkStart w:id="86" w:name="_Toc18472"/>
      <w:r>
        <w:rPr>
          <w:color w:val="auto"/>
        </w:rPr>
        <w:t>8区域规划实施影响分析</w:t>
      </w:r>
      <w:bookmarkEnd w:id="85"/>
      <w:bookmarkEnd w:id="86"/>
    </w:p>
    <w:p w14:paraId="2B49A49E">
      <w:pPr>
        <w:pStyle w:val="4"/>
        <w:numPr>
          <w:ilvl w:val="1"/>
          <w:numId w:val="0"/>
        </w:numPr>
        <w:spacing w:before="166" w:after="166"/>
        <w:rPr>
          <w:color w:val="auto"/>
        </w:rPr>
      </w:pPr>
      <w:bookmarkStart w:id="87" w:name="_Toc5380"/>
      <w:bookmarkStart w:id="88" w:name="_Toc28523"/>
      <w:r>
        <w:rPr>
          <w:color w:val="auto"/>
        </w:rPr>
        <w:t>8.1对水资源的影响</w:t>
      </w:r>
      <w:bookmarkEnd w:id="87"/>
      <w:bookmarkEnd w:id="88"/>
    </w:p>
    <w:p w14:paraId="0F937382">
      <w:pPr>
        <w:pStyle w:val="5"/>
        <w:numPr>
          <w:ilvl w:val="0"/>
          <w:numId w:val="0"/>
        </w:numPr>
        <w:spacing w:before="166" w:after="166"/>
        <w:rPr>
          <w:color w:val="auto"/>
        </w:rPr>
      </w:pPr>
      <w:r>
        <w:rPr>
          <w:color w:val="auto"/>
        </w:rPr>
        <w:t>8.1.1 取水对水资源的影响</w:t>
      </w:r>
    </w:p>
    <w:p w14:paraId="2E6D7105">
      <w:pPr>
        <w:pStyle w:val="6"/>
        <w:numPr>
          <w:ilvl w:val="3"/>
          <w:numId w:val="0"/>
        </w:numPr>
        <w:rPr>
          <w:color w:val="auto"/>
        </w:rPr>
      </w:pPr>
      <w:r>
        <w:rPr>
          <w:color w:val="auto"/>
        </w:rPr>
        <w:t>8.1.1.1对水资源总量及时空分布的影响</w:t>
      </w:r>
    </w:p>
    <w:p w14:paraId="063C604F">
      <w:pPr>
        <w:ind w:firstLine="480"/>
        <w:rPr>
          <w:color w:val="auto"/>
        </w:rPr>
      </w:pPr>
      <w:r>
        <w:rPr>
          <w:color w:val="auto"/>
        </w:rPr>
        <w:t>（1）对水资源时空分布的影响</w:t>
      </w:r>
    </w:p>
    <w:p w14:paraId="2D2FFA1F">
      <w:pPr>
        <w:ind w:firstLine="480"/>
        <w:rPr>
          <w:color w:val="auto"/>
        </w:rPr>
      </w:pPr>
      <w:r>
        <w:rPr>
          <w:color w:val="auto"/>
        </w:rPr>
        <w:t>园区水资源以地表水为主，取水点均位于长江干流。由于园区涉及水厂项目取用的是长江干流过境水资源量，不新建拦河坝等工程，也无调节能力，对区域水资源时空分布基本无影响。</w:t>
      </w:r>
    </w:p>
    <w:p w14:paraId="6132E87D">
      <w:pPr>
        <w:ind w:firstLine="480"/>
        <w:rPr>
          <w:color w:val="auto"/>
        </w:rPr>
      </w:pPr>
      <w:r>
        <w:rPr>
          <w:color w:val="auto"/>
        </w:rPr>
        <w:t>（2）对水资源总量的影响</w:t>
      </w:r>
    </w:p>
    <w:p w14:paraId="391986BA">
      <w:pPr>
        <w:ind w:firstLine="480"/>
        <w:rPr>
          <w:color w:val="auto"/>
        </w:rPr>
      </w:pPr>
      <w:r>
        <w:rPr>
          <w:color w:val="auto"/>
        </w:rPr>
        <w:t>园区共涉及到3个水厂，分别是和尚山水厂、丰收坝水厂、西彭水厂。</w:t>
      </w:r>
    </w:p>
    <w:p w14:paraId="1A62710C">
      <w:pPr>
        <w:ind w:firstLine="480"/>
        <w:rPr>
          <w:color w:val="auto"/>
          <w:lang w:val="zh-TW"/>
        </w:rPr>
      </w:pPr>
      <w:r>
        <w:rPr>
          <w:color w:val="auto"/>
        </w:rPr>
        <w:t>重庆和尚山水厂取水口断面处现状年平均可供水量为1288.76亿m</w:t>
      </w:r>
      <w:r>
        <w:rPr>
          <w:color w:val="auto"/>
          <w:vertAlign w:val="superscript"/>
        </w:rPr>
        <w:t>3</w:t>
      </w:r>
      <w:r>
        <w:rPr>
          <w:color w:val="auto"/>
        </w:rPr>
        <w:t>，97%保证率时可供水量为639.76亿m</w:t>
      </w:r>
      <w:r>
        <w:rPr>
          <w:color w:val="auto"/>
          <w:vertAlign w:val="superscript"/>
        </w:rPr>
        <w:t>3</w:t>
      </w:r>
      <w:r>
        <w:rPr>
          <w:color w:val="auto"/>
        </w:rPr>
        <w:t>；规划水平年平均可供水量为1280.64亿m</w:t>
      </w:r>
      <w:r>
        <w:rPr>
          <w:color w:val="auto"/>
          <w:vertAlign w:val="superscript"/>
        </w:rPr>
        <w:t>3</w:t>
      </w:r>
      <w:r>
        <w:rPr>
          <w:color w:val="auto"/>
        </w:rPr>
        <w:t>，97%保证率时可供水量为631.64亿m</w:t>
      </w:r>
      <w:r>
        <w:rPr>
          <w:color w:val="auto"/>
          <w:vertAlign w:val="superscript"/>
        </w:rPr>
        <w:t>3</w:t>
      </w:r>
      <w:r>
        <w:rPr>
          <w:color w:val="auto"/>
        </w:rPr>
        <w:t>。和尚山水厂</w:t>
      </w:r>
      <w:r>
        <w:rPr>
          <w:color w:val="auto"/>
          <w:lang w:val="zh-TW"/>
        </w:rPr>
        <w:t>2025</w:t>
      </w:r>
      <w:r>
        <w:rPr>
          <w:color w:val="auto"/>
          <w:lang w:val="zh-TW" w:eastAsia="zh-TW"/>
        </w:rPr>
        <w:t>年取水量为</w:t>
      </w:r>
      <w:r>
        <w:rPr>
          <w:color w:val="auto"/>
        </w:rPr>
        <w:t>12194</w:t>
      </w:r>
      <w:r>
        <w:rPr>
          <w:color w:val="auto"/>
          <w:lang w:val="zh-TW" w:eastAsia="zh-TW"/>
        </w:rPr>
        <w:t>万m</w:t>
      </w:r>
      <w:r>
        <w:rPr>
          <w:color w:val="auto"/>
          <w:vertAlign w:val="superscript"/>
          <w:lang w:val="zh-TW" w:eastAsia="zh-TW"/>
        </w:rPr>
        <w:t>3</w:t>
      </w:r>
      <w:r>
        <w:rPr>
          <w:color w:val="auto"/>
          <w:lang w:val="zh-TW" w:eastAsia="zh-TW"/>
        </w:rPr>
        <w:t>，仅占多年平均、P=97%可供水量的0.</w:t>
      </w:r>
      <w:r>
        <w:rPr>
          <w:color w:val="auto"/>
        </w:rPr>
        <w:t>0952</w:t>
      </w:r>
      <w:r>
        <w:rPr>
          <w:color w:val="auto"/>
          <w:lang w:val="zh-TW" w:eastAsia="zh-TW"/>
        </w:rPr>
        <w:t>%、0.</w:t>
      </w:r>
      <w:r>
        <w:rPr>
          <w:color w:val="auto"/>
        </w:rPr>
        <w:t>193</w:t>
      </w:r>
      <w:r>
        <w:rPr>
          <w:color w:val="auto"/>
          <w:lang w:val="zh-TW" w:eastAsia="zh-TW"/>
        </w:rPr>
        <w:t>%</w:t>
      </w:r>
      <w:r>
        <w:rPr>
          <w:color w:val="auto"/>
          <w:lang w:val="zh-TW"/>
        </w:rPr>
        <w:t>。</w:t>
      </w:r>
    </w:p>
    <w:p w14:paraId="18DC54F3">
      <w:pPr>
        <w:ind w:firstLine="480"/>
        <w:rPr>
          <w:color w:val="auto"/>
          <w:lang w:val="zh-TW"/>
        </w:rPr>
      </w:pPr>
      <w:r>
        <w:rPr>
          <w:color w:val="auto"/>
        </w:rPr>
        <w:t>重庆丰收坝水厂取水口断面处现状年平均可供水量为1291.24亿m</w:t>
      </w:r>
      <w:r>
        <w:rPr>
          <w:color w:val="auto"/>
          <w:vertAlign w:val="superscript"/>
        </w:rPr>
        <w:t>3</w:t>
      </w:r>
      <w:r>
        <w:rPr>
          <w:color w:val="auto"/>
        </w:rPr>
        <w:t>，97%保证率时可供水量为642.24亿m</w:t>
      </w:r>
      <w:r>
        <w:rPr>
          <w:color w:val="auto"/>
          <w:vertAlign w:val="superscript"/>
        </w:rPr>
        <w:t>3</w:t>
      </w:r>
      <w:r>
        <w:rPr>
          <w:color w:val="auto"/>
        </w:rPr>
        <w:t>；规划水平年平均可供水量为1284.32亿m</w:t>
      </w:r>
      <w:r>
        <w:rPr>
          <w:color w:val="auto"/>
          <w:vertAlign w:val="superscript"/>
        </w:rPr>
        <w:t>3</w:t>
      </w:r>
      <w:r>
        <w:rPr>
          <w:color w:val="auto"/>
        </w:rPr>
        <w:t>，97%保证率时可供水量为635.32亿m</w:t>
      </w:r>
      <w:r>
        <w:rPr>
          <w:color w:val="auto"/>
          <w:vertAlign w:val="superscript"/>
        </w:rPr>
        <w:t>3</w:t>
      </w:r>
      <w:r>
        <w:rPr>
          <w:color w:val="auto"/>
        </w:rPr>
        <w:t>。丰收坝水厂</w:t>
      </w:r>
      <w:r>
        <w:rPr>
          <w:color w:val="auto"/>
          <w:lang w:val="zh-TW"/>
        </w:rPr>
        <w:t>2025</w:t>
      </w:r>
      <w:r>
        <w:rPr>
          <w:color w:val="auto"/>
          <w:lang w:val="zh-TW" w:eastAsia="zh-TW"/>
        </w:rPr>
        <w:t>年取水量为</w:t>
      </w:r>
      <w:r>
        <w:rPr>
          <w:color w:val="auto"/>
        </w:rPr>
        <w:t>13936</w:t>
      </w:r>
      <w:r>
        <w:rPr>
          <w:color w:val="auto"/>
          <w:lang w:val="zh-TW" w:eastAsia="zh-TW"/>
        </w:rPr>
        <w:t>万m</w:t>
      </w:r>
      <w:r>
        <w:rPr>
          <w:color w:val="auto"/>
          <w:vertAlign w:val="superscript"/>
          <w:lang w:val="zh-TW" w:eastAsia="zh-TW"/>
        </w:rPr>
        <w:t>3</w:t>
      </w:r>
      <w:r>
        <w:rPr>
          <w:color w:val="auto"/>
          <w:lang w:val="zh-TW" w:eastAsia="zh-TW"/>
        </w:rPr>
        <w:t>，仅占多年平均、P=97%可供水量的0.</w:t>
      </w:r>
      <w:r>
        <w:rPr>
          <w:color w:val="auto"/>
          <w:lang w:val="zh-TW"/>
        </w:rPr>
        <w:t>109</w:t>
      </w:r>
      <w:r>
        <w:rPr>
          <w:color w:val="auto"/>
          <w:lang w:val="zh-TW" w:eastAsia="zh-TW"/>
        </w:rPr>
        <w:t>%、0.</w:t>
      </w:r>
      <w:r>
        <w:rPr>
          <w:color w:val="auto"/>
          <w:lang w:val="zh-TW"/>
        </w:rPr>
        <w:t>219</w:t>
      </w:r>
      <w:r>
        <w:rPr>
          <w:color w:val="auto"/>
          <w:lang w:val="zh-TW" w:eastAsia="zh-TW"/>
        </w:rPr>
        <w:t>%</w:t>
      </w:r>
      <w:r>
        <w:rPr>
          <w:color w:val="auto"/>
          <w:lang w:val="zh-TW"/>
        </w:rPr>
        <w:t>。</w:t>
      </w:r>
    </w:p>
    <w:p w14:paraId="4BEC25F4">
      <w:pPr>
        <w:spacing w:line="560" w:lineRule="exact"/>
        <w:ind w:firstLine="424" w:firstLineChars="177"/>
        <w:rPr>
          <w:color w:val="auto"/>
          <w:szCs w:val="18"/>
        </w:rPr>
      </w:pPr>
      <w:r>
        <w:rPr>
          <w:snapToGrid w:val="0"/>
          <w:color w:val="auto"/>
          <w:szCs w:val="24"/>
        </w:rPr>
        <w:t>西彭水厂德感趸船及</w:t>
      </w:r>
      <w:r>
        <w:rPr>
          <w:color w:val="auto"/>
          <w:szCs w:val="24"/>
        </w:rPr>
        <w:t>西南铝业取水阶段</w:t>
      </w:r>
      <w:r>
        <w:rPr>
          <w:color w:val="auto"/>
          <w:szCs w:val="24"/>
          <w:lang w:val="zh-TW" w:eastAsia="zh-TW"/>
        </w:rPr>
        <w:t>取水口断面多年平均可供水量为1284亿m</w:t>
      </w:r>
      <w:r>
        <w:rPr>
          <w:color w:val="auto"/>
          <w:szCs w:val="24"/>
          <w:vertAlign w:val="superscript"/>
          <w:lang w:val="zh-TW" w:eastAsia="zh-TW"/>
        </w:rPr>
        <w:t>3</w:t>
      </w:r>
      <w:r>
        <w:rPr>
          <w:color w:val="auto"/>
          <w:szCs w:val="24"/>
          <w:lang w:val="zh-TW" w:eastAsia="zh-TW"/>
        </w:rPr>
        <w:t>，P=97%情况下可供水量为635亿m³。</w:t>
      </w:r>
      <w:r>
        <w:rPr>
          <w:color w:val="auto"/>
          <w:szCs w:val="24"/>
          <w:lang w:val="zh-TW"/>
        </w:rPr>
        <w:t>德感趸船及西吕取水口分别设计取水量为9万m3/d、30万m3/d，</w:t>
      </w:r>
      <w:r>
        <w:rPr>
          <w:snapToGrid w:val="0"/>
          <w:color w:val="auto"/>
          <w:szCs w:val="24"/>
        </w:rPr>
        <w:t>德感趸船及</w:t>
      </w:r>
      <w:r>
        <w:rPr>
          <w:color w:val="auto"/>
          <w:szCs w:val="24"/>
        </w:rPr>
        <w:t>西南铝业</w:t>
      </w:r>
      <w:r>
        <w:rPr>
          <w:color w:val="auto"/>
          <w:szCs w:val="24"/>
          <w:lang w:val="zh-TW"/>
        </w:rPr>
        <w:t>取水39万m</w:t>
      </w:r>
      <w:r>
        <w:rPr>
          <w:color w:val="auto"/>
          <w:szCs w:val="24"/>
          <w:vertAlign w:val="superscript"/>
          <w:lang w:val="zh-TW"/>
        </w:rPr>
        <w:t>3</w:t>
      </w:r>
      <w:r>
        <w:rPr>
          <w:color w:val="auto"/>
          <w:szCs w:val="24"/>
          <w:lang w:val="zh-TW"/>
        </w:rPr>
        <w:t>/d，年取水量12940万m3/d</w:t>
      </w:r>
      <w:r>
        <w:rPr>
          <w:color w:val="auto"/>
          <w:szCs w:val="24"/>
          <w:lang w:val="zh-TW" w:eastAsia="zh-TW"/>
        </w:rPr>
        <w:t>，仅占多年平均、P=97%可供水量的0.</w:t>
      </w:r>
      <w:r>
        <w:rPr>
          <w:color w:val="auto"/>
          <w:szCs w:val="24"/>
          <w:lang w:val="zh-TW"/>
        </w:rPr>
        <w:t>101</w:t>
      </w:r>
      <w:r>
        <w:rPr>
          <w:color w:val="auto"/>
          <w:szCs w:val="24"/>
          <w:lang w:val="zh-TW" w:eastAsia="zh-TW"/>
        </w:rPr>
        <w:t>%、0.</w:t>
      </w:r>
      <w:r>
        <w:rPr>
          <w:color w:val="auto"/>
          <w:szCs w:val="24"/>
          <w:lang w:val="zh-TW"/>
        </w:rPr>
        <w:t>204</w:t>
      </w:r>
      <w:r>
        <w:rPr>
          <w:color w:val="auto"/>
          <w:szCs w:val="24"/>
          <w:lang w:val="zh-TW" w:eastAsia="zh-TW"/>
        </w:rPr>
        <w:t>%</w:t>
      </w:r>
      <w:r>
        <w:rPr>
          <w:color w:val="auto"/>
          <w:szCs w:val="24"/>
          <w:lang w:val="zh-TW"/>
        </w:rPr>
        <w:t>；</w:t>
      </w:r>
    </w:p>
    <w:p w14:paraId="7D2EC950">
      <w:pPr>
        <w:ind w:firstLine="480"/>
        <w:rPr>
          <w:color w:val="auto"/>
        </w:rPr>
      </w:pPr>
      <w:r>
        <w:rPr>
          <w:snapToGrid w:val="0"/>
          <w:color w:val="auto"/>
          <w:kern w:val="0"/>
        </w:rPr>
        <w:t>综上可见无论是平水年，还是枯水年，各水厂的取水量占取水口来水量的比例都很小。</w:t>
      </w:r>
    </w:p>
    <w:p w14:paraId="2BD9E675">
      <w:pPr>
        <w:ind w:firstLine="480"/>
        <w:jc w:val="left"/>
        <w:rPr>
          <w:color w:val="auto"/>
        </w:rPr>
      </w:pPr>
      <w:r>
        <w:rPr>
          <w:snapToGrid w:val="0"/>
          <w:color w:val="auto"/>
          <w:kern w:val="0"/>
        </w:rPr>
        <w:t>由前面的分析可知，九龙工业园区供水水厂在不同设计水平年及年最枯流量情况下取水量都只占取水口河段来水量的很小部分，对取水口以下河段的流速、流态、水资源量影响几乎没有影响，</w:t>
      </w:r>
      <w:r>
        <w:rPr>
          <w:color w:val="auto"/>
        </w:rPr>
        <w:t>另外，随着三峡水利枢纽工程的逐步蓄水，其功能将逐渐发挥作用，枯季流量将有所增加，枯水流量可增加，水厂取水对区域水资源的影响将更小。同时，由于本工程取水量占长江来水比例很小，加上取水只是部分消耗，污水最终仍达标排入本河流，因此建设项目对区域水资源量的基本无影响。</w:t>
      </w:r>
    </w:p>
    <w:p w14:paraId="7BC75EC5">
      <w:pPr>
        <w:pStyle w:val="6"/>
        <w:numPr>
          <w:ilvl w:val="3"/>
          <w:numId w:val="0"/>
        </w:numPr>
        <w:rPr>
          <w:color w:val="auto"/>
        </w:rPr>
      </w:pPr>
      <w:r>
        <w:rPr>
          <w:color w:val="auto"/>
        </w:rPr>
        <w:t>8.1.1.2取水对区域水质水环境的影响</w:t>
      </w:r>
    </w:p>
    <w:p w14:paraId="5F3511C1">
      <w:pPr>
        <w:ind w:firstLine="480"/>
        <w:rPr>
          <w:color w:val="auto"/>
        </w:rPr>
      </w:pPr>
      <w:r>
        <w:rPr>
          <w:color w:val="auto"/>
        </w:rPr>
        <w:t>工程取水地点位于长江干流河段，按长江流域水质质量管理目标为Ⅲ类水质。根据本河段现状水质监测成果表明，丰枯水期各项水质指标均满足《地表水环境质量标准》Ⅲ类水水质标准，水质总体状况较好。</w:t>
      </w:r>
    </w:p>
    <w:p w14:paraId="4F34D38D">
      <w:pPr>
        <w:adjustRightInd w:val="0"/>
        <w:snapToGrid w:val="0"/>
        <w:ind w:firstLine="480"/>
        <w:rPr>
          <w:color w:val="auto"/>
        </w:rPr>
      </w:pPr>
      <w:r>
        <w:rPr>
          <w:color w:val="auto"/>
        </w:rPr>
        <w:t>经分析，园区有针对性地采取污染治理后各类污染物均能实现达标排放。经预测，片区污染物排放强度均对当地各环境要素的环境质量影响小，不因本片区建设导致所在区域及区域主要保护目标的环境功能发生改变，不产生新的环境问题，片区建成后，区域水环境质量各要素仍达标。</w:t>
      </w:r>
    </w:p>
    <w:p w14:paraId="477C1CAD">
      <w:pPr>
        <w:pStyle w:val="6"/>
        <w:numPr>
          <w:ilvl w:val="3"/>
          <w:numId w:val="0"/>
        </w:numPr>
        <w:rPr>
          <w:color w:val="auto"/>
        </w:rPr>
      </w:pPr>
      <w:r>
        <w:rPr>
          <w:color w:val="auto"/>
        </w:rPr>
        <w:t>8.1.1.3对其他用水户的影响</w:t>
      </w:r>
    </w:p>
    <w:p w14:paraId="2CB50F08">
      <w:pPr>
        <w:ind w:firstLine="480"/>
        <w:rPr>
          <w:color w:val="auto"/>
        </w:rPr>
      </w:pPr>
      <w:r>
        <w:rPr>
          <w:color w:val="auto"/>
        </w:rPr>
        <w:t>取水口以上现有取水户在建设项目上游，且在建设项目建成之前已运行取水，比建设项目具有优先取水的权利。根据《重庆市主城区水厂布局调整规划》、《重庆市渝西水资源配置工程可行性研究报告》，至2025年取水口以上重庆长江干流段新增规模以上取水口2处，新增年取水量81200万m</w:t>
      </w:r>
      <w:r>
        <w:rPr>
          <w:color w:val="auto"/>
          <w:vertAlign w:val="superscript"/>
        </w:rPr>
        <w:t>3</w:t>
      </w:r>
      <w:r>
        <w:rPr>
          <w:color w:val="auto"/>
        </w:rPr>
        <w:t>，取水流量33m</w:t>
      </w:r>
      <w:r>
        <w:rPr>
          <w:color w:val="auto"/>
          <w:vertAlign w:val="superscript"/>
        </w:rPr>
        <w:t>3</w:t>
      </w:r>
      <w:r>
        <w:rPr>
          <w:color w:val="auto"/>
        </w:rPr>
        <w:t>/s。新建项目位于建设项目上游，工程建设对其取水不造成影响。同时，由于长江干流水量丰富，本工程取水量占长江来水比例很小，因此园区涉及水厂的取水不会与下游用水户产生抢水、用水水事纠纷，对下游各用水户取用水无影响。</w:t>
      </w:r>
    </w:p>
    <w:p w14:paraId="16BD4E7F">
      <w:pPr>
        <w:ind w:firstLine="480"/>
        <w:rPr>
          <w:b/>
          <w:bCs/>
          <w:color w:val="auto"/>
          <w:szCs w:val="24"/>
        </w:rPr>
      </w:pPr>
      <w:r>
        <w:rPr>
          <w:color w:val="auto"/>
        </w:rPr>
        <w:t>九龙工业园区由A、B、C三区组成。</w:t>
      </w:r>
      <w:r>
        <w:rPr>
          <w:color w:val="auto"/>
          <w:szCs w:val="24"/>
        </w:rPr>
        <w:t>A区2025年最高日需水量占</w:t>
      </w:r>
      <w:r>
        <w:rPr>
          <w:color w:val="auto"/>
          <w:szCs w:val="24"/>
          <w:lang w:bidi="ar"/>
        </w:rPr>
        <w:t>和尚山水厂2025年</w:t>
      </w:r>
      <w:r>
        <w:rPr>
          <w:color w:val="auto"/>
          <w:szCs w:val="24"/>
        </w:rPr>
        <w:t>供水能力的15.46%；B区2025年最高日需水量站丰收坝水厂2025年的供水能力为14.55%；C区2025年最高日需水量占西彭水厂2025年的供水能力的10.97%。</w:t>
      </w:r>
      <w:r>
        <w:rPr>
          <w:b/>
          <w:bCs/>
          <w:color w:val="auto"/>
          <w:szCs w:val="24"/>
        </w:rPr>
        <w:t>并且根据各水厂的初步设计报告以及水资源论证报告，各水厂在确定水厂规模时九龙工业园区均在其供水范围内。</w:t>
      </w:r>
    </w:p>
    <w:p w14:paraId="5EDFB1E5">
      <w:pPr>
        <w:ind w:firstLine="480"/>
        <w:rPr>
          <w:color w:val="auto"/>
        </w:rPr>
      </w:pPr>
      <w:r>
        <w:rPr>
          <w:color w:val="auto"/>
        </w:rPr>
        <w:t>因此，九龙园区的用水不会对其他取水户产生影响。</w:t>
      </w:r>
    </w:p>
    <w:p w14:paraId="0BA7BDC7">
      <w:pPr>
        <w:pStyle w:val="5"/>
        <w:numPr>
          <w:ilvl w:val="0"/>
          <w:numId w:val="0"/>
        </w:numPr>
        <w:spacing w:before="166" w:after="166"/>
        <w:rPr>
          <w:color w:val="auto"/>
        </w:rPr>
      </w:pPr>
      <w:r>
        <w:rPr>
          <w:color w:val="auto"/>
        </w:rPr>
        <w:t>8.1.2 退水对水资源的影响</w:t>
      </w:r>
    </w:p>
    <w:p w14:paraId="6537F78C">
      <w:pPr>
        <w:pStyle w:val="6"/>
        <w:numPr>
          <w:ilvl w:val="3"/>
          <w:numId w:val="0"/>
        </w:numPr>
        <w:rPr>
          <w:color w:val="auto"/>
        </w:rPr>
      </w:pPr>
      <w:r>
        <w:rPr>
          <w:color w:val="auto"/>
        </w:rPr>
        <w:t>8.1.2.1退水对</w:t>
      </w:r>
      <w:r>
        <w:rPr>
          <w:rFonts w:hint="eastAsia"/>
          <w:color w:val="auto"/>
        </w:rPr>
        <w:t>水功能区纳污能力</w:t>
      </w:r>
      <w:r>
        <w:rPr>
          <w:color w:val="auto"/>
        </w:rPr>
        <w:t>的影响</w:t>
      </w:r>
    </w:p>
    <w:p w14:paraId="27329548">
      <w:pPr>
        <w:ind w:firstLine="480"/>
        <w:rPr>
          <w:color w:val="auto"/>
        </w:rPr>
      </w:pPr>
      <w:r>
        <w:rPr>
          <w:color w:val="auto"/>
        </w:rPr>
        <w:t>（1）彩云湖污水处理厂</w:t>
      </w:r>
    </w:p>
    <w:p w14:paraId="6E9550F6">
      <w:pPr>
        <w:ind w:firstLine="480"/>
        <w:rPr>
          <w:color w:val="auto"/>
        </w:rPr>
      </w:pPr>
      <w:r>
        <w:rPr>
          <w:color w:val="auto"/>
        </w:rPr>
        <w:t>彩云湖污水处理厂排污口位于彩云湖西南侧，</w:t>
      </w:r>
      <w:r>
        <w:rPr>
          <w:rFonts w:hint="eastAsia"/>
          <w:color w:val="auto"/>
        </w:rPr>
        <w:t>根据《桃花溪流域后续污染治理（彩云湖生态补水升级改造工程）入河排污口设置论证报告》，彩云湖污水处理厂的排污影响范围主要为彩云湖水库至桃花溪入河口，涉及桃花溪干支流长度7</w:t>
      </w:r>
      <w:r>
        <w:rPr>
          <w:color w:val="auto"/>
        </w:rPr>
        <w:t>.61</w:t>
      </w:r>
      <w:r>
        <w:rPr>
          <w:rFonts w:hint="eastAsia"/>
          <w:color w:val="auto"/>
        </w:rPr>
        <w:t>km。彩云湖污水处理厂</w:t>
      </w:r>
      <w:r>
        <w:rPr>
          <w:color w:val="auto"/>
        </w:rPr>
        <w:t>退水区一级水功能区域为桃花溪开发利用区，其二级水功能区为桃花溪九龙坡景观娱乐用水区，其水质</w:t>
      </w:r>
      <w:r>
        <w:rPr>
          <w:rFonts w:hint="eastAsia"/>
          <w:color w:val="auto"/>
        </w:rPr>
        <w:t>管理</w:t>
      </w:r>
      <w:r>
        <w:rPr>
          <w:color w:val="auto"/>
        </w:rPr>
        <w:t>目标为IV类。根据《重庆市九龙坡区水功能区纳污能力核定及分阶段限制排污总量控制方案》，桃花溪的分别为COD纳污能力总量214.58t/a，NH</w:t>
      </w:r>
      <w:r>
        <w:rPr>
          <w:color w:val="auto"/>
          <w:vertAlign w:val="subscript"/>
        </w:rPr>
        <w:t>3</w:t>
      </w:r>
      <w:r>
        <w:rPr>
          <w:color w:val="auto"/>
        </w:rPr>
        <w:t>-N纳污能力总量13.52t/a。</w:t>
      </w:r>
    </w:p>
    <w:p w14:paraId="0EDED89C">
      <w:pPr>
        <w:pStyle w:val="11"/>
        <w:ind w:firstLine="480"/>
        <w:rPr>
          <w:color w:val="auto"/>
        </w:rPr>
      </w:pPr>
      <w:r>
        <w:rPr>
          <w:color w:val="auto"/>
        </w:rPr>
        <w:t>彩云湖污水处理厂的处理能力为1.7万m</w:t>
      </w:r>
      <w:r>
        <w:rPr>
          <w:color w:val="auto"/>
          <w:vertAlign w:val="superscript"/>
        </w:rPr>
        <w:t>3</w:t>
      </w:r>
      <w:r>
        <w:rPr>
          <w:color w:val="auto"/>
        </w:rPr>
        <w:t>/d，出水水质可达到《城镇污水处理厂污染物排放标准》（GB18918-2002）一级A标准，彩云湖污水处理厂排污量分别为COD310.25t，NH</w:t>
      </w:r>
      <w:r>
        <w:rPr>
          <w:color w:val="auto"/>
          <w:vertAlign w:val="subscript"/>
        </w:rPr>
        <w:t>3</w:t>
      </w:r>
      <w:r>
        <w:rPr>
          <w:color w:val="auto"/>
        </w:rPr>
        <w:t>-N31.03t。根据规划提标改造后，该污水处理厂处理规模将达到3.0万m</w:t>
      </w:r>
      <w:r>
        <w:rPr>
          <w:color w:val="auto"/>
          <w:vertAlign w:val="superscript"/>
        </w:rPr>
        <w:t>3</w:t>
      </w:r>
      <w:r>
        <w:rPr>
          <w:color w:val="auto"/>
        </w:rPr>
        <w:t>/d，其出水水质将达到《地表水环境质量标准》（GB3838-83）IV类标准，届时彩云湖污水处理厂的排污量分别为COD328.50t，NH</w:t>
      </w:r>
      <w:r>
        <w:rPr>
          <w:color w:val="auto"/>
          <w:vertAlign w:val="subscript"/>
        </w:rPr>
        <w:t>3</w:t>
      </w:r>
      <w:r>
        <w:rPr>
          <w:color w:val="auto"/>
        </w:rPr>
        <w:t>-N16.42t。</w:t>
      </w:r>
    </w:p>
    <w:p w14:paraId="3FDB57FD">
      <w:pPr>
        <w:pStyle w:val="11"/>
        <w:ind w:firstLine="480"/>
        <w:rPr>
          <w:color w:val="auto"/>
        </w:rPr>
      </w:pPr>
      <w:r>
        <w:rPr>
          <w:color w:val="auto"/>
        </w:rPr>
        <w:t>从计算结果来看，彩云湖污水处理厂的排污总量已超过桃花溪的纳污能力总量，同时桃花溪流域上游还有扬声桥污水处理厂，其设计处理能力1.2万m</w:t>
      </w:r>
      <w:r>
        <w:rPr>
          <w:color w:val="auto"/>
          <w:vertAlign w:val="superscript"/>
        </w:rPr>
        <w:t>3</w:t>
      </w:r>
      <w:r>
        <w:rPr>
          <w:color w:val="auto"/>
        </w:rPr>
        <w:t>/d。考虑到九龙工业园区A区现状为建成区，现状排污管网体系已基本成形，建议逐步提高彩云湖污水处理厂的工艺标准，降低彩云湖污水处理厂的排污总量。同时，在满足彩云湖生态补水要求的同时，逐步改造彩云湖上游城市污水管网，在有条件的情况下，将彩云湖污水处理厂服务范围内的部分生活污水接入主城排水工程截流管C线后，进入鸡冠石污水处理厂集中处理，从而减少桃花溪流域的污染物排放削减压力。</w:t>
      </w:r>
    </w:p>
    <w:p w14:paraId="27C9FED8">
      <w:pPr>
        <w:ind w:firstLine="480"/>
        <w:rPr>
          <w:color w:val="auto"/>
        </w:rPr>
      </w:pPr>
      <w:r>
        <w:rPr>
          <w:color w:val="auto"/>
        </w:rPr>
        <w:t>（2）鸡冠石污水处理厂</w:t>
      </w:r>
    </w:p>
    <w:p w14:paraId="539D68C8">
      <w:pPr>
        <w:widowControl/>
        <w:ind w:firstLine="480"/>
        <w:rPr>
          <w:color w:val="auto"/>
          <w:kern w:val="0"/>
          <w:szCs w:val="24"/>
        </w:rPr>
      </w:pPr>
      <w:r>
        <w:rPr>
          <w:color w:val="auto"/>
          <w:kern w:val="0"/>
        </w:rPr>
        <w:t>鸡冠石污水处理厂排污口位于长江右岸寸滩长江大桥下游约3.5km处，该区域一级水功能区为</w:t>
      </w:r>
      <w:r>
        <w:rPr>
          <w:color w:val="auto"/>
          <w:kern w:val="0"/>
          <w:szCs w:val="24"/>
        </w:rPr>
        <w:t>长江三峡库区重庆城区开发利用区，其二级水功能区为长江三峡水库南岸排污控制区，其水质管理目标为Ⅲ类。</w:t>
      </w:r>
    </w:p>
    <w:p w14:paraId="156CDCC4">
      <w:pPr>
        <w:ind w:firstLine="480"/>
        <w:rPr>
          <w:color w:val="auto"/>
          <w:kern w:val="0"/>
        </w:rPr>
      </w:pPr>
      <w:r>
        <w:rPr>
          <w:color w:val="auto"/>
          <w:kern w:val="0"/>
        </w:rPr>
        <w:t>根据《长江流域（片）重要江河湖泊水功能区纳污能力核定和分阶段限制排污总量控制方案》、《重庆市市级水功能区水域纳污能力及限制排污总量报告》中计算的纳污能力成果，鸡冠石污水处理厂退水涉及的</w:t>
      </w:r>
      <w:r>
        <w:rPr>
          <w:color w:val="auto"/>
        </w:rPr>
        <w:t>长江三峡水库南岸排污控制区</w:t>
      </w:r>
      <w:r>
        <w:rPr>
          <w:color w:val="auto"/>
          <w:kern w:val="0"/>
        </w:rPr>
        <w:t>COD纳污能力为3729t/a，NH</w:t>
      </w:r>
      <w:r>
        <w:rPr>
          <w:color w:val="auto"/>
          <w:kern w:val="0"/>
          <w:vertAlign w:val="subscript"/>
        </w:rPr>
        <w:t>3</w:t>
      </w:r>
      <w:r>
        <w:rPr>
          <w:color w:val="auto"/>
          <w:kern w:val="0"/>
        </w:rPr>
        <w:t>-N纳污能力为363t/a。</w:t>
      </w:r>
    </w:p>
    <w:p w14:paraId="361952FB">
      <w:pPr>
        <w:ind w:firstLine="480"/>
        <w:rPr>
          <w:color w:val="auto"/>
          <w:kern w:val="0"/>
        </w:rPr>
      </w:pPr>
      <w:r>
        <w:rPr>
          <w:color w:val="auto"/>
          <w:kern w:val="0"/>
        </w:rPr>
        <w:t>鸡冠石污水处理厂</w:t>
      </w:r>
      <w:r>
        <w:rPr>
          <w:color w:val="auto"/>
        </w:rPr>
        <w:t>出水可达到《城镇污水处理厂污染物排放标准》（GB18918-2002）一级标准A标准，</w:t>
      </w:r>
      <w:r>
        <w:rPr>
          <w:color w:val="auto"/>
          <w:kern w:val="0"/>
        </w:rPr>
        <w:t>正常排放工况下排放污染物总量COD、NH</w:t>
      </w:r>
      <w:r>
        <w:rPr>
          <w:color w:val="auto"/>
          <w:kern w:val="0"/>
          <w:vertAlign w:val="subscript"/>
        </w:rPr>
        <w:t>3</w:t>
      </w:r>
      <w:r>
        <w:rPr>
          <w:color w:val="auto"/>
          <w:kern w:val="0"/>
        </w:rPr>
        <w:t>-N分别为14600t/a、1460t/a。鸡冠石污水处理厂是重庆市主城区目前最大的城市污水处理工程，是我国西南地区目前最大的污水处理尾水发电项目，是国内首个利用污水处理后的尾水电站，是重庆市节能减排示范工程，此电站项目是利用污水处理后的尾水排放落差发电，供厂区使用，排放的部分尾水还可用于绿化、洗车、清洗道路等，为污水处理厂降低运行成本、合理利用处理出水开辟了新的领域。建议进一步提高鸡冠石污水处理厂处理工艺，同时，加强鸡冠石污水处理厂的中水回用，进一步减少鸡冠石污水处理厂退水对水功能区纳污能力的影响。</w:t>
      </w:r>
    </w:p>
    <w:p w14:paraId="104E3DA0">
      <w:pPr>
        <w:ind w:firstLine="480"/>
        <w:rPr>
          <w:color w:val="auto"/>
        </w:rPr>
      </w:pPr>
      <w:r>
        <w:rPr>
          <w:color w:val="auto"/>
        </w:rPr>
        <w:t>（3）大九污水处理厂</w:t>
      </w:r>
    </w:p>
    <w:p w14:paraId="35437E89">
      <w:pPr>
        <w:ind w:firstLine="480"/>
        <w:rPr>
          <w:color w:val="auto"/>
        </w:rPr>
      </w:pPr>
      <w:r>
        <w:rPr>
          <w:color w:val="auto"/>
        </w:rPr>
        <w:t>大九污水处理厂排污口位于南海大桥上游，</w:t>
      </w:r>
      <w:r>
        <w:rPr>
          <w:rFonts w:hint="eastAsia"/>
          <w:color w:val="auto"/>
          <w:kern w:val="0"/>
        </w:rPr>
        <w:t>根据《大九污水处理厂入河排污口设置论证报告》，大九污水处理厂在正常情况下其排污影响范围主要为大九污水处理厂跳蹬河排污口至跳蹬河长江入河排污口之间6</w:t>
      </w:r>
      <w:r>
        <w:rPr>
          <w:color w:val="auto"/>
          <w:kern w:val="0"/>
        </w:rPr>
        <w:t>.1</w:t>
      </w:r>
      <w:r>
        <w:rPr>
          <w:rFonts w:hint="eastAsia"/>
          <w:color w:val="auto"/>
          <w:kern w:val="0"/>
        </w:rPr>
        <w:t>km河道范围，</w:t>
      </w:r>
      <w:bookmarkStart w:id="89" w:name="_Hlk77674921"/>
      <w:r>
        <w:rPr>
          <w:rFonts w:hint="eastAsia"/>
          <w:color w:val="auto"/>
          <w:kern w:val="0"/>
        </w:rPr>
        <w:t>尾水进入长江后污染物迅速恢复至背景浓度</w:t>
      </w:r>
      <w:bookmarkEnd w:id="89"/>
      <w:r>
        <w:rPr>
          <w:rFonts w:hint="eastAsia"/>
          <w:color w:val="auto"/>
          <w:kern w:val="0"/>
        </w:rPr>
        <w:t>。</w:t>
      </w:r>
      <w:r>
        <w:rPr>
          <w:rFonts w:hint="eastAsia"/>
          <w:color w:val="auto"/>
        </w:rPr>
        <w:t>大九污水处理厂退水区</w:t>
      </w:r>
      <w:r>
        <w:rPr>
          <w:color w:val="auto"/>
        </w:rPr>
        <w:t>一级水功能区属跳蹬河大渡口开发利用区，二级水功能区划属跳磴河大渡口景观娱乐用水区，其水质管理目标为IV类。</w:t>
      </w:r>
    </w:p>
    <w:p w14:paraId="3F523E5E">
      <w:pPr>
        <w:ind w:firstLine="480"/>
        <w:rPr>
          <w:color w:val="auto"/>
          <w:kern w:val="0"/>
        </w:rPr>
      </w:pPr>
      <w:r>
        <w:rPr>
          <w:color w:val="auto"/>
        </w:rPr>
        <w:t>大九污水处理厂出水可达到《城镇污水处理厂污染物排放标准》（GB18918-2002）一级标准A标准，</w:t>
      </w:r>
      <w:r>
        <w:rPr>
          <w:color w:val="auto"/>
          <w:kern w:val="0"/>
        </w:rPr>
        <w:t>大九污水处理厂正常排放工况下排放污染物总量COD、NH</w:t>
      </w:r>
      <w:r>
        <w:rPr>
          <w:color w:val="auto"/>
          <w:kern w:val="0"/>
          <w:vertAlign w:val="subscript"/>
        </w:rPr>
        <w:t>3</w:t>
      </w:r>
      <w:r>
        <w:rPr>
          <w:color w:val="auto"/>
          <w:kern w:val="0"/>
        </w:rPr>
        <w:t>-N分别为1277.5t/a、127.8t/a</w:t>
      </w:r>
      <w:r>
        <w:rPr>
          <w:rFonts w:hint="eastAsia"/>
          <w:color w:val="auto"/>
          <w:kern w:val="0"/>
        </w:rPr>
        <w:t>。</w:t>
      </w:r>
      <w:r>
        <w:rPr>
          <w:color w:val="auto"/>
        </w:rPr>
        <w:t>根据《重庆市大渡口区水功能区纳污能力核定及分阶段限制排污总量控制方案》，大九污水处理厂退水涉及的大渡口景观娱乐用水区</w:t>
      </w:r>
      <w:r>
        <w:rPr>
          <w:color w:val="auto"/>
          <w:kern w:val="0"/>
        </w:rPr>
        <w:t>COD纳污能力为53.17t/a，NH</w:t>
      </w:r>
      <w:r>
        <w:rPr>
          <w:color w:val="auto"/>
          <w:kern w:val="0"/>
          <w:vertAlign w:val="subscript"/>
        </w:rPr>
        <w:t>3</w:t>
      </w:r>
      <w:r>
        <w:rPr>
          <w:color w:val="auto"/>
          <w:kern w:val="0"/>
        </w:rPr>
        <w:t>-N纳污能力为3.15t/a。</w:t>
      </w:r>
      <w:r>
        <w:rPr>
          <w:color w:val="auto"/>
        </w:rPr>
        <w:t>大九污水处理厂是大渡口区及九龙园区重要的污水处理设施，对于减少跳蹬河流域沿线污水排放具有重要作用，建议在有条件的情况下，进一步提升该污水处理厂处理工艺，并加强中水回用，以减少大九污水处理厂退水对水功能区纳污能力的影响。</w:t>
      </w:r>
    </w:p>
    <w:p w14:paraId="5632A615">
      <w:pPr>
        <w:ind w:firstLine="480"/>
        <w:rPr>
          <w:color w:val="auto"/>
        </w:rPr>
      </w:pPr>
      <w:r>
        <w:rPr>
          <w:color w:val="auto"/>
        </w:rPr>
        <w:t>（4）九龙园区B3区污水处理厂</w:t>
      </w:r>
    </w:p>
    <w:p w14:paraId="1B92227A">
      <w:pPr>
        <w:ind w:firstLine="480"/>
        <w:rPr>
          <w:color w:val="auto"/>
        </w:rPr>
      </w:pPr>
      <w:r>
        <w:rPr>
          <w:color w:val="auto"/>
        </w:rPr>
        <w:t>九龙园区B3区污水处理厂排污口位于九龙坡区华岩镇西站村岩头湾响水沟河口上游350m处，排污响水沟后，再汇入石林河支流，最后汇入跳蹬河。响水沟及石林河现状未进行水功能区划分，其汇入跳磴河位于跳磴河大渡口景观娱乐用水区，其水质管理目标为IV类。</w:t>
      </w:r>
    </w:p>
    <w:p w14:paraId="70159713">
      <w:pPr>
        <w:ind w:firstLine="480"/>
        <w:rPr>
          <w:color w:val="auto"/>
        </w:rPr>
      </w:pPr>
      <w:r>
        <w:rPr>
          <w:color w:val="auto"/>
        </w:rPr>
        <w:t>九龙园区B3区污水处理厂排放标准执行地表水考核Ⅳ类水质标准，根据《九龙园区B3区污水处理设施工程入河排污口设置论证报告》，石林支流水域COD纳污能力为31.56t/a，氨氮纳污能力为2.12t/a。九龙园区B3区污水处理厂设计</w:t>
      </w:r>
      <w:r>
        <w:rPr>
          <w:color w:val="auto"/>
          <w:kern w:val="0"/>
        </w:rPr>
        <w:t>COD、NH</w:t>
      </w:r>
      <w:r>
        <w:rPr>
          <w:color w:val="auto"/>
          <w:kern w:val="0"/>
          <w:vertAlign w:val="subscript"/>
        </w:rPr>
        <w:t>3</w:t>
      </w:r>
      <w:r>
        <w:rPr>
          <w:color w:val="auto"/>
          <w:kern w:val="0"/>
        </w:rPr>
        <w:t>-N</w:t>
      </w:r>
      <w:r>
        <w:rPr>
          <w:color w:val="auto"/>
        </w:rPr>
        <w:t>排放量</w:t>
      </w:r>
      <w:r>
        <w:rPr>
          <w:color w:val="auto"/>
          <w:kern w:val="0"/>
        </w:rPr>
        <w:t>分别为27.38t/a、1.37t/a，石林河流域吴其他排污口，该污水处理厂设计排放量未超过石林河的纳污能力，不会对水功能区纳污能力产生影响。</w:t>
      </w:r>
    </w:p>
    <w:p w14:paraId="67518FDD">
      <w:pPr>
        <w:ind w:firstLine="480"/>
        <w:rPr>
          <w:color w:val="auto"/>
        </w:rPr>
      </w:pPr>
      <w:r>
        <w:rPr>
          <w:color w:val="auto"/>
        </w:rPr>
        <w:t>（5）陶家生活污水处理厂</w:t>
      </w:r>
    </w:p>
    <w:p w14:paraId="22ABE200">
      <w:pPr>
        <w:ind w:firstLine="480"/>
        <w:rPr>
          <w:color w:val="auto"/>
          <w:kern w:val="0"/>
        </w:rPr>
      </w:pPr>
      <w:r>
        <w:rPr>
          <w:color w:val="auto"/>
          <w:kern w:val="0"/>
        </w:rPr>
        <w:t>陶家生活污水处理厂排污口位于陶家生活污水处理厂东侧边界，</w:t>
      </w:r>
      <w:r>
        <w:rPr>
          <w:rFonts w:hint="eastAsia"/>
          <w:color w:val="auto"/>
          <w:kern w:val="0"/>
        </w:rPr>
        <w:t>根据《陶家生活污水处理厂</w:t>
      </w:r>
      <w:r>
        <w:rPr>
          <w:color w:val="auto"/>
        </w:rPr>
        <w:t>入河排污口设置论证报告</w:t>
      </w:r>
      <w:r>
        <w:rPr>
          <w:rFonts w:hint="eastAsia"/>
          <w:color w:val="auto"/>
          <w:kern w:val="0"/>
        </w:rPr>
        <w:t>》，陶家生活污水处理厂的排污影响范围主要为陶家生活污水处理厂大溪河排污口下游6</w:t>
      </w:r>
      <w:r>
        <w:rPr>
          <w:color w:val="auto"/>
          <w:kern w:val="0"/>
        </w:rPr>
        <w:t>.2</w:t>
      </w:r>
      <w:r>
        <w:rPr>
          <w:rFonts w:hint="eastAsia"/>
          <w:color w:val="auto"/>
          <w:kern w:val="0"/>
        </w:rPr>
        <w:t>km河道范围。</w:t>
      </w:r>
      <w:r>
        <w:rPr>
          <w:color w:val="auto"/>
          <w:kern w:val="0"/>
        </w:rPr>
        <w:t>其</w:t>
      </w:r>
      <w:r>
        <w:rPr>
          <w:rFonts w:hint="eastAsia"/>
          <w:color w:val="auto"/>
          <w:kern w:val="0"/>
        </w:rPr>
        <w:t>退水区域所</w:t>
      </w:r>
      <w:r>
        <w:rPr>
          <w:color w:val="auto"/>
          <w:kern w:val="0"/>
        </w:rPr>
        <w:t>在一级水功能区为大溪河九龙坡开发利用区，二级水功能区为大溪河</w:t>
      </w:r>
      <w:r>
        <w:rPr>
          <w:rFonts w:hint="eastAsia"/>
          <w:color w:val="auto"/>
          <w:kern w:val="0"/>
        </w:rPr>
        <w:t>景观娱乐</w:t>
      </w:r>
      <w:r>
        <w:rPr>
          <w:color w:val="auto"/>
          <w:kern w:val="0"/>
        </w:rPr>
        <w:t>用水区。</w:t>
      </w:r>
    </w:p>
    <w:p w14:paraId="6F593053">
      <w:pPr>
        <w:ind w:firstLine="480"/>
        <w:rPr>
          <w:color w:val="auto"/>
          <w:kern w:val="0"/>
        </w:rPr>
      </w:pPr>
      <w:r>
        <w:rPr>
          <w:color w:val="auto"/>
          <w:kern w:val="0"/>
        </w:rPr>
        <w:t>根据</w:t>
      </w:r>
      <w:r>
        <w:rPr>
          <w:color w:val="auto"/>
        </w:rPr>
        <w:t>《重庆市九龙坡区水功能区纳污能力核定及分阶段限制排污总量控制方案》，陶家生活污水处理厂退水涉及的</w:t>
      </w:r>
      <w:r>
        <w:rPr>
          <w:rFonts w:hint="eastAsia"/>
          <w:color w:val="auto"/>
        </w:rPr>
        <w:t>水功能区主要为大溪河</w:t>
      </w:r>
      <w:r>
        <w:rPr>
          <w:color w:val="auto"/>
        </w:rPr>
        <w:t>景观娱乐用水区</w:t>
      </w:r>
      <w:r>
        <w:rPr>
          <w:color w:val="auto"/>
          <w:kern w:val="0"/>
        </w:rPr>
        <w:t>COD纳污能力为232.99t/a，NH</w:t>
      </w:r>
      <w:r>
        <w:rPr>
          <w:color w:val="auto"/>
          <w:kern w:val="0"/>
          <w:vertAlign w:val="subscript"/>
        </w:rPr>
        <w:t>3</w:t>
      </w:r>
      <w:r>
        <w:rPr>
          <w:color w:val="auto"/>
          <w:kern w:val="0"/>
        </w:rPr>
        <w:t>-N纳污能力为13.85t/a。陶家生活污水处理厂</w:t>
      </w:r>
      <w:r>
        <w:rPr>
          <w:color w:val="auto"/>
        </w:rPr>
        <w:t>出水可达到《城镇污水处理厂污染物排放标准》（GB18918-2002）一级A标准，其</w:t>
      </w:r>
      <w:r>
        <w:rPr>
          <w:color w:val="auto"/>
          <w:kern w:val="0"/>
        </w:rPr>
        <w:t>设计近期COD排放量为365t/a，NH</w:t>
      </w:r>
      <w:r>
        <w:rPr>
          <w:color w:val="auto"/>
          <w:kern w:val="0"/>
          <w:vertAlign w:val="subscript"/>
        </w:rPr>
        <w:t>3</w:t>
      </w:r>
      <w:r>
        <w:rPr>
          <w:color w:val="auto"/>
          <w:kern w:val="0"/>
        </w:rPr>
        <w:t>-N排放量为36.5t/a，远期COD排放量为730t/a，NH</w:t>
      </w:r>
      <w:r>
        <w:rPr>
          <w:color w:val="auto"/>
          <w:kern w:val="0"/>
          <w:vertAlign w:val="subscript"/>
        </w:rPr>
        <w:t>3</w:t>
      </w:r>
      <w:r>
        <w:rPr>
          <w:color w:val="auto"/>
          <w:kern w:val="0"/>
        </w:rPr>
        <w:t>-N排放量为73t/a。陶家生活污水处理厂的建设属于《大溪河流域水环境综合整治规划》中的一部分，工程建设后大幅减轻大溪河流域污染负荷，考虑到大溪河的纳污能力，建议</w:t>
      </w:r>
      <w:r>
        <w:rPr>
          <w:color w:val="auto"/>
        </w:rPr>
        <w:t>进一步提升该污水处理厂处理工艺，并加强中水回用，以减少陶家生活污水处理厂退水对水功能区纳污能力的影响。</w:t>
      </w:r>
    </w:p>
    <w:p w14:paraId="5F94B6C5">
      <w:pPr>
        <w:ind w:firstLine="480"/>
        <w:rPr>
          <w:color w:val="auto"/>
          <w:kern w:val="0"/>
        </w:rPr>
      </w:pPr>
      <w:r>
        <w:rPr>
          <w:color w:val="auto"/>
          <w:kern w:val="0"/>
        </w:rPr>
        <w:t>（6）九龙园区L分区污水处理厂</w:t>
      </w:r>
    </w:p>
    <w:p w14:paraId="702E64FC">
      <w:pPr>
        <w:ind w:firstLine="480"/>
        <w:rPr>
          <w:color w:val="auto"/>
          <w:kern w:val="0"/>
        </w:rPr>
      </w:pPr>
      <w:r>
        <w:rPr>
          <w:color w:val="auto"/>
        </w:rPr>
        <w:t>规划建设的九龙园区L分区污水处理厂</w:t>
      </w:r>
      <w:r>
        <w:rPr>
          <w:color w:val="auto"/>
          <w:szCs w:val="24"/>
        </w:rPr>
        <w:t>（陶家工业污水处理厂）</w:t>
      </w:r>
      <w:r>
        <w:rPr>
          <w:color w:val="auto"/>
        </w:rPr>
        <w:t>排污口位于大溪河支流杨柳曲河汇合口上游100m处，</w:t>
      </w:r>
      <w:r>
        <w:rPr>
          <w:rFonts w:hint="eastAsia"/>
          <w:color w:val="auto"/>
        </w:rPr>
        <w:t>根据《重庆市九龙园区L分区污水处理厂入河排污口设置论证报告》及《重庆市九龙工业园区 C 区规划补充环境影响报告书》，</w:t>
      </w:r>
      <w:r>
        <w:rPr>
          <w:color w:val="auto"/>
          <w:kern w:val="0"/>
        </w:rPr>
        <w:t>九龙园区C区L分区</w:t>
      </w:r>
      <w:r>
        <w:rPr>
          <w:rFonts w:hint="eastAsia"/>
          <w:color w:val="auto"/>
          <w:kern w:val="0"/>
        </w:rPr>
        <w:t>污水处理厂排污影响范围主要为该污水处理厂杨柳曲河排污口至大溪河入河口之间4</w:t>
      </w:r>
      <w:r>
        <w:rPr>
          <w:color w:val="auto"/>
          <w:kern w:val="0"/>
        </w:rPr>
        <w:t>.6</w:t>
      </w:r>
      <w:r>
        <w:rPr>
          <w:rFonts w:hint="eastAsia"/>
          <w:color w:val="auto"/>
          <w:kern w:val="0"/>
        </w:rPr>
        <w:t>km河道范围，尾水进入长江后对长江水质影响极小。</w:t>
      </w:r>
      <w:r>
        <w:rPr>
          <w:color w:val="auto"/>
        </w:rPr>
        <w:t>其排污</w:t>
      </w:r>
      <w:r>
        <w:rPr>
          <w:rFonts w:hint="eastAsia"/>
          <w:color w:val="auto"/>
        </w:rPr>
        <w:t>口</w:t>
      </w:r>
      <w:r>
        <w:rPr>
          <w:color w:val="auto"/>
        </w:rPr>
        <w:t>所在一级水功能区为</w:t>
      </w:r>
      <w:r>
        <w:rPr>
          <w:color w:val="auto"/>
          <w:kern w:val="0"/>
        </w:rPr>
        <w:t>大溪河九龙坡开发利用区，二级水功能区为大溪河</w:t>
      </w:r>
      <w:r>
        <w:rPr>
          <w:rFonts w:hint="eastAsia"/>
          <w:color w:val="auto"/>
          <w:kern w:val="0"/>
        </w:rPr>
        <w:t>景观娱乐用水区</w:t>
      </w:r>
      <w:r>
        <w:rPr>
          <w:color w:val="auto"/>
          <w:kern w:val="0"/>
        </w:rPr>
        <w:t>。根据</w:t>
      </w:r>
      <w:r>
        <w:rPr>
          <w:color w:val="auto"/>
        </w:rPr>
        <w:t>《重庆市九龙坡区水功能区纳污能力核定及分阶段限制排污总量控制方案》，陶家生活污水处理厂退水涉及的</w:t>
      </w:r>
      <w:r>
        <w:rPr>
          <w:rFonts w:hint="eastAsia"/>
          <w:color w:val="auto"/>
        </w:rPr>
        <w:t>大溪河</w:t>
      </w:r>
      <w:r>
        <w:rPr>
          <w:color w:val="auto"/>
        </w:rPr>
        <w:t>景观娱乐用水区</w:t>
      </w:r>
      <w:r>
        <w:rPr>
          <w:color w:val="auto"/>
          <w:kern w:val="0"/>
        </w:rPr>
        <w:t>COD纳污能力为232.99t/a，NH</w:t>
      </w:r>
      <w:r>
        <w:rPr>
          <w:color w:val="auto"/>
          <w:kern w:val="0"/>
          <w:vertAlign w:val="subscript"/>
        </w:rPr>
        <w:t>3</w:t>
      </w:r>
      <w:r>
        <w:rPr>
          <w:color w:val="auto"/>
          <w:kern w:val="0"/>
        </w:rPr>
        <w:t>-N纳污能力为13.85t/a。</w:t>
      </w:r>
    </w:p>
    <w:p w14:paraId="21472D02">
      <w:pPr>
        <w:ind w:firstLine="480"/>
        <w:rPr>
          <w:color w:val="auto"/>
          <w:kern w:val="0"/>
        </w:rPr>
      </w:pPr>
      <w:r>
        <w:rPr>
          <w:color w:val="auto"/>
        </w:rPr>
        <w:t>规划建设的九龙园区L分区污水处理厂</w:t>
      </w:r>
      <w:r>
        <w:rPr>
          <w:color w:val="auto"/>
          <w:szCs w:val="24"/>
        </w:rPr>
        <w:t>（陶家工业污水处理厂）设计出水COD、NH</w:t>
      </w:r>
      <w:r>
        <w:rPr>
          <w:color w:val="auto"/>
          <w:szCs w:val="24"/>
          <w:vertAlign w:val="subscript"/>
        </w:rPr>
        <w:t>3</w:t>
      </w:r>
      <w:r>
        <w:rPr>
          <w:color w:val="auto"/>
          <w:szCs w:val="24"/>
        </w:rPr>
        <w:t>-N、总磷等主要指标处理达《地表水环境质量标准》（GB3838-2002）IV类标准，其余指标达《城镇污水处理厂污染物排放标准》（GB18918-2002）一级A标准</w:t>
      </w:r>
      <w:r>
        <w:rPr>
          <w:rFonts w:hint="eastAsia"/>
          <w:color w:val="auto"/>
          <w:szCs w:val="24"/>
        </w:rPr>
        <w:t>，</w:t>
      </w:r>
      <w:r>
        <w:rPr>
          <w:color w:val="auto"/>
        </w:rPr>
        <w:t>该污水处理厂设计</w:t>
      </w:r>
      <w:r>
        <w:rPr>
          <w:color w:val="auto"/>
          <w:kern w:val="0"/>
        </w:rPr>
        <w:t>COD、NH</w:t>
      </w:r>
      <w:r>
        <w:rPr>
          <w:color w:val="auto"/>
          <w:kern w:val="0"/>
          <w:vertAlign w:val="subscript"/>
        </w:rPr>
        <w:t>3</w:t>
      </w:r>
      <w:r>
        <w:rPr>
          <w:color w:val="auto"/>
          <w:kern w:val="0"/>
        </w:rPr>
        <w:t>-N</w:t>
      </w:r>
      <w:r>
        <w:rPr>
          <w:color w:val="auto"/>
        </w:rPr>
        <w:t>排放量</w:t>
      </w:r>
      <w:r>
        <w:rPr>
          <w:color w:val="auto"/>
          <w:kern w:val="0"/>
        </w:rPr>
        <w:t>分别为109.5t/a、5.47t/a</w:t>
      </w:r>
      <w:r>
        <w:rPr>
          <w:color w:val="auto"/>
        </w:rPr>
        <w:t>。</w:t>
      </w:r>
      <w:r>
        <w:rPr>
          <w:color w:val="auto"/>
          <w:kern w:val="0"/>
        </w:rPr>
        <w:t>本工程建设后，大幅度减少了未来九龙园区C区L分区工业污水给大溪河带来的污染负荷，对于提升大溪河水功能区水质具有积极作用，考虑到大溪河水体的纳污能力，建议该污水处理厂建设完成后，加强中水回用，以减少项目退水对水功能区纳污能力产生的影响。</w:t>
      </w:r>
    </w:p>
    <w:p w14:paraId="6577494F">
      <w:pPr>
        <w:pStyle w:val="6"/>
        <w:numPr>
          <w:ilvl w:val="3"/>
          <w:numId w:val="0"/>
        </w:numPr>
        <w:rPr>
          <w:color w:val="auto"/>
        </w:rPr>
      </w:pPr>
      <w:r>
        <w:rPr>
          <w:color w:val="auto"/>
        </w:rPr>
        <w:t>8.1.2.2退水对水质的影响</w:t>
      </w:r>
    </w:p>
    <w:p w14:paraId="413F7C18">
      <w:pPr>
        <w:adjustRightInd w:val="0"/>
        <w:snapToGrid w:val="0"/>
        <w:ind w:firstLine="480"/>
        <w:textAlignment w:val="center"/>
        <w:rPr>
          <w:color w:val="auto"/>
        </w:rPr>
      </w:pPr>
      <w:r>
        <w:rPr>
          <w:color w:val="auto"/>
        </w:rPr>
        <w:t>从九龙工业园区涉及的6处污水处理厂退水情况来看，各污水处理厂出水均可达到《城镇污水处理厂污染物排放标准》（GB18918-2002）一级A标准，九龙园区B3区污水处理厂排放标准执行</w:t>
      </w:r>
      <w:r>
        <w:rPr>
          <w:color w:val="auto"/>
          <w:szCs w:val="24"/>
        </w:rPr>
        <w:t>《地表水环境质量标准》（GB3838-2002）IV类标准</w:t>
      </w:r>
      <w:r>
        <w:rPr>
          <w:color w:val="auto"/>
        </w:rPr>
        <w:t>，</w:t>
      </w:r>
      <w:r>
        <w:rPr>
          <w:color w:val="auto"/>
          <w:kern w:val="0"/>
        </w:rPr>
        <w:t>九龙园区L分区污水处理厂</w:t>
      </w:r>
      <w:r>
        <w:rPr>
          <w:color w:val="auto"/>
          <w:szCs w:val="24"/>
        </w:rPr>
        <w:t>设计出水COD、NH</w:t>
      </w:r>
      <w:r>
        <w:rPr>
          <w:color w:val="auto"/>
          <w:szCs w:val="24"/>
          <w:vertAlign w:val="subscript"/>
        </w:rPr>
        <w:t>3</w:t>
      </w:r>
      <w:r>
        <w:rPr>
          <w:color w:val="auto"/>
          <w:szCs w:val="24"/>
        </w:rPr>
        <w:t>-N、总磷等主要指标处理达《地表水环境质量标准》（GB3838-2002）IV类标准，其余指标达《城镇污水处理厂污染物排放标准》（GB18918-2002）一级A标准</w:t>
      </w:r>
      <w:r>
        <w:rPr>
          <w:color w:val="auto"/>
        </w:rPr>
        <w:t>。九龙工业园区规划区内的污水经各污水处理厂处理后，主要污染物去除率均达到90%以上，正常排放工况下，各污水处理厂外排废污水中COD和NH</w:t>
      </w:r>
      <w:r>
        <w:rPr>
          <w:color w:val="auto"/>
          <w:vertAlign w:val="subscript"/>
        </w:rPr>
        <w:t>3</w:t>
      </w:r>
      <w:r>
        <w:rPr>
          <w:color w:val="auto"/>
        </w:rPr>
        <w:t>-N在排污口下游均未形成污染带，影响范围较小。</w:t>
      </w:r>
    </w:p>
    <w:p w14:paraId="0BD43A7C">
      <w:pPr>
        <w:adjustRightInd w:val="0"/>
        <w:snapToGrid w:val="0"/>
        <w:ind w:firstLine="480"/>
        <w:textAlignment w:val="center"/>
        <w:rPr>
          <w:color w:val="auto"/>
        </w:rPr>
      </w:pPr>
      <w:r>
        <w:rPr>
          <w:color w:val="auto"/>
        </w:rPr>
        <w:t>综上，本规划实施后，废污水处理后所含有污染物外排，</w:t>
      </w:r>
      <w:r>
        <w:rPr>
          <w:color w:val="auto"/>
          <w:spacing w:val="10"/>
        </w:rPr>
        <w:t>对水功能区水质将无明显不利影响</w:t>
      </w:r>
      <w:r>
        <w:rPr>
          <w:color w:val="auto"/>
        </w:rPr>
        <w:t>。</w:t>
      </w:r>
    </w:p>
    <w:p w14:paraId="1E1FE20F">
      <w:pPr>
        <w:pStyle w:val="4"/>
        <w:numPr>
          <w:ilvl w:val="1"/>
          <w:numId w:val="0"/>
        </w:numPr>
        <w:spacing w:before="166" w:after="166"/>
        <w:rPr>
          <w:color w:val="auto"/>
        </w:rPr>
      </w:pPr>
      <w:bookmarkStart w:id="90" w:name="_Toc1625"/>
      <w:bookmarkStart w:id="91" w:name="_Toc28569"/>
      <w:r>
        <w:rPr>
          <w:color w:val="auto"/>
        </w:rPr>
        <w:t>8.2对水生态的影响</w:t>
      </w:r>
      <w:bookmarkEnd w:id="90"/>
      <w:bookmarkEnd w:id="91"/>
    </w:p>
    <w:p w14:paraId="27200C1D">
      <w:pPr>
        <w:pStyle w:val="5"/>
        <w:numPr>
          <w:ilvl w:val="0"/>
          <w:numId w:val="0"/>
        </w:numPr>
        <w:spacing w:before="166" w:after="166"/>
        <w:rPr>
          <w:color w:val="auto"/>
        </w:rPr>
      </w:pPr>
      <w:r>
        <w:rPr>
          <w:color w:val="auto"/>
        </w:rPr>
        <w:t>8.2.1 取水对水生态的影响</w:t>
      </w:r>
    </w:p>
    <w:p w14:paraId="16E012B2">
      <w:pPr>
        <w:ind w:firstLine="480"/>
        <w:rPr>
          <w:color w:val="auto"/>
          <w:szCs w:val="24"/>
        </w:rPr>
      </w:pPr>
      <w:r>
        <w:rPr>
          <w:color w:val="auto"/>
          <w:szCs w:val="24"/>
        </w:rPr>
        <w:t>在水利部颁布的《建设项目水资源论证导则》（SL322-2013）中，对于河流生态基流有如下要求：“关于河流生态水量的基本要求，不低于多年平均流量的10%，枯水时段应不低于同期流量均值的20%”。</w:t>
      </w:r>
    </w:p>
    <w:p w14:paraId="1B831148">
      <w:pPr>
        <w:ind w:firstLine="480"/>
        <w:rPr>
          <w:color w:val="auto"/>
        </w:rPr>
      </w:pPr>
      <w:r>
        <w:rPr>
          <w:color w:val="auto"/>
        </w:rPr>
        <w:t>和尚山水厂、丰收坝水厂和西彭水厂的取水水源为长江，3座水厂的取水水源均餐草朱沱水文站进行分析，并且都是直接采用的朱沱水文站的来水量作为取水口的来水量的。因此本次将3座水厂总的取水流量与来水量进行对比分析。和尚山水厂取水工程取水流量为4.25m</w:t>
      </w:r>
      <w:r>
        <w:rPr>
          <w:color w:val="auto"/>
          <w:vertAlign w:val="superscript"/>
        </w:rPr>
        <w:t>3</w:t>
      </w:r>
      <w:r>
        <w:rPr>
          <w:color w:val="auto"/>
        </w:rPr>
        <w:t>/s，丰收坝水厂取水工程取水流量为4.86m</w:t>
      </w:r>
      <w:r>
        <w:rPr>
          <w:color w:val="auto"/>
          <w:vertAlign w:val="superscript"/>
        </w:rPr>
        <w:t>3</w:t>
      </w:r>
      <w:r>
        <w:rPr>
          <w:color w:val="auto"/>
        </w:rPr>
        <w:t>/s，西彭水厂水源为渝西水资源配套工程，取水流量为28.6m</w:t>
      </w:r>
      <w:r>
        <w:rPr>
          <w:color w:val="auto"/>
          <w:vertAlign w:val="superscript"/>
        </w:rPr>
        <w:t>3</w:t>
      </w:r>
      <w:r>
        <w:rPr>
          <w:color w:val="auto"/>
        </w:rPr>
        <w:t>/s。因此九龙工业园区涉及的3座水厂的水源工程的总的取水流量为37.71m</w:t>
      </w:r>
      <w:r>
        <w:rPr>
          <w:color w:val="auto"/>
          <w:vertAlign w:val="superscript"/>
        </w:rPr>
        <w:t>3</w:t>
      </w:r>
      <w:r>
        <w:rPr>
          <w:color w:val="auto"/>
        </w:rPr>
        <w:t>/s。</w:t>
      </w:r>
    </w:p>
    <w:p w14:paraId="1D8DC4DE">
      <w:pPr>
        <w:ind w:firstLine="480"/>
        <w:rPr>
          <w:color w:val="auto"/>
        </w:rPr>
      </w:pPr>
      <w:r>
        <w:rPr>
          <w:color w:val="auto"/>
          <w:szCs w:val="24"/>
        </w:rPr>
        <w:t>取水口处多年平均流量为8360m</w:t>
      </w:r>
      <w:r>
        <w:rPr>
          <w:color w:val="auto"/>
          <w:szCs w:val="24"/>
          <w:vertAlign w:val="superscript"/>
        </w:rPr>
        <w:t>3</w:t>
      </w:r>
      <w:r>
        <w:rPr>
          <w:color w:val="auto"/>
          <w:szCs w:val="24"/>
        </w:rPr>
        <w:t>/s，</w:t>
      </w:r>
      <w:r>
        <w:rPr>
          <w:color w:val="auto"/>
        </w:rPr>
        <w:t>2025年最大取水流量为37.71m</w:t>
      </w:r>
      <w:r>
        <w:rPr>
          <w:color w:val="auto"/>
          <w:vertAlign w:val="superscript"/>
        </w:rPr>
        <w:t>3</w:t>
      </w:r>
      <w:r>
        <w:rPr>
          <w:color w:val="auto"/>
        </w:rPr>
        <w:t>/s</w:t>
      </w:r>
      <w:r>
        <w:rPr>
          <w:color w:val="auto"/>
          <w:szCs w:val="24"/>
        </w:rPr>
        <w:t>，取水后流量为8322.29m</w:t>
      </w:r>
      <w:r>
        <w:rPr>
          <w:color w:val="auto"/>
          <w:szCs w:val="24"/>
          <w:vertAlign w:val="superscript"/>
        </w:rPr>
        <w:t>3</w:t>
      </w:r>
      <w:r>
        <w:rPr>
          <w:color w:val="auto"/>
          <w:szCs w:val="24"/>
        </w:rPr>
        <w:t>/s，占多年平均流量的99.54%，远大于《建设项目水资源论证导则》（SL322-2013）对于河流生态基流在不低于多年平均流量10%的要求；取水口处最枯月平均流量2750m</w:t>
      </w:r>
      <w:r>
        <w:rPr>
          <w:color w:val="auto"/>
          <w:szCs w:val="24"/>
          <w:vertAlign w:val="superscript"/>
        </w:rPr>
        <w:t>3</w:t>
      </w:r>
      <w:r>
        <w:rPr>
          <w:color w:val="auto"/>
          <w:szCs w:val="24"/>
        </w:rPr>
        <w:t>/s，</w:t>
      </w:r>
      <w:r>
        <w:rPr>
          <w:color w:val="auto"/>
        </w:rPr>
        <w:t>2025年最大取水流量为37.71m</w:t>
      </w:r>
      <w:r>
        <w:rPr>
          <w:color w:val="auto"/>
          <w:vertAlign w:val="superscript"/>
        </w:rPr>
        <w:t>3</w:t>
      </w:r>
      <w:r>
        <w:rPr>
          <w:color w:val="auto"/>
        </w:rPr>
        <w:t>/s</w:t>
      </w:r>
      <w:r>
        <w:rPr>
          <w:color w:val="auto"/>
          <w:szCs w:val="24"/>
        </w:rPr>
        <w:t>，工程取水后流量为2712.29m</w:t>
      </w:r>
      <w:r>
        <w:rPr>
          <w:color w:val="auto"/>
          <w:szCs w:val="24"/>
          <w:vertAlign w:val="superscript"/>
        </w:rPr>
        <w:t>3</w:t>
      </w:r>
      <w:r>
        <w:rPr>
          <w:color w:val="auto"/>
          <w:szCs w:val="24"/>
        </w:rPr>
        <w:t>/s，占最枯月平均流量的98.63%，远大于《建设项目水资源论证导则》（SL322-2013）对于河流生态基流在枯水时段应不低于同期流量均值的20%。</w:t>
      </w:r>
      <w:r>
        <w:rPr>
          <w:color w:val="auto"/>
        </w:rPr>
        <w:t>所以本次工程取水后流量能满足下游河流生态需水的要求。另外，三峡电站蓄水后，通过三峡枯水期高水位运行，回水到达取水口上游，因此，下游生态用水量基本不受到影响。</w:t>
      </w:r>
    </w:p>
    <w:p w14:paraId="0A5EB948">
      <w:pPr>
        <w:ind w:firstLine="480"/>
        <w:rPr>
          <w:color w:val="auto"/>
        </w:rPr>
      </w:pPr>
      <w:r>
        <w:rPr>
          <w:color w:val="auto"/>
        </w:rPr>
        <w:t>水厂取水口下游不涉及到鱼类保护区和“三场”（产卵场、索饵场、越冬场），取水不会破坏生态系统和生态过程的完整性及生物多样性，不改变保护区性质和主要保护对象。</w:t>
      </w:r>
    </w:p>
    <w:p w14:paraId="63B29C6A">
      <w:pPr>
        <w:ind w:firstLine="480"/>
        <w:rPr>
          <w:color w:val="auto"/>
        </w:rPr>
      </w:pPr>
      <w:r>
        <w:rPr>
          <w:color w:val="auto"/>
        </w:rPr>
        <w:t>由于水厂均已运行多年，运行期间未发生对水生态造成影响的事件，因此项目取水对区域生态环境的影响很小。</w:t>
      </w:r>
    </w:p>
    <w:p w14:paraId="066EAB74">
      <w:pPr>
        <w:pStyle w:val="5"/>
        <w:numPr>
          <w:ilvl w:val="0"/>
          <w:numId w:val="0"/>
        </w:numPr>
        <w:spacing w:before="166" w:after="166"/>
        <w:rPr>
          <w:color w:val="auto"/>
        </w:rPr>
      </w:pPr>
      <w:r>
        <w:rPr>
          <w:color w:val="auto"/>
        </w:rPr>
        <w:t>8.2.2 退水对水生态的影响</w:t>
      </w:r>
    </w:p>
    <w:p w14:paraId="0FF9BEC1">
      <w:pPr>
        <w:pStyle w:val="6"/>
        <w:numPr>
          <w:ilvl w:val="3"/>
          <w:numId w:val="0"/>
        </w:numPr>
        <w:rPr>
          <w:color w:val="auto"/>
        </w:rPr>
      </w:pPr>
      <w:r>
        <w:rPr>
          <w:color w:val="auto"/>
        </w:rPr>
        <w:t>8.2.2.1对鱼类的影响分析</w:t>
      </w:r>
    </w:p>
    <w:p w14:paraId="2C01E804">
      <w:pPr>
        <w:ind w:firstLine="480"/>
        <w:rPr>
          <w:color w:val="auto"/>
        </w:rPr>
      </w:pPr>
      <w:r>
        <w:rPr>
          <w:color w:val="auto"/>
        </w:rPr>
        <w:t>工业园区涉及排污口排水量占长江、跳蹬河、大溪河枯水期流量比重较小，并且通过提标改造，水污染物削减可使河段中COD、NH3-N等污染物的浓度在一定程度上有所降低，污染物的削减对长江、跳蹬河、大溪河水质起到一定的改善作用，对环境呈现正面效应。</w:t>
      </w:r>
    </w:p>
    <w:p w14:paraId="288365E6">
      <w:pPr>
        <w:ind w:firstLine="480"/>
        <w:rPr>
          <w:color w:val="auto"/>
        </w:rPr>
      </w:pPr>
      <w:r>
        <w:rPr>
          <w:color w:val="auto"/>
        </w:rPr>
        <w:t>其中鸡冠石污水处理厂入河排污口位于长江三峡库区南岸排污控制区，该区域现有鱼类绝大多数是广布性种类，该江段无鱼类</w:t>
      </w:r>
      <w:r>
        <w:rPr>
          <w:rFonts w:hint="eastAsia"/>
          <w:color w:val="auto"/>
        </w:rPr>
        <w:t>“</w:t>
      </w:r>
      <w:r>
        <w:rPr>
          <w:color w:val="auto"/>
        </w:rPr>
        <w:t>三场</w:t>
      </w:r>
      <w:r>
        <w:rPr>
          <w:rFonts w:hint="eastAsia"/>
          <w:color w:val="auto"/>
        </w:rPr>
        <w:t>”</w:t>
      </w:r>
      <w:r>
        <w:rPr>
          <w:color w:val="auto"/>
        </w:rPr>
        <w:t>，不会对其和鱼类产卵、索饵、越冬等产生影响。考虑到正常排污及非正常排污影响范围均有限，不会对鱼类产卵和肥育产生明显不利影响。因此，鸡冠石污水处理厂入河排污口的设置对该江段鱼类资源无明显不利影响。</w:t>
      </w:r>
    </w:p>
    <w:p w14:paraId="26CAA462">
      <w:pPr>
        <w:pStyle w:val="6"/>
        <w:numPr>
          <w:ilvl w:val="3"/>
          <w:numId w:val="0"/>
        </w:numPr>
        <w:rPr>
          <w:color w:val="auto"/>
        </w:rPr>
      </w:pPr>
      <w:r>
        <w:rPr>
          <w:color w:val="auto"/>
        </w:rPr>
        <w:t>8.2.2.2对其他水生生物的影响</w:t>
      </w:r>
    </w:p>
    <w:p w14:paraId="791B4168">
      <w:pPr>
        <w:ind w:firstLine="480"/>
        <w:rPr>
          <w:color w:val="auto"/>
        </w:rPr>
      </w:pPr>
      <w:r>
        <w:rPr>
          <w:color w:val="auto"/>
        </w:rPr>
        <w:t>根据各污水处理厂排污口批复及报表，排污口正常的排污状况下水质类别没有发生显著变化，影响范围非常有限，不会对该江段饵料生物群落结构和生物量产生明显影响；在非正常排放情况下，影响范围相对正常排放有所增大，由于有机污染物浓度较高，可能引起浮游植物与浮游动物数量和组成的变化，耐污种数量和种类可能会增加。</w:t>
      </w:r>
    </w:p>
    <w:p w14:paraId="2E7BE2E7">
      <w:pPr>
        <w:pStyle w:val="4"/>
        <w:numPr>
          <w:ilvl w:val="1"/>
          <w:numId w:val="0"/>
        </w:numPr>
        <w:spacing w:before="166" w:after="166"/>
        <w:rPr>
          <w:color w:val="auto"/>
        </w:rPr>
      </w:pPr>
      <w:bookmarkStart w:id="92" w:name="_Toc11963"/>
      <w:bookmarkStart w:id="93" w:name="_Toc26190"/>
      <w:r>
        <w:rPr>
          <w:color w:val="auto"/>
        </w:rPr>
        <w:t>8.3应急处置预案</w:t>
      </w:r>
      <w:bookmarkEnd w:id="92"/>
      <w:bookmarkEnd w:id="93"/>
    </w:p>
    <w:p w14:paraId="65D31C4D">
      <w:pPr>
        <w:ind w:firstLine="480"/>
        <w:rPr>
          <w:color w:val="auto"/>
        </w:rPr>
      </w:pPr>
      <w:r>
        <w:rPr>
          <w:color w:val="auto"/>
        </w:rPr>
        <w:t>为健全重庆九龙工业园区管理委员会办公室突发环境事件应对工作机制，建立健全园区突发环境事件应急管理体系，明确各级人员在事故处理过程中的责任和义务。园区应编制突发环境事件应急预案，其主要内容如下：</w:t>
      </w:r>
    </w:p>
    <w:p w14:paraId="13A60EF0">
      <w:pPr>
        <w:pStyle w:val="5"/>
        <w:numPr>
          <w:ilvl w:val="0"/>
          <w:numId w:val="0"/>
        </w:numPr>
        <w:spacing w:before="166" w:after="166"/>
        <w:rPr>
          <w:color w:val="auto"/>
        </w:rPr>
      </w:pPr>
      <w:r>
        <w:rPr>
          <w:color w:val="auto"/>
        </w:rPr>
        <w:t>8.3.1 分级响应</w:t>
      </w:r>
    </w:p>
    <w:p w14:paraId="627CB249">
      <w:pPr>
        <w:ind w:firstLine="480"/>
        <w:rPr>
          <w:color w:val="auto"/>
        </w:rPr>
      </w:pPr>
      <w:r>
        <w:rPr>
          <w:color w:val="auto"/>
        </w:rPr>
        <w:t>针对突发环境事件危害程度、影响范围、园区控制事态的能力以及可以调动的应急资源，将突发环境事件应急行动分为不同的等级，分为：Ⅰ级响应（社会级）、Ⅱ级响应（园区级）、Ⅲ级（企业级）三级，分别启动相应级别预案。超出本级应急处置能力时，应及时请求上一级应急救援指挥机构启动上一级应急预案。</w:t>
      </w:r>
    </w:p>
    <w:p w14:paraId="00F29EE8">
      <w:pPr>
        <w:ind w:firstLine="482"/>
        <w:rPr>
          <w:b/>
          <w:bCs/>
          <w:color w:val="auto"/>
        </w:rPr>
      </w:pPr>
      <w:r>
        <w:rPr>
          <w:b/>
          <w:bCs/>
          <w:color w:val="auto"/>
        </w:rPr>
        <w:t>Ⅲ级应急响应：</w:t>
      </w:r>
    </w:p>
    <w:p w14:paraId="29E03D65">
      <w:pPr>
        <w:ind w:firstLine="480"/>
        <w:rPr>
          <w:color w:val="auto"/>
        </w:rPr>
      </w:pPr>
      <w:r>
        <w:rPr>
          <w:color w:val="auto"/>
        </w:rPr>
        <w:t>当发生一般突发环境事件，影响范围在企业内，未影响到周边地区时，启动企业突发环境事件应急预案；若发火灾、爆炸等安全事故时，同时启动企业安全事故应急预案。</w:t>
      </w:r>
    </w:p>
    <w:p w14:paraId="09C3E8D9">
      <w:pPr>
        <w:ind w:firstLine="482"/>
        <w:rPr>
          <w:b/>
          <w:bCs/>
          <w:color w:val="auto"/>
        </w:rPr>
      </w:pPr>
      <w:r>
        <w:rPr>
          <w:b/>
          <w:bCs/>
          <w:color w:val="auto"/>
        </w:rPr>
        <w:t>Ⅱ级应急响应：</w:t>
      </w:r>
    </w:p>
    <w:p w14:paraId="55AB4094">
      <w:pPr>
        <w:ind w:firstLine="480"/>
        <w:rPr>
          <w:color w:val="auto"/>
        </w:rPr>
      </w:pPr>
      <w:r>
        <w:rPr>
          <w:color w:val="auto"/>
        </w:rPr>
        <w:t>当发生较大突发环境事件，影响范围超出企业范围，但还在园区内时，由园区应急指挥部启动相应的园区管委办相关应急预案，由指挥部指挥区域事故应急处置工作。</w:t>
      </w:r>
    </w:p>
    <w:p w14:paraId="3BC3E942">
      <w:pPr>
        <w:ind w:firstLine="482"/>
        <w:rPr>
          <w:b/>
          <w:bCs/>
          <w:color w:val="auto"/>
        </w:rPr>
      </w:pPr>
      <w:r>
        <w:rPr>
          <w:b/>
          <w:bCs/>
          <w:color w:val="auto"/>
        </w:rPr>
        <w:t>Ⅰ级应急响应：</w:t>
      </w:r>
    </w:p>
    <w:p w14:paraId="3E204DE7">
      <w:pPr>
        <w:ind w:firstLine="480"/>
        <w:rPr>
          <w:color w:val="auto"/>
        </w:rPr>
      </w:pPr>
      <w:r>
        <w:rPr>
          <w:color w:val="auto"/>
        </w:rPr>
        <w:t>当发生重大及以上突发环境污染事件，影响范围超出园区应急响应能力。联系有关救援单位提供人员、设备或其他资源，请求上级政府部门提供援助。</w:t>
      </w:r>
    </w:p>
    <w:p w14:paraId="1CF6D123">
      <w:pPr>
        <w:pStyle w:val="5"/>
        <w:numPr>
          <w:ilvl w:val="0"/>
          <w:numId w:val="0"/>
        </w:numPr>
        <w:spacing w:before="166" w:after="166"/>
        <w:rPr>
          <w:color w:val="auto"/>
        </w:rPr>
      </w:pPr>
      <w:r>
        <w:rPr>
          <w:color w:val="auto"/>
        </w:rPr>
        <w:t>8.3.2 响应措施</w:t>
      </w:r>
    </w:p>
    <w:p w14:paraId="7959ADF5">
      <w:pPr>
        <w:ind w:firstLine="482"/>
        <w:rPr>
          <w:b/>
          <w:bCs/>
          <w:color w:val="auto"/>
        </w:rPr>
      </w:pPr>
      <w:r>
        <w:rPr>
          <w:b/>
          <w:bCs/>
          <w:color w:val="auto"/>
        </w:rPr>
        <w:t>Ⅲ级响应措施：</w:t>
      </w:r>
    </w:p>
    <w:p w14:paraId="77BB98AB">
      <w:pPr>
        <w:ind w:firstLine="480"/>
        <w:rPr>
          <w:color w:val="auto"/>
        </w:rPr>
      </w:pPr>
      <w:r>
        <w:rPr>
          <w:color w:val="auto"/>
        </w:rPr>
        <w:t>当发生一般级突发环境事件，影响范围在企业内，未影响到周边地区时启动。由事件发生企业相关负责人启动相应的应急预案，进行应急处理。</w:t>
      </w:r>
    </w:p>
    <w:p w14:paraId="37454308">
      <w:pPr>
        <w:ind w:firstLine="480"/>
        <w:rPr>
          <w:color w:val="auto"/>
        </w:rPr>
      </w:pPr>
      <w:r>
        <w:rPr>
          <w:color w:val="auto"/>
        </w:rPr>
        <w:t>（1）发现异常后，立即上报企业应急指挥部，由企业应急指挥部指挥。</w:t>
      </w:r>
    </w:p>
    <w:p w14:paraId="64CBB65B">
      <w:pPr>
        <w:ind w:firstLine="480"/>
        <w:rPr>
          <w:color w:val="auto"/>
        </w:rPr>
      </w:pPr>
      <w:r>
        <w:rPr>
          <w:color w:val="auto"/>
        </w:rPr>
        <w:t>（2）由企业应急指挥部第一时间安排安全员和技术员赶赴现场，进行现场勘查并获取现场情况，所报应急指挥部依据现场情况作出决定，启动企业应急预案，通知企业相关应急小组赶赴现场，开展应急处置工作；</w:t>
      </w:r>
    </w:p>
    <w:p w14:paraId="1325E52B">
      <w:pPr>
        <w:ind w:firstLine="480"/>
        <w:rPr>
          <w:color w:val="auto"/>
        </w:rPr>
      </w:pPr>
      <w:r>
        <w:rPr>
          <w:color w:val="auto"/>
        </w:rPr>
        <w:t>（3）当事件超出企业应急处置能力，需园区协助时，立即上报九龙工业园区，请求园区应急指挥部启动园区应急预案。</w:t>
      </w:r>
    </w:p>
    <w:p w14:paraId="723AD59F">
      <w:pPr>
        <w:ind w:firstLine="482"/>
        <w:rPr>
          <w:b/>
          <w:bCs/>
          <w:color w:val="auto"/>
        </w:rPr>
      </w:pPr>
      <w:r>
        <w:rPr>
          <w:b/>
          <w:bCs/>
          <w:color w:val="auto"/>
        </w:rPr>
        <w:t>Ⅱ级响应措施：</w:t>
      </w:r>
    </w:p>
    <w:p w14:paraId="60DE1538">
      <w:pPr>
        <w:ind w:firstLine="480"/>
        <w:rPr>
          <w:color w:val="auto"/>
        </w:rPr>
      </w:pPr>
      <w:r>
        <w:rPr>
          <w:color w:val="auto"/>
        </w:rPr>
        <w:t>较大（Ⅱ级）事件发生后，由园区应急指挥部负责组织、开展前期处置工作，同时报请园区处置。</w:t>
      </w:r>
    </w:p>
    <w:p w14:paraId="55202F6A">
      <w:pPr>
        <w:ind w:firstLine="480"/>
        <w:rPr>
          <w:color w:val="auto"/>
        </w:rPr>
      </w:pPr>
      <w:r>
        <w:rPr>
          <w:color w:val="auto"/>
        </w:rPr>
        <w:t>（1）企业必须立即按企业应急预案进行处置，并在第一时间内向园区应急指挥部报警， 并积极组织企业应急力量紧急处置。同时将指挥权移交园区应急指挥部。</w:t>
      </w:r>
    </w:p>
    <w:p w14:paraId="2B1C772B">
      <w:pPr>
        <w:ind w:firstLine="480"/>
        <w:rPr>
          <w:color w:val="auto"/>
        </w:rPr>
      </w:pPr>
      <w:r>
        <w:rPr>
          <w:color w:val="auto"/>
        </w:rPr>
        <w:t>（2）园区应急办公室接警后，迅速报告应急指挥部，启动园区应急预案，并立即通知工业区内其他企业和周边地区群众紧急做好安全防护工作；邀请应急专家组到应急指挥部开会，分析情况，提出现场监控、救援、污染处置、环境恢复的建议，为相关专业应急机构提供技术支持；根据专家的建议，派出相关应急救援力量和专家赶赴现场， 参加、指导现场应急救援。</w:t>
      </w:r>
    </w:p>
    <w:p w14:paraId="604F68B2">
      <w:pPr>
        <w:ind w:firstLine="480"/>
        <w:rPr>
          <w:color w:val="auto"/>
        </w:rPr>
      </w:pPr>
      <w:r>
        <w:rPr>
          <w:color w:val="auto"/>
        </w:rPr>
        <w:t>（3）当事件超出园区应急处置能力时，立即上报九龙坡区政府、区生态环境局报告，请求九龙坡区政府启动区级应急预案。</w:t>
      </w:r>
    </w:p>
    <w:p w14:paraId="4E305CF7">
      <w:pPr>
        <w:ind w:firstLine="482"/>
        <w:rPr>
          <w:b/>
          <w:bCs/>
          <w:color w:val="auto"/>
        </w:rPr>
      </w:pPr>
      <w:r>
        <w:rPr>
          <w:b/>
          <w:bCs/>
          <w:color w:val="auto"/>
        </w:rPr>
        <w:t>Ⅰ级响应措施</w:t>
      </w:r>
    </w:p>
    <w:p w14:paraId="1702BA1C">
      <w:pPr>
        <w:ind w:firstLine="480"/>
        <w:rPr>
          <w:color w:val="auto"/>
        </w:rPr>
      </w:pPr>
      <w:r>
        <w:rPr>
          <w:color w:val="auto"/>
        </w:rPr>
        <w:t>重大（Ⅰ级）事件发生后，由园区应急指挥部负责组织、开展前期处置工作，同时报请九龙坡区政府处置。</w:t>
      </w:r>
    </w:p>
    <w:p w14:paraId="3F698612">
      <w:pPr>
        <w:ind w:firstLine="480"/>
        <w:rPr>
          <w:color w:val="auto"/>
        </w:rPr>
      </w:pPr>
      <w:r>
        <w:rPr>
          <w:color w:val="auto"/>
        </w:rPr>
        <w:t>（1）企业必须立即按企业应急预案进行处置，并在第一时间内向园区应急指挥部报警，并积极组织企业应急力量紧急处置。</w:t>
      </w:r>
    </w:p>
    <w:p w14:paraId="4908CAA6">
      <w:pPr>
        <w:ind w:firstLine="480"/>
        <w:rPr>
          <w:color w:val="auto"/>
        </w:rPr>
      </w:pPr>
      <w:r>
        <w:rPr>
          <w:color w:val="auto"/>
        </w:rPr>
        <w:t>（2）园区应急救援指挥部接警后，迅速向区政府报告，由区政府调度全区相关公共资源和力量进行处置，派出相关环保、消防、公安、医疗等方面的应急人员赶赴现场， 并立即通知工业区内其他工厂和周边地区群众紧急做好安全防护工作；邀请应急咨询专家组到应急指挥部开会，分析情况，提出现场监控、救援、污染处置、环境恢复的建议， 为相关专业应急机构提供技术支持；根据专家的建议，派出相关应急救援力量和专家赶赴现场，参加、指导现场应急救援。同时将指挥权移交九龙坡区应急指挥部。</w:t>
      </w:r>
    </w:p>
    <w:p w14:paraId="1AEE4B5D">
      <w:pPr>
        <w:ind w:firstLine="480"/>
        <w:rPr>
          <w:color w:val="auto"/>
        </w:rPr>
      </w:pPr>
      <w:r>
        <w:rPr>
          <w:color w:val="auto"/>
        </w:rPr>
        <w:t>（3）当事件超出九龙坡区政府应急处置能力时，立即上报重庆市政府、市生态环境局，请求启动市级应急预案。</w:t>
      </w:r>
    </w:p>
    <w:p w14:paraId="388B5485">
      <w:pPr>
        <w:ind w:firstLine="480"/>
        <w:rPr>
          <w:color w:val="auto"/>
        </w:rPr>
      </w:pPr>
      <w:r>
        <w:rPr>
          <w:color w:val="auto"/>
        </w:rPr>
        <w:t>应急救援响应流程见图 8.3-1。</w:t>
      </w:r>
    </w:p>
    <w:p w14:paraId="014417B5">
      <w:pPr>
        <w:spacing w:line="240" w:lineRule="auto"/>
        <w:ind w:firstLine="400"/>
        <w:jc w:val="center"/>
        <w:rPr>
          <w:color w:val="auto"/>
          <w:sz w:val="20"/>
        </w:rPr>
      </w:pPr>
      <w:r>
        <w:rPr>
          <w:color w:val="auto"/>
          <w:sz w:val="20"/>
        </w:rPr>
        <w:drawing>
          <wp:inline distT="0" distB="0" distL="0" distR="0">
            <wp:extent cx="5067300" cy="4138295"/>
            <wp:effectExtent l="19050" t="19050" r="19050" b="1460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38" cstate="print"/>
                    <a:stretch>
                      <a:fillRect/>
                    </a:stretch>
                  </pic:blipFill>
                  <pic:spPr>
                    <a:xfrm>
                      <a:off x="0" y="0"/>
                      <a:ext cx="5071123" cy="4141342"/>
                    </a:xfrm>
                    <a:prstGeom prst="rect">
                      <a:avLst/>
                    </a:prstGeom>
                    <a:ln>
                      <a:solidFill>
                        <a:schemeClr val="tx1"/>
                      </a:solidFill>
                    </a:ln>
                  </pic:spPr>
                </pic:pic>
              </a:graphicData>
            </a:graphic>
          </wp:inline>
        </w:drawing>
      </w:r>
    </w:p>
    <w:p w14:paraId="7EF32E51">
      <w:pPr>
        <w:spacing w:before="66"/>
        <w:ind w:right="230" w:firstLine="482"/>
        <w:jc w:val="center"/>
        <w:rPr>
          <w:b/>
          <w:color w:val="auto"/>
        </w:rPr>
      </w:pPr>
      <w:r>
        <w:rPr>
          <w:b/>
          <w:color w:val="auto"/>
        </w:rPr>
        <w:t>图 8.3-1 应急响应流程图</w:t>
      </w:r>
    </w:p>
    <w:p w14:paraId="305413F8">
      <w:pPr>
        <w:pStyle w:val="5"/>
        <w:numPr>
          <w:ilvl w:val="0"/>
          <w:numId w:val="0"/>
        </w:numPr>
        <w:spacing w:before="166" w:after="166"/>
        <w:rPr>
          <w:color w:val="auto"/>
        </w:rPr>
      </w:pPr>
      <w:r>
        <w:rPr>
          <w:color w:val="auto"/>
        </w:rPr>
        <w:t>8.3.3 应急处理措施</w:t>
      </w:r>
    </w:p>
    <w:p w14:paraId="261EAC12">
      <w:pPr>
        <w:ind w:firstLine="480"/>
        <w:rPr>
          <w:color w:val="auto"/>
        </w:rPr>
      </w:pPr>
      <w:r>
        <w:rPr>
          <w:color w:val="auto"/>
        </w:rPr>
        <w:t>事故排放是指污染防治措施不能正常运行时，导致污染物达不到预期治理效果或没有经过治理就直接排放。一旦废水处理设施出现事故，废水回流到事故池，待污水处理设施事故排除后，将事故池中的废水抽至废水处理站，处理达标后排放。运过程中有以下几个方面可能发生废水事故性排放。</w:t>
      </w:r>
    </w:p>
    <w:p w14:paraId="2823B9EF">
      <w:pPr>
        <w:ind w:firstLine="480"/>
        <w:rPr>
          <w:color w:val="auto"/>
        </w:rPr>
      </w:pPr>
      <w:r>
        <w:rPr>
          <w:color w:val="auto"/>
        </w:rPr>
        <w:t>（1）废水处理药剂无补充，造成废水处理设施无处理效果。</w:t>
      </w:r>
    </w:p>
    <w:p w14:paraId="5E9C8077">
      <w:pPr>
        <w:ind w:firstLine="480"/>
        <w:rPr>
          <w:color w:val="auto"/>
        </w:rPr>
      </w:pPr>
      <w:r>
        <w:rPr>
          <w:color w:val="auto"/>
        </w:rPr>
        <w:t>（2）各反应槽测定设备发生故障，造成废水处理设备去除率下降或无去除效果。</w:t>
      </w:r>
    </w:p>
    <w:p w14:paraId="66F6A20F">
      <w:pPr>
        <w:ind w:firstLine="480"/>
        <w:rPr>
          <w:color w:val="auto"/>
        </w:rPr>
      </w:pPr>
      <w:r>
        <w:rPr>
          <w:color w:val="auto"/>
        </w:rPr>
        <w:t>（3）废水处理设施发生故障，不能运行。</w:t>
      </w:r>
    </w:p>
    <w:p w14:paraId="5E0C8526">
      <w:pPr>
        <w:ind w:firstLine="480"/>
        <w:rPr>
          <w:color w:val="auto"/>
        </w:rPr>
      </w:pPr>
      <w:r>
        <w:rPr>
          <w:color w:val="auto"/>
        </w:rPr>
        <w:t>（4）电镀槽发生泄漏，电镀液直接进入厂排放口。</w:t>
      </w:r>
    </w:p>
    <w:p w14:paraId="40BE4528">
      <w:pPr>
        <w:ind w:firstLine="480"/>
        <w:rPr>
          <w:color w:val="auto"/>
        </w:rPr>
      </w:pPr>
      <w:r>
        <w:rPr>
          <w:color w:val="auto"/>
        </w:rPr>
        <w:t>（5）排污管道发生破裂。应急措施：</w:t>
      </w:r>
    </w:p>
    <w:p w14:paraId="5FB80E05">
      <w:pPr>
        <w:ind w:firstLine="480"/>
        <w:rPr>
          <w:color w:val="auto"/>
        </w:rPr>
      </w:pPr>
    </w:p>
    <w:p w14:paraId="1A8478F8">
      <w:pPr>
        <w:ind w:firstLine="480"/>
        <w:rPr>
          <w:color w:val="auto"/>
        </w:rPr>
      </w:pPr>
    </w:p>
    <w:p w14:paraId="128A7C56">
      <w:pPr>
        <w:ind w:firstLine="480"/>
        <w:rPr>
          <w:color w:val="auto"/>
        </w:rPr>
      </w:pPr>
      <w:r>
        <w:rPr>
          <w:color w:val="auto"/>
        </w:rPr>
        <w:t>1）停止作业，关闭有关机泵、阀门；</w:t>
      </w:r>
    </w:p>
    <w:p w14:paraId="400A31DD">
      <w:pPr>
        <w:ind w:firstLine="480"/>
        <w:rPr>
          <w:color w:val="auto"/>
        </w:rPr>
      </w:pPr>
      <w:r>
        <w:rPr>
          <w:color w:val="auto"/>
        </w:rPr>
        <w:t>2）按报告程序报告；</w:t>
      </w:r>
    </w:p>
    <w:p w14:paraId="7D495D48">
      <w:pPr>
        <w:ind w:firstLine="480"/>
        <w:rPr>
          <w:color w:val="auto"/>
        </w:rPr>
      </w:pPr>
      <w:r>
        <w:rPr>
          <w:color w:val="auto"/>
        </w:rPr>
        <w:t>3）控制一切火源，在变电所切断泄漏区域电源；</w:t>
      </w:r>
    </w:p>
    <w:p w14:paraId="20DAD31A">
      <w:pPr>
        <w:ind w:firstLine="480"/>
        <w:rPr>
          <w:color w:val="auto"/>
        </w:rPr>
      </w:pPr>
      <w:r>
        <w:rPr>
          <w:color w:val="auto"/>
        </w:rPr>
        <w:t>4）划定警戒区域，疏散无关车辆、人员，控制无关人员进入现场；</w:t>
      </w:r>
    </w:p>
    <w:p w14:paraId="5B7D9EC3">
      <w:pPr>
        <w:ind w:firstLine="480"/>
        <w:rPr>
          <w:color w:val="auto"/>
        </w:rPr>
      </w:pPr>
      <w:r>
        <w:rPr>
          <w:color w:val="auto"/>
        </w:rPr>
        <w:t>5）检查雨、污排水阀，确认处于关闭状态；污水收集系统切换至事故池；</w:t>
      </w:r>
    </w:p>
    <w:p w14:paraId="677F1DFD">
      <w:pPr>
        <w:ind w:firstLine="480"/>
        <w:rPr>
          <w:color w:val="auto"/>
        </w:rPr>
      </w:pPr>
      <w:r>
        <w:rPr>
          <w:color w:val="auto"/>
        </w:rPr>
        <w:t>6）组织人员盛接回收泄漏物，使用堵漏工具、材料控制泄漏或倒罐；</w:t>
      </w:r>
    </w:p>
    <w:p w14:paraId="11CE0572">
      <w:pPr>
        <w:ind w:firstLine="480"/>
        <w:rPr>
          <w:color w:val="auto"/>
        </w:rPr>
      </w:pPr>
      <w:r>
        <w:rPr>
          <w:color w:val="auto"/>
        </w:rPr>
        <w:t>7）泄漏控制后，采用河沙、活性炭等吸附材料吸附，并冲洗清理现场。</w:t>
      </w:r>
    </w:p>
    <w:p w14:paraId="45991811">
      <w:pPr>
        <w:ind w:firstLine="480"/>
        <w:rPr>
          <w:color w:val="auto"/>
        </w:rPr>
      </w:pPr>
      <w:r>
        <w:rPr>
          <w:color w:val="auto"/>
        </w:rPr>
        <w:t>8）如物料流入河内时：</w:t>
      </w:r>
    </w:p>
    <w:p w14:paraId="6381BBE6">
      <w:pPr>
        <w:ind w:firstLine="480"/>
        <w:rPr>
          <w:color w:val="auto"/>
        </w:rPr>
      </w:pPr>
      <w:r>
        <w:rPr>
          <w:color w:val="auto"/>
        </w:rPr>
        <w:t>①联系通知水利部门，控制泄漏污染随水流扩散；</w:t>
      </w:r>
    </w:p>
    <w:p w14:paraId="24944F75">
      <w:pPr>
        <w:ind w:firstLine="480"/>
        <w:rPr>
          <w:color w:val="auto"/>
        </w:rPr>
      </w:pPr>
      <w:r>
        <w:rPr>
          <w:color w:val="auto"/>
        </w:rPr>
        <w:t>②联系报告环保部门协助处置；</w:t>
      </w:r>
    </w:p>
    <w:p w14:paraId="7AEB4E74">
      <w:pPr>
        <w:ind w:firstLine="480"/>
        <w:rPr>
          <w:color w:val="auto"/>
        </w:rPr>
      </w:pPr>
      <w:r>
        <w:rPr>
          <w:color w:val="auto"/>
        </w:rPr>
        <w:t>③联系水域附近企业单位，通报情况、告知做好应对准备； 具体处理措施：</w:t>
      </w:r>
    </w:p>
    <w:p w14:paraId="70024EA5">
      <w:pPr>
        <w:ind w:firstLine="480"/>
        <w:rPr>
          <w:color w:val="auto"/>
        </w:rPr>
      </w:pPr>
      <w:r>
        <w:rPr>
          <w:color w:val="auto"/>
        </w:rPr>
        <w:t>立即通知下游停止取水。</w:t>
      </w:r>
    </w:p>
    <w:p w14:paraId="7D6D5A68">
      <w:pPr>
        <w:pStyle w:val="5"/>
        <w:numPr>
          <w:ilvl w:val="0"/>
          <w:numId w:val="0"/>
        </w:numPr>
        <w:spacing w:before="166" w:after="166"/>
        <w:rPr>
          <w:color w:val="auto"/>
        </w:rPr>
      </w:pPr>
      <w:r>
        <w:rPr>
          <w:color w:val="auto"/>
        </w:rPr>
        <w:t>8.3.4 应急监测</w:t>
      </w:r>
    </w:p>
    <w:p w14:paraId="1D52F361">
      <w:pPr>
        <w:ind w:firstLine="480"/>
        <w:rPr>
          <w:color w:val="auto"/>
        </w:rPr>
      </w:pPr>
      <w:r>
        <w:rPr>
          <w:color w:val="auto"/>
        </w:rPr>
        <w:t>（1）监测计划</w:t>
      </w:r>
    </w:p>
    <w:p w14:paraId="3159786E">
      <w:pPr>
        <w:ind w:firstLine="480"/>
        <w:rPr>
          <w:color w:val="auto"/>
        </w:rPr>
      </w:pPr>
      <w:r>
        <w:rPr>
          <w:color w:val="auto"/>
        </w:rPr>
        <w:t>发生突发环境事件时，园区应急监测部门应迅速组织第三方机构监测人员赶赴现场，在企业（或事业）单位环境应急监测小组配合下根据实际情况，迅速确定监测方案（包括监测布点、频次、项目和方法等），及时开展针对突发环境事件的应急监测工作， 在尽可能短的时间内，用小型、便携、简易的仪器对污染物质种类、浓度和污染的范围及其可能的危害作出判断，以便对事件能及时、正确的进行处理。</w:t>
      </w:r>
    </w:p>
    <w:p w14:paraId="3AC4F55B">
      <w:pPr>
        <w:ind w:firstLine="480"/>
        <w:rPr>
          <w:color w:val="auto"/>
        </w:rPr>
      </w:pPr>
      <w:r>
        <w:rPr>
          <w:color w:val="auto"/>
        </w:rPr>
        <w:t>超出能力范围的监测项目请求九龙坡区环境监测站进行监测。</w:t>
      </w:r>
    </w:p>
    <w:p w14:paraId="31078A00">
      <w:pPr>
        <w:ind w:firstLine="480"/>
        <w:rPr>
          <w:color w:val="auto"/>
        </w:rPr>
      </w:pPr>
      <w:r>
        <w:rPr>
          <w:color w:val="auto"/>
        </w:rPr>
        <w:t>（2）地表水监测方案</w:t>
      </w:r>
    </w:p>
    <w:p w14:paraId="550B15C0">
      <w:pPr>
        <w:ind w:firstLine="480"/>
        <w:rPr>
          <w:color w:val="auto"/>
        </w:rPr>
      </w:pPr>
      <w:r>
        <w:rPr>
          <w:color w:val="auto"/>
        </w:rPr>
        <w:t>根据废水排放走向跟踪监测受污染水体的水体污染情况，在受污染水体及污水收集池分别设置监测点，同时在受污染水体上游500m布设一个对照断面；根据每条河流各自特点，在其下游布设一个或多个削减断面。采样时需采平行样品，一份在现场进行检测，一份加入保护剂后尽快送至实验室分析。</w:t>
      </w:r>
    </w:p>
    <w:p w14:paraId="34B48C7F">
      <w:pPr>
        <w:ind w:firstLine="480"/>
        <w:rPr>
          <w:color w:val="auto"/>
        </w:rPr>
      </w:pPr>
      <w:r>
        <w:rPr>
          <w:color w:val="auto"/>
        </w:rPr>
        <w:t>①监测因子：根据事故范围选择适当的监测因子，在物料发生泄漏事故时选择 pH、COD、氨氮及特征污染物作为监测因子。</w:t>
      </w:r>
    </w:p>
    <w:p w14:paraId="216F1050">
      <w:pPr>
        <w:ind w:firstLine="480"/>
        <w:rPr>
          <w:color w:val="auto"/>
        </w:rPr>
      </w:pPr>
      <w:r>
        <w:rPr>
          <w:color w:val="auto"/>
        </w:rPr>
        <w:t>②监测时间和频次：按照事故持续时间决定监测时间，根据事故严重性决定监测频次。一般情况下每小时取样一次。随事故控制减弱，适当减少监测频次。</w:t>
      </w:r>
    </w:p>
    <w:p w14:paraId="5055FF4D">
      <w:pPr>
        <w:ind w:firstLine="480"/>
        <w:rPr>
          <w:color w:val="auto"/>
        </w:rPr>
      </w:pPr>
      <w:r>
        <w:rPr>
          <w:color w:val="auto"/>
        </w:rPr>
        <w:t>③监测断面：由于企业生产废水经厂内污水处理站处理后回用，雨水经厂区雨水管网排入周边河流。为防止企业事故、消防废水进入水体，对雨水排口及下游 500m 处设置监测断面，在受污染受体上游 500m 设置对照断面，下游 500m 设置削减断面。具体监测断面的布设见表 8.3-1。</w:t>
      </w:r>
    </w:p>
    <w:p w14:paraId="1AAF3CBF">
      <w:pPr>
        <w:ind w:firstLine="0" w:firstLineChars="0"/>
        <w:rPr>
          <w:b/>
          <w:bCs/>
          <w:color w:val="auto"/>
        </w:rPr>
      </w:pPr>
      <w:r>
        <w:rPr>
          <w:b/>
          <w:bCs/>
          <w:color w:val="auto"/>
        </w:rPr>
        <w:t>表8.3-1                    水质监测断面布置情况表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07"/>
        <w:gridCol w:w="1711"/>
        <w:gridCol w:w="2408"/>
        <w:gridCol w:w="2168"/>
        <w:gridCol w:w="1533"/>
      </w:tblGrid>
      <w:tr w14:paraId="7F84BF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620" w:type="pct"/>
            <w:tcBorders>
              <w:bottom w:val="single" w:color="000000" w:sz="4" w:space="0"/>
              <w:right w:val="single" w:color="000000" w:sz="4" w:space="0"/>
            </w:tcBorders>
          </w:tcPr>
          <w:p w14:paraId="17808D97">
            <w:pPr>
              <w:pStyle w:val="55"/>
              <w:spacing w:line="240" w:lineRule="exact"/>
              <w:ind w:firstLine="0" w:firstLineChars="0"/>
              <w:rPr>
                <w:color w:val="auto"/>
                <w:sz w:val="18"/>
                <w:szCs w:val="18"/>
              </w:rPr>
            </w:pPr>
            <w:r>
              <w:rPr>
                <w:color w:val="auto"/>
                <w:sz w:val="18"/>
                <w:szCs w:val="18"/>
              </w:rPr>
              <w:t>断面编号</w:t>
            </w:r>
          </w:p>
        </w:tc>
        <w:tc>
          <w:tcPr>
            <w:tcW w:w="958" w:type="pct"/>
            <w:tcBorders>
              <w:left w:val="single" w:color="000000" w:sz="4" w:space="0"/>
              <w:bottom w:val="single" w:color="000000" w:sz="4" w:space="0"/>
              <w:right w:val="single" w:color="000000" w:sz="4" w:space="0"/>
            </w:tcBorders>
          </w:tcPr>
          <w:p w14:paraId="12A879F7">
            <w:pPr>
              <w:pStyle w:val="55"/>
              <w:spacing w:line="240" w:lineRule="exact"/>
              <w:ind w:firstLine="0" w:firstLineChars="0"/>
              <w:rPr>
                <w:color w:val="auto"/>
                <w:sz w:val="18"/>
                <w:szCs w:val="18"/>
              </w:rPr>
            </w:pPr>
            <w:r>
              <w:rPr>
                <w:color w:val="auto"/>
                <w:sz w:val="18"/>
                <w:szCs w:val="18"/>
              </w:rPr>
              <w:t>断面名称</w:t>
            </w:r>
          </w:p>
        </w:tc>
        <w:tc>
          <w:tcPr>
            <w:tcW w:w="1348" w:type="pct"/>
            <w:tcBorders>
              <w:left w:val="single" w:color="000000" w:sz="4" w:space="0"/>
              <w:bottom w:val="single" w:color="000000" w:sz="4" w:space="0"/>
              <w:right w:val="single" w:color="000000" w:sz="4" w:space="0"/>
            </w:tcBorders>
          </w:tcPr>
          <w:p w14:paraId="63DE8B7C">
            <w:pPr>
              <w:pStyle w:val="55"/>
              <w:spacing w:line="240" w:lineRule="exact"/>
              <w:ind w:firstLine="0" w:firstLineChars="0"/>
              <w:rPr>
                <w:color w:val="auto"/>
                <w:sz w:val="18"/>
                <w:szCs w:val="18"/>
              </w:rPr>
            </w:pPr>
            <w:r>
              <w:rPr>
                <w:color w:val="auto"/>
                <w:sz w:val="18"/>
                <w:szCs w:val="18"/>
              </w:rPr>
              <w:t>位</w:t>
            </w:r>
            <w:r>
              <w:rPr>
                <w:color w:val="auto"/>
                <w:sz w:val="18"/>
                <w:szCs w:val="18"/>
              </w:rPr>
              <w:tab/>
            </w:r>
            <w:r>
              <w:rPr>
                <w:color w:val="auto"/>
                <w:sz w:val="18"/>
                <w:szCs w:val="18"/>
              </w:rPr>
              <w:t>置</w:t>
            </w:r>
          </w:p>
        </w:tc>
        <w:tc>
          <w:tcPr>
            <w:tcW w:w="1214" w:type="pct"/>
            <w:tcBorders>
              <w:left w:val="single" w:color="000000" w:sz="4" w:space="0"/>
              <w:bottom w:val="single" w:color="000000" w:sz="4" w:space="0"/>
              <w:right w:val="single" w:color="000000" w:sz="4" w:space="0"/>
            </w:tcBorders>
          </w:tcPr>
          <w:p w14:paraId="712578F5">
            <w:pPr>
              <w:pStyle w:val="55"/>
              <w:spacing w:line="240" w:lineRule="exact"/>
              <w:ind w:firstLine="0" w:firstLineChars="0"/>
              <w:rPr>
                <w:color w:val="auto"/>
                <w:sz w:val="18"/>
                <w:szCs w:val="18"/>
              </w:rPr>
            </w:pPr>
            <w:r>
              <w:rPr>
                <w:color w:val="auto"/>
                <w:sz w:val="18"/>
                <w:szCs w:val="18"/>
              </w:rPr>
              <w:t>监测频次</w:t>
            </w:r>
          </w:p>
        </w:tc>
        <w:tc>
          <w:tcPr>
            <w:tcW w:w="858" w:type="pct"/>
            <w:tcBorders>
              <w:left w:val="single" w:color="000000" w:sz="4" w:space="0"/>
              <w:bottom w:val="single" w:color="000000" w:sz="4" w:space="0"/>
            </w:tcBorders>
          </w:tcPr>
          <w:p w14:paraId="64FE6EFC">
            <w:pPr>
              <w:pStyle w:val="55"/>
              <w:spacing w:line="240" w:lineRule="exact"/>
              <w:ind w:firstLine="0" w:firstLineChars="0"/>
              <w:rPr>
                <w:color w:val="auto"/>
                <w:sz w:val="18"/>
                <w:szCs w:val="18"/>
              </w:rPr>
            </w:pPr>
            <w:r>
              <w:rPr>
                <w:color w:val="auto"/>
                <w:sz w:val="18"/>
                <w:szCs w:val="18"/>
              </w:rPr>
              <w:t>监测项目</w:t>
            </w:r>
          </w:p>
        </w:tc>
      </w:tr>
      <w:tr w14:paraId="64444E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 w:hRule="atLeast"/>
        </w:trPr>
        <w:tc>
          <w:tcPr>
            <w:tcW w:w="620" w:type="pct"/>
            <w:tcBorders>
              <w:top w:val="single" w:color="000000" w:sz="4" w:space="0"/>
              <w:bottom w:val="single" w:color="000000" w:sz="4" w:space="0"/>
              <w:right w:val="single" w:color="000000" w:sz="4" w:space="0"/>
            </w:tcBorders>
          </w:tcPr>
          <w:p w14:paraId="3BE8C082">
            <w:pPr>
              <w:pStyle w:val="55"/>
              <w:spacing w:line="240" w:lineRule="exact"/>
              <w:ind w:firstLine="0" w:firstLineChars="0"/>
              <w:rPr>
                <w:color w:val="auto"/>
                <w:sz w:val="18"/>
                <w:szCs w:val="18"/>
              </w:rPr>
            </w:pPr>
            <w:r>
              <w:rPr>
                <w:color w:val="auto"/>
                <w:sz w:val="18"/>
                <w:szCs w:val="18"/>
              </w:rPr>
              <w:t>W1</w:t>
            </w:r>
          </w:p>
        </w:tc>
        <w:tc>
          <w:tcPr>
            <w:tcW w:w="958" w:type="pct"/>
            <w:tcBorders>
              <w:top w:val="single" w:color="000000" w:sz="4" w:space="0"/>
              <w:left w:val="single" w:color="000000" w:sz="4" w:space="0"/>
              <w:bottom w:val="single" w:color="000000" w:sz="4" w:space="0"/>
              <w:right w:val="single" w:color="000000" w:sz="4" w:space="0"/>
            </w:tcBorders>
          </w:tcPr>
          <w:p w14:paraId="0BAD04C5">
            <w:pPr>
              <w:pStyle w:val="55"/>
              <w:spacing w:line="240" w:lineRule="exact"/>
              <w:ind w:firstLine="0" w:firstLineChars="0"/>
              <w:rPr>
                <w:color w:val="auto"/>
                <w:sz w:val="18"/>
                <w:szCs w:val="18"/>
              </w:rPr>
            </w:pPr>
            <w:r>
              <w:rPr>
                <w:color w:val="auto"/>
                <w:sz w:val="18"/>
                <w:szCs w:val="18"/>
              </w:rPr>
              <w:t>对照断面</w:t>
            </w:r>
          </w:p>
        </w:tc>
        <w:tc>
          <w:tcPr>
            <w:tcW w:w="1348" w:type="pct"/>
            <w:tcBorders>
              <w:top w:val="single" w:color="000000" w:sz="4" w:space="0"/>
              <w:left w:val="single" w:color="000000" w:sz="4" w:space="0"/>
              <w:bottom w:val="single" w:color="000000" w:sz="4" w:space="0"/>
              <w:right w:val="single" w:color="000000" w:sz="4" w:space="0"/>
            </w:tcBorders>
          </w:tcPr>
          <w:p w14:paraId="0C602FBC">
            <w:pPr>
              <w:pStyle w:val="55"/>
              <w:spacing w:line="240" w:lineRule="exact"/>
              <w:ind w:firstLine="0" w:firstLineChars="0"/>
              <w:rPr>
                <w:color w:val="auto"/>
                <w:sz w:val="18"/>
                <w:szCs w:val="18"/>
              </w:rPr>
            </w:pPr>
            <w:r>
              <w:rPr>
                <w:color w:val="auto"/>
                <w:sz w:val="18"/>
                <w:szCs w:val="18"/>
              </w:rPr>
              <w:t>受污染水体上游 500m</w:t>
            </w:r>
          </w:p>
        </w:tc>
        <w:tc>
          <w:tcPr>
            <w:tcW w:w="1214" w:type="pct"/>
            <w:tcBorders>
              <w:top w:val="single" w:color="000000" w:sz="4" w:space="0"/>
              <w:left w:val="single" w:color="000000" w:sz="4" w:space="0"/>
              <w:bottom w:val="single" w:color="000000" w:sz="4" w:space="0"/>
              <w:right w:val="single" w:color="000000" w:sz="4" w:space="0"/>
            </w:tcBorders>
          </w:tcPr>
          <w:p w14:paraId="6A08C2FF">
            <w:pPr>
              <w:pStyle w:val="55"/>
              <w:spacing w:line="240" w:lineRule="exact"/>
              <w:ind w:firstLine="0" w:firstLineChars="0"/>
              <w:rPr>
                <w:color w:val="auto"/>
                <w:sz w:val="18"/>
                <w:szCs w:val="18"/>
              </w:rPr>
            </w:pPr>
            <w:r>
              <w:rPr>
                <w:color w:val="auto"/>
                <w:sz w:val="18"/>
                <w:szCs w:val="18"/>
              </w:rPr>
              <w:t>1 次/应急期间</w:t>
            </w:r>
          </w:p>
        </w:tc>
        <w:tc>
          <w:tcPr>
            <w:tcW w:w="858" w:type="pct"/>
            <w:vMerge w:val="restart"/>
            <w:tcBorders>
              <w:top w:val="single" w:color="000000" w:sz="4" w:space="0"/>
              <w:left w:val="single" w:color="000000" w:sz="4" w:space="0"/>
            </w:tcBorders>
          </w:tcPr>
          <w:p w14:paraId="11B2C9E7">
            <w:pPr>
              <w:pStyle w:val="55"/>
              <w:spacing w:line="240" w:lineRule="exact"/>
              <w:ind w:firstLine="0" w:firstLineChars="0"/>
              <w:rPr>
                <w:color w:val="auto"/>
                <w:sz w:val="18"/>
                <w:szCs w:val="18"/>
              </w:rPr>
            </w:pPr>
          </w:p>
          <w:p w14:paraId="4AC67BD3">
            <w:pPr>
              <w:pStyle w:val="55"/>
              <w:spacing w:line="240" w:lineRule="exact"/>
              <w:ind w:firstLine="0" w:firstLineChars="0"/>
              <w:rPr>
                <w:color w:val="auto"/>
                <w:sz w:val="18"/>
                <w:szCs w:val="18"/>
              </w:rPr>
            </w:pPr>
            <w:r>
              <w:rPr>
                <w:color w:val="auto"/>
                <w:sz w:val="18"/>
                <w:szCs w:val="18"/>
              </w:rPr>
              <w:t>pH、COD、氨氮有关水文要素及特征污染物</w:t>
            </w:r>
          </w:p>
        </w:tc>
      </w:tr>
      <w:tr w14:paraId="264439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0" w:hRule="atLeast"/>
        </w:trPr>
        <w:tc>
          <w:tcPr>
            <w:tcW w:w="620" w:type="pct"/>
            <w:tcBorders>
              <w:top w:val="single" w:color="000000" w:sz="4" w:space="0"/>
              <w:bottom w:val="single" w:color="000000" w:sz="4" w:space="0"/>
              <w:right w:val="single" w:color="000000" w:sz="4" w:space="0"/>
            </w:tcBorders>
          </w:tcPr>
          <w:p w14:paraId="4D3F3A91">
            <w:pPr>
              <w:pStyle w:val="55"/>
              <w:spacing w:line="240" w:lineRule="exact"/>
              <w:ind w:firstLine="0" w:firstLineChars="0"/>
              <w:rPr>
                <w:color w:val="auto"/>
                <w:sz w:val="18"/>
                <w:szCs w:val="18"/>
              </w:rPr>
            </w:pPr>
            <w:r>
              <w:rPr>
                <w:color w:val="auto"/>
                <w:sz w:val="18"/>
                <w:szCs w:val="18"/>
              </w:rPr>
              <w:t>W2</w:t>
            </w:r>
          </w:p>
        </w:tc>
        <w:tc>
          <w:tcPr>
            <w:tcW w:w="958" w:type="pct"/>
            <w:tcBorders>
              <w:top w:val="single" w:color="000000" w:sz="4" w:space="0"/>
              <w:left w:val="single" w:color="000000" w:sz="4" w:space="0"/>
              <w:bottom w:val="single" w:color="000000" w:sz="4" w:space="0"/>
              <w:right w:val="single" w:color="000000" w:sz="4" w:space="0"/>
            </w:tcBorders>
          </w:tcPr>
          <w:p w14:paraId="0F484C22">
            <w:pPr>
              <w:pStyle w:val="55"/>
              <w:spacing w:line="240" w:lineRule="exact"/>
              <w:ind w:firstLine="0" w:firstLineChars="0"/>
              <w:rPr>
                <w:color w:val="auto"/>
                <w:sz w:val="18"/>
                <w:szCs w:val="18"/>
              </w:rPr>
            </w:pPr>
            <w:r>
              <w:rPr>
                <w:color w:val="auto"/>
                <w:sz w:val="18"/>
                <w:szCs w:val="18"/>
              </w:rPr>
              <w:t>监测断面</w:t>
            </w:r>
          </w:p>
        </w:tc>
        <w:tc>
          <w:tcPr>
            <w:tcW w:w="1348" w:type="pct"/>
            <w:tcBorders>
              <w:top w:val="single" w:color="000000" w:sz="4" w:space="0"/>
              <w:left w:val="single" w:color="000000" w:sz="4" w:space="0"/>
              <w:bottom w:val="single" w:color="000000" w:sz="4" w:space="0"/>
              <w:right w:val="single" w:color="000000" w:sz="4" w:space="0"/>
            </w:tcBorders>
          </w:tcPr>
          <w:p w14:paraId="7AA78808">
            <w:pPr>
              <w:pStyle w:val="55"/>
              <w:spacing w:line="240" w:lineRule="exact"/>
              <w:ind w:firstLine="0" w:firstLineChars="0"/>
              <w:rPr>
                <w:color w:val="auto"/>
                <w:sz w:val="18"/>
                <w:szCs w:val="18"/>
              </w:rPr>
            </w:pPr>
            <w:r>
              <w:rPr>
                <w:color w:val="auto"/>
                <w:sz w:val="18"/>
                <w:szCs w:val="18"/>
              </w:rPr>
              <w:t>雨水/污水排放口</w:t>
            </w:r>
          </w:p>
        </w:tc>
        <w:tc>
          <w:tcPr>
            <w:tcW w:w="1214" w:type="pct"/>
            <w:tcBorders>
              <w:top w:val="single" w:color="000000" w:sz="4" w:space="0"/>
              <w:left w:val="single" w:color="000000" w:sz="4" w:space="0"/>
              <w:bottom w:val="single" w:color="000000" w:sz="4" w:space="0"/>
              <w:right w:val="single" w:color="000000" w:sz="4" w:space="0"/>
            </w:tcBorders>
          </w:tcPr>
          <w:p w14:paraId="6BD8A255">
            <w:pPr>
              <w:pStyle w:val="55"/>
              <w:spacing w:line="240" w:lineRule="exact"/>
              <w:ind w:firstLine="0" w:firstLineChars="0"/>
              <w:rPr>
                <w:color w:val="auto"/>
                <w:sz w:val="18"/>
                <w:szCs w:val="18"/>
              </w:rPr>
            </w:pPr>
            <w:r>
              <w:rPr>
                <w:color w:val="auto"/>
                <w:sz w:val="18"/>
                <w:szCs w:val="18"/>
              </w:rPr>
              <w:t>初始加密监测，1 小时/</w:t>
            </w:r>
          </w:p>
          <w:p w14:paraId="50D8CEDE">
            <w:pPr>
              <w:pStyle w:val="55"/>
              <w:spacing w:line="240" w:lineRule="exact"/>
              <w:ind w:firstLine="0" w:firstLineChars="0"/>
              <w:rPr>
                <w:color w:val="auto"/>
                <w:sz w:val="18"/>
                <w:szCs w:val="18"/>
              </w:rPr>
            </w:pPr>
            <w:r>
              <w:rPr>
                <w:color w:val="auto"/>
                <w:sz w:val="18"/>
                <w:szCs w:val="18"/>
              </w:rPr>
              <w:t>次；视污染浓度递减</w:t>
            </w:r>
          </w:p>
        </w:tc>
        <w:tc>
          <w:tcPr>
            <w:tcW w:w="858" w:type="pct"/>
            <w:vMerge w:val="continue"/>
            <w:tcBorders>
              <w:top w:val="nil"/>
              <w:left w:val="single" w:color="000000" w:sz="4" w:space="0"/>
            </w:tcBorders>
          </w:tcPr>
          <w:p w14:paraId="2B666A6D">
            <w:pPr>
              <w:ind w:firstLine="40"/>
              <w:rPr>
                <w:color w:val="auto"/>
                <w:sz w:val="2"/>
                <w:szCs w:val="2"/>
              </w:rPr>
            </w:pPr>
          </w:p>
        </w:tc>
      </w:tr>
      <w:tr w14:paraId="0D5A9E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9" w:hRule="atLeast"/>
        </w:trPr>
        <w:tc>
          <w:tcPr>
            <w:tcW w:w="620" w:type="pct"/>
            <w:tcBorders>
              <w:top w:val="single" w:color="000000" w:sz="4" w:space="0"/>
              <w:right w:val="single" w:color="000000" w:sz="4" w:space="0"/>
            </w:tcBorders>
          </w:tcPr>
          <w:p w14:paraId="2E4A721C">
            <w:pPr>
              <w:pStyle w:val="55"/>
              <w:spacing w:line="240" w:lineRule="exact"/>
              <w:ind w:firstLine="0" w:firstLineChars="0"/>
              <w:rPr>
                <w:color w:val="auto"/>
                <w:sz w:val="18"/>
                <w:szCs w:val="18"/>
              </w:rPr>
            </w:pPr>
            <w:r>
              <w:rPr>
                <w:color w:val="auto"/>
                <w:sz w:val="18"/>
                <w:szCs w:val="18"/>
              </w:rPr>
              <w:t>W3</w:t>
            </w:r>
          </w:p>
        </w:tc>
        <w:tc>
          <w:tcPr>
            <w:tcW w:w="958" w:type="pct"/>
            <w:tcBorders>
              <w:top w:val="single" w:color="000000" w:sz="4" w:space="0"/>
              <w:left w:val="single" w:color="000000" w:sz="4" w:space="0"/>
              <w:right w:val="single" w:color="000000" w:sz="4" w:space="0"/>
            </w:tcBorders>
          </w:tcPr>
          <w:p w14:paraId="4D3A9162">
            <w:pPr>
              <w:pStyle w:val="55"/>
              <w:spacing w:line="240" w:lineRule="exact"/>
              <w:ind w:firstLine="0" w:firstLineChars="0"/>
              <w:rPr>
                <w:color w:val="auto"/>
                <w:sz w:val="18"/>
                <w:szCs w:val="18"/>
              </w:rPr>
            </w:pPr>
            <w:r>
              <w:rPr>
                <w:color w:val="auto"/>
                <w:sz w:val="18"/>
                <w:szCs w:val="18"/>
              </w:rPr>
              <w:t>削减断面</w:t>
            </w:r>
          </w:p>
        </w:tc>
        <w:tc>
          <w:tcPr>
            <w:tcW w:w="1348" w:type="pct"/>
            <w:tcBorders>
              <w:top w:val="single" w:color="000000" w:sz="4" w:space="0"/>
              <w:left w:val="single" w:color="000000" w:sz="4" w:space="0"/>
              <w:right w:val="single" w:color="000000" w:sz="4" w:space="0"/>
            </w:tcBorders>
          </w:tcPr>
          <w:p w14:paraId="1263E724">
            <w:pPr>
              <w:pStyle w:val="55"/>
              <w:spacing w:line="240" w:lineRule="exact"/>
              <w:ind w:firstLine="0" w:firstLineChars="0"/>
              <w:rPr>
                <w:color w:val="auto"/>
                <w:sz w:val="18"/>
                <w:szCs w:val="18"/>
              </w:rPr>
            </w:pPr>
            <w:r>
              <w:rPr>
                <w:color w:val="auto"/>
                <w:sz w:val="18"/>
                <w:szCs w:val="18"/>
              </w:rPr>
              <w:t>雨水污水排口下游 500m</w:t>
            </w:r>
          </w:p>
        </w:tc>
        <w:tc>
          <w:tcPr>
            <w:tcW w:w="1214" w:type="pct"/>
            <w:tcBorders>
              <w:top w:val="single" w:color="000000" w:sz="4" w:space="0"/>
              <w:left w:val="single" w:color="000000" w:sz="4" w:space="0"/>
              <w:right w:val="single" w:color="000000" w:sz="4" w:space="0"/>
            </w:tcBorders>
          </w:tcPr>
          <w:p w14:paraId="13CFDF20">
            <w:pPr>
              <w:pStyle w:val="55"/>
              <w:spacing w:line="240" w:lineRule="exact"/>
              <w:ind w:firstLine="0" w:firstLineChars="0"/>
              <w:rPr>
                <w:color w:val="auto"/>
                <w:sz w:val="18"/>
                <w:szCs w:val="18"/>
              </w:rPr>
            </w:pPr>
            <w:r>
              <w:rPr>
                <w:color w:val="auto"/>
                <w:sz w:val="18"/>
                <w:szCs w:val="18"/>
              </w:rPr>
              <w:t>1 次/应急期间</w:t>
            </w:r>
          </w:p>
        </w:tc>
        <w:tc>
          <w:tcPr>
            <w:tcW w:w="858" w:type="pct"/>
            <w:vMerge w:val="continue"/>
            <w:tcBorders>
              <w:top w:val="nil"/>
              <w:left w:val="single" w:color="000000" w:sz="4" w:space="0"/>
            </w:tcBorders>
          </w:tcPr>
          <w:p w14:paraId="79FCF546">
            <w:pPr>
              <w:ind w:firstLine="40"/>
              <w:rPr>
                <w:color w:val="auto"/>
                <w:sz w:val="2"/>
                <w:szCs w:val="2"/>
              </w:rPr>
            </w:pPr>
          </w:p>
        </w:tc>
      </w:tr>
    </w:tbl>
    <w:p w14:paraId="115135C4">
      <w:pPr>
        <w:ind w:firstLine="480"/>
        <w:rPr>
          <w:color w:val="auto"/>
        </w:rPr>
      </w:pPr>
      <w:r>
        <w:rPr>
          <w:color w:val="auto"/>
        </w:rPr>
        <w:t>④监测方法和标准</w:t>
      </w:r>
    </w:p>
    <w:p w14:paraId="540BE590">
      <w:pPr>
        <w:spacing w:before="3"/>
        <w:ind w:right="230" w:firstLine="482"/>
        <w:rPr>
          <w:b/>
          <w:color w:val="auto"/>
        </w:rPr>
      </w:pPr>
      <w:r>
        <w:rPr>
          <w:b/>
          <w:bCs/>
          <w:color w:val="auto"/>
        </w:rPr>
        <w:t xml:space="preserve">表8.3-2                 </w:t>
      </w:r>
      <w:r>
        <w:rPr>
          <w:b/>
          <w:color w:val="auto"/>
        </w:rPr>
        <w:t>监测方法和标准</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063"/>
        <w:gridCol w:w="2638"/>
        <w:gridCol w:w="3226"/>
      </w:tblGrid>
      <w:tr w14:paraId="142C15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715" w:type="pct"/>
            <w:tcBorders>
              <w:bottom w:val="single" w:color="000000" w:sz="4" w:space="0"/>
              <w:right w:val="single" w:color="000000" w:sz="4" w:space="0"/>
            </w:tcBorders>
          </w:tcPr>
          <w:p w14:paraId="6466966D">
            <w:pPr>
              <w:pStyle w:val="55"/>
              <w:spacing w:line="240" w:lineRule="exact"/>
              <w:ind w:firstLine="0" w:firstLineChars="0"/>
              <w:rPr>
                <w:color w:val="auto"/>
                <w:sz w:val="18"/>
                <w:szCs w:val="18"/>
              </w:rPr>
            </w:pPr>
            <w:r>
              <w:rPr>
                <w:color w:val="auto"/>
                <w:sz w:val="18"/>
                <w:szCs w:val="18"/>
              </w:rPr>
              <w:t>污染物名称</w:t>
            </w:r>
          </w:p>
        </w:tc>
        <w:tc>
          <w:tcPr>
            <w:tcW w:w="1477" w:type="pct"/>
            <w:tcBorders>
              <w:left w:val="single" w:color="000000" w:sz="4" w:space="0"/>
              <w:bottom w:val="single" w:color="000000" w:sz="4" w:space="0"/>
              <w:right w:val="single" w:color="000000" w:sz="4" w:space="0"/>
            </w:tcBorders>
          </w:tcPr>
          <w:p w14:paraId="73C47F05">
            <w:pPr>
              <w:pStyle w:val="55"/>
              <w:spacing w:line="240" w:lineRule="exact"/>
              <w:ind w:firstLine="0" w:firstLineChars="0"/>
              <w:rPr>
                <w:color w:val="auto"/>
                <w:sz w:val="18"/>
                <w:szCs w:val="18"/>
              </w:rPr>
            </w:pPr>
            <w:r>
              <w:rPr>
                <w:color w:val="auto"/>
                <w:sz w:val="18"/>
                <w:szCs w:val="18"/>
              </w:rPr>
              <w:t>监测方法</w:t>
            </w:r>
          </w:p>
        </w:tc>
        <w:tc>
          <w:tcPr>
            <w:tcW w:w="1806" w:type="pct"/>
            <w:tcBorders>
              <w:left w:val="single" w:color="000000" w:sz="4" w:space="0"/>
              <w:bottom w:val="single" w:color="000000" w:sz="4" w:space="0"/>
            </w:tcBorders>
          </w:tcPr>
          <w:p w14:paraId="4CC60F78">
            <w:pPr>
              <w:pStyle w:val="55"/>
              <w:spacing w:line="240" w:lineRule="exact"/>
              <w:ind w:firstLine="0" w:firstLineChars="0"/>
              <w:rPr>
                <w:color w:val="auto"/>
                <w:sz w:val="18"/>
                <w:szCs w:val="18"/>
              </w:rPr>
            </w:pPr>
            <w:r>
              <w:rPr>
                <w:color w:val="auto"/>
                <w:sz w:val="18"/>
                <w:szCs w:val="18"/>
              </w:rPr>
              <w:t>标 准</w:t>
            </w:r>
          </w:p>
        </w:tc>
      </w:tr>
      <w:tr w14:paraId="4A7226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715" w:type="pct"/>
            <w:tcBorders>
              <w:top w:val="single" w:color="000000" w:sz="4" w:space="0"/>
              <w:bottom w:val="single" w:color="000000" w:sz="4" w:space="0"/>
              <w:right w:val="single" w:color="000000" w:sz="4" w:space="0"/>
            </w:tcBorders>
          </w:tcPr>
          <w:p w14:paraId="1C300905">
            <w:pPr>
              <w:pStyle w:val="55"/>
              <w:spacing w:line="240" w:lineRule="exact"/>
              <w:ind w:firstLine="0" w:firstLineChars="0"/>
              <w:rPr>
                <w:color w:val="auto"/>
                <w:sz w:val="18"/>
                <w:szCs w:val="18"/>
              </w:rPr>
            </w:pPr>
            <w:r>
              <w:rPr>
                <w:color w:val="auto"/>
                <w:sz w:val="18"/>
                <w:szCs w:val="18"/>
              </w:rPr>
              <w:t>pH</w:t>
            </w:r>
          </w:p>
        </w:tc>
        <w:tc>
          <w:tcPr>
            <w:tcW w:w="1477" w:type="pct"/>
            <w:tcBorders>
              <w:top w:val="single" w:color="000000" w:sz="4" w:space="0"/>
              <w:left w:val="single" w:color="000000" w:sz="4" w:space="0"/>
              <w:bottom w:val="single" w:color="000000" w:sz="4" w:space="0"/>
              <w:right w:val="single" w:color="000000" w:sz="4" w:space="0"/>
            </w:tcBorders>
          </w:tcPr>
          <w:p w14:paraId="066A8AB0">
            <w:pPr>
              <w:pStyle w:val="55"/>
              <w:spacing w:line="240" w:lineRule="exact"/>
              <w:ind w:firstLine="0" w:firstLineChars="0"/>
              <w:rPr>
                <w:color w:val="auto"/>
                <w:sz w:val="18"/>
                <w:szCs w:val="18"/>
              </w:rPr>
            </w:pPr>
            <w:r>
              <w:rPr>
                <w:color w:val="auto"/>
                <w:sz w:val="18"/>
                <w:szCs w:val="18"/>
              </w:rPr>
              <w:t>玻璃电极法</w:t>
            </w:r>
          </w:p>
        </w:tc>
        <w:tc>
          <w:tcPr>
            <w:tcW w:w="1806" w:type="pct"/>
            <w:tcBorders>
              <w:top w:val="single" w:color="000000" w:sz="4" w:space="0"/>
              <w:left w:val="single" w:color="000000" w:sz="4" w:space="0"/>
              <w:bottom w:val="single" w:color="000000" w:sz="4" w:space="0"/>
            </w:tcBorders>
          </w:tcPr>
          <w:p w14:paraId="4F4CF603">
            <w:pPr>
              <w:pStyle w:val="55"/>
              <w:spacing w:line="240" w:lineRule="exact"/>
              <w:ind w:firstLine="0" w:firstLineChars="0"/>
              <w:rPr>
                <w:color w:val="auto"/>
                <w:sz w:val="18"/>
                <w:szCs w:val="18"/>
              </w:rPr>
            </w:pPr>
            <w:r>
              <w:rPr>
                <w:color w:val="auto"/>
                <w:sz w:val="18"/>
                <w:szCs w:val="18"/>
              </w:rPr>
              <w:t>GB/T6920-1986</w:t>
            </w:r>
          </w:p>
        </w:tc>
      </w:tr>
      <w:tr w14:paraId="787333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715" w:type="pct"/>
            <w:tcBorders>
              <w:top w:val="single" w:color="000000" w:sz="4" w:space="0"/>
              <w:bottom w:val="single" w:color="000000" w:sz="4" w:space="0"/>
              <w:right w:val="single" w:color="000000" w:sz="4" w:space="0"/>
            </w:tcBorders>
          </w:tcPr>
          <w:p w14:paraId="39CEFD95">
            <w:pPr>
              <w:pStyle w:val="55"/>
              <w:spacing w:line="240" w:lineRule="exact"/>
              <w:ind w:firstLine="0" w:firstLineChars="0"/>
              <w:rPr>
                <w:color w:val="auto"/>
                <w:sz w:val="18"/>
                <w:szCs w:val="18"/>
              </w:rPr>
            </w:pPr>
            <w:r>
              <w:rPr>
                <w:color w:val="auto"/>
                <w:sz w:val="18"/>
                <w:szCs w:val="18"/>
              </w:rPr>
              <w:t>CODCr</w:t>
            </w:r>
          </w:p>
        </w:tc>
        <w:tc>
          <w:tcPr>
            <w:tcW w:w="1477" w:type="pct"/>
            <w:tcBorders>
              <w:top w:val="single" w:color="000000" w:sz="4" w:space="0"/>
              <w:left w:val="single" w:color="000000" w:sz="4" w:space="0"/>
              <w:bottom w:val="single" w:color="000000" w:sz="4" w:space="0"/>
              <w:right w:val="single" w:color="000000" w:sz="4" w:space="0"/>
            </w:tcBorders>
          </w:tcPr>
          <w:p w14:paraId="0BB44BEF">
            <w:pPr>
              <w:pStyle w:val="55"/>
              <w:spacing w:line="240" w:lineRule="exact"/>
              <w:ind w:firstLine="0" w:firstLineChars="0"/>
              <w:rPr>
                <w:color w:val="auto"/>
                <w:sz w:val="18"/>
                <w:szCs w:val="18"/>
              </w:rPr>
            </w:pPr>
            <w:r>
              <w:rPr>
                <w:color w:val="auto"/>
                <w:sz w:val="18"/>
                <w:szCs w:val="18"/>
              </w:rPr>
              <w:t>重铬酸钾法</w:t>
            </w:r>
          </w:p>
        </w:tc>
        <w:tc>
          <w:tcPr>
            <w:tcW w:w="1806" w:type="pct"/>
            <w:tcBorders>
              <w:top w:val="single" w:color="000000" w:sz="4" w:space="0"/>
              <w:left w:val="single" w:color="000000" w:sz="4" w:space="0"/>
              <w:bottom w:val="single" w:color="000000" w:sz="4" w:space="0"/>
            </w:tcBorders>
          </w:tcPr>
          <w:p w14:paraId="0057D33B">
            <w:pPr>
              <w:pStyle w:val="55"/>
              <w:spacing w:line="240" w:lineRule="exact"/>
              <w:ind w:firstLine="0" w:firstLineChars="0"/>
              <w:rPr>
                <w:color w:val="auto"/>
                <w:sz w:val="18"/>
                <w:szCs w:val="18"/>
              </w:rPr>
            </w:pPr>
            <w:r>
              <w:rPr>
                <w:color w:val="auto"/>
                <w:sz w:val="18"/>
                <w:szCs w:val="18"/>
              </w:rPr>
              <w:t>GB/T11914-1989</w:t>
            </w:r>
          </w:p>
        </w:tc>
      </w:tr>
      <w:tr w14:paraId="21765D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715" w:type="pct"/>
            <w:tcBorders>
              <w:top w:val="single" w:color="000000" w:sz="4" w:space="0"/>
              <w:bottom w:val="single" w:color="000000" w:sz="4" w:space="0"/>
              <w:right w:val="single" w:color="000000" w:sz="4" w:space="0"/>
            </w:tcBorders>
          </w:tcPr>
          <w:p w14:paraId="013D15D9">
            <w:pPr>
              <w:pStyle w:val="55"/>
              <w:spacing w:line="240" w:lineRule="exact"/>
              <w:ind w:firstLine="0" w:firstLineChars="0"/>
              <w:rPr>
                <w:color w:val="auto"/>
                <w:sz w:val="18"/>
                <w:szCs w:val="18"/>
              </w:rPr>
            </w:pPr>
            <w:r>
              <w:rPr>
                <w:color w:val="auto"/>
                <w:sz w:val="18"/>
                <w:szCs w:val="18"/>
              </w:rPr>
              <w:t>总磷</w:t>
            </w:r>
          </w:p>
        </w:tc>
        <w:tc>
          <w:tcPr>
            <w:tcW w:w="1477" w:type="pct"/>
            <w:tcBorders>
              <w:top w:val="single" w:color="000000" w:sz="4" w:space="0"/>
              <w:left w:val="single" w:color="000000" w:sz="4" w:space="0"/>
              <w:bottom w:val="single" w:color="000000" w:sz="4" w:space="0"/>
              <w:right w:val="single" w:color="000000" w:sz="4" w:space="0"/>
            </w:tcBorders>
          </w:tcPr>
          <w:p w14:paraId="203DBB84">
            <w:pPr>
              <w:pStyle w:val="55"/>
              <w:spacing w:line="240" w:lineRule="exact"/>
              <w:ind w:firstLine="0" w:firstLineChars="0"/>
              <w:rPr>
                <w:color w:val="auto"/>
                <w:sz w:val="18"/>
                <w:szCs w:val="18"/>
              </w:rPr>
            </w:pPr>
            <w:r>
              <w:rPr>
                <w:color w:val="auto"/>
                <w:sz w:val="18"/>
                <w:szCs w:val="18"/>
              </w:rPr>
              <w:t>钼酸铵分光光度计法</w:t>
            </w:r>
          </w:p>
        </w:tc>
        <w:tc>
          <w:tcPr>
            <w:tcW w:w="1806" w:type="pct"/>
            <w:tcBorders>
              <w:top w:val="single" w:color="000000" w:sz="4" w:space="0"/>
              <w:left w:val="single" w:color="000000" w:sz="4" w:space="0"/>
              <w:bottom w:val="single" w:color="000000" w:sz="4" w:space="0"/>
            </w:tcBorders>
          </w:tcPr>
          <w:p w14:paraId="65076A94">
            <w:pPr>
              <w:pStyle w:val="55"/>
              <w:spacing w:line="240" w:lineRule="exact"/>
              <w:ind w:firstLine="0" w:firstLineChars="0"/>
              <w:rPr>
                <w:color w:val="auto"/>
                <w:sz w:val="18"/>
                <w:szCs w:val="18"/>
              </w:rPr>
            </w:pPr>
            <w:r>
              <w:rPr>
                <w:color w:val="auto"/>
                <w:sz w:val="18"/>
                <w:szCs w:val="18"/>
              </w:rPr>
              <w:t>GB 11893-89</w:t>
            </w:r>
          </w:p>
        </w:tc>
      </w:tr>
      <w:tr w14:paraId="6B973B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715" w:type="pct"/>
            <w:tcBorders>
              <w:top w:val="single" w:color="000000" w:sz="4" w:space="0"/>
              <w:bottom w:val="single" w:color="000000" w:sz="4" w:space="0"/>
              <w:right w:val="single" w:color="000000" w:sz="4" w:space="0"/>
            </w:tcBorders>
          </w:tcPr>
          <w:p w14:paraId="66F0812B">
            <w:pPr>
              <w:pStyle w:val="55"/>
              <w:spacing w:line="240" w:lineRule="exact"/>
              <w:ind w:firstLine="0" w:firstLineChars="0"/>
              <w:rPr>
                <w:color w:val="auto"/>
                <w:sz w:val="18"/>
                <w:szCs w:val="18"/>
              </w:rPr>
            </w:pPr>
            <w:r>
              <w:rPr>
                <w:color w:val="auto"/>
                <w:sz w:val="18"/>
                <w:szCs w:val="18"/>
              </w:rPr>
              <w:t>氨氮</w:t>
            </w:r>
          </w:p>
        </w:tc>
        <w:tc>
          <w:tcPr>
            <w:tcW w:w="1477" w:type="pct"/>
            <w:tcBorders>
              <w:top w:val="single" w:color="000000" w:sz="4" w:space="0"/>
              <w:left w:val="single" w:color="000000" w:sz="4" w:space="0"/>
              <w:bottom w:val="single" w:color="000000" w:sz="4" w:space="0"/>
              <w:right w:val="single" w:color="000000" w:sz="4" w:space="0"/>
            </w:tcBorders>
          </w:tcPr>
          <w:p w14:paraId="751D2F18">
            <w:pPr>
              <w:pStyle w:val="55"/>
              <w:spacing w:line="240" w:lineRule="exact"/>
              <w:ind w:firstLine="0" w:firstLineChars="0"/>
              <w:rPr>
                <w:color w:val="auto"/>
                <w:sz w:val="18"/>
                <w:szCs w:val="18"/>
              </w:rPr>
            </w:pPr>
            <w:r>
              <w:rPr>
                <w:color w:val="auto"/>
                <w:sz w:val="18"/>
                <w:szCs w:val="18"/>
              </w:rPr>
              <w:t>钠氏试剂比色法</w:t>
            </w:r>
          </w:p>
        </w:tc>
        <w:tc>
          <w:tcPr>
            <w:tcW w:w="1806" w:type="pct"/>
            <w:tcBorders>
              <w:top w:val="single" w:color="000000" w:sz="4" w:space="0"/>
              <w:left w:val="single" w:color="000000" w:sz="4" w:space="0"/>
              <w:bottom w:val="single" w:color="000000" w:sz="4" w:space="0"/>
            </w:tcBorders>
          </w:tcPr>
          <w:p w14:paraId="5D39C772">
            <w:pPr>
              <w:pStyle w:val="55"/>
              <w:spacing w:line="240" w:lineRule="exact"/>
              <w:ind w:firstLine="0" w:firstLineChars="0"/>
              <w:rPr>
                <w:color w:val="auto"/>
                <w:sz w:val="18"/>
                <w:szCs w:val="18"/>
              </w:rPr>
            </w:pPr>
            <w:r>
              <w:rPr>
                <w:color w:val="auto"/>
                <w:sz w:val="18"/>
                <w:szCs w:val="18"/>
              </w:rPr>
              <w:t>GB/T7479-1987</w:t>
            </w:r>
          </w:p>
        </w:tc>
      </w:tr>
      <w:tr w14:paraId="22E538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715" w:type="pct"/>
            <w:tcBorders>
              <w:top w:val="single" w:color="000000" w:sz="4" w:space="0"/>
              <w:right w:val="single" w:color="000000" w:sz="4" w:space="0"/>
            </w:tcBorders>
          </w:tcPr>
          <w:p w14:paraId="539EE784">
            <w:pPr>
              <w:pStyle w:val="55"/>
              <w:spacing w:line="240" w:lineRule="exact"/>
              <w:ind w:firstLine="0" w:firstLineChars="0"/>
              <w:rPr>
                <w:color w:val="auto"/>
                <w:sz w:val="18"/>
                <w:szCs w:val="18"/>
              </w:rPr>
            </w:pPr>
            <w:r>
              <w:rPr>
                <w:color w:val="auto"/>
                <w:sz w:val="18"/>
                <w:szCs w:val="18"/>
              </w:rPr>
              <w:t>特征污染物</w:t>
            </w:r>
          </w:p>
        </w:tc>
        <w:tc>
          <w:tcPr>
            <w:tcW w:w="1477" w:type="pct"/>
            <w:tcBorders>
              <w:top w:val="single" w:color="000000" w:sz="4" w:space="0"/>
              <w:left w:val="single" w:color="000000" w:sz="4" w:space="0"/>
              <w:right w:val="single" w:color="000000" w:sz="4" w:space="0"/>
            </w:tcBorders>
          </w:tcPr>
          <w:p w14:paraId="050BCD3F">
            <w:pPr>
              <w:pStyle w:val="55"/>
              <w:spacing w:line="240" w:lineRule="exact"/>
              <w:ind w:firstLine="0" w:firstLineChars="0"/>
              <w:rPr>
                <w:color w:val="auto"/>
                <w:sz w:val="18"/>
                <w:szCs w:val="18"/>
              </w:rPr>
            </w:pPr>
            <w:r>
              <w:rPr>
                <w:color w:val="auto"/>
                <w:sz w:val="18"/>
                <w:szCs w:val="18"/>
              </w:rPr>
              <w:t>选定</w:t>
            </w:r>
          </w:p>
        </w:tc>
        <w:tc>
          <w:tcPr>
            <w:tcW w:w="1806" w:type="pct"/>
            <w:tcBorders>
              <w:top w:val="single" w:color="000000" w:sz="4" w:space="0"/>
              <w:left w:val="single" w:color="000000" w:sz="4" w:space="0"/>
            </w:tcBorders>
          </w:tcPr>
          <w:p w14:paraId="26E4A06D">
            <w:pPr>
              <w:pStyle w:val="55"/>
              <w:spacing w:line="240" w:lineRule="exact"/>
              <w:ind w:firstLine="0" w:firstLineChars="0"/>
              <w:rPr>
                <w:color w:val="auto"/>
                <w:sz w:val="18"/>
                <w:szCs w:val="18"/>
              </w:rPr>
            </w:pPr>
            <w:r>
              <w:rPr>
                <w:color w:val="auto"/>
                <w:sz w:val="18"/>
                <w:szCs w:val="18"/>
              </w:rPr>
              <w:t>选定</w:t>
            </w:r>
          </w:p>
        </w:tc>
      </w:tr>
    </w:tbl>
    <w:p w14:paraId="6EC602C1">
      <w:pPr>
        <w:pStyle w:val="5"/>
        <w:numPr>
          <w:ilvl w:val="0"/>
          <w:numId w:val="0"/>
        </w:numPr>
        <w:spacing w:before="166" w:after="166"/>
        <w:rPr>
          <w:color w:val="auto"/>
        </w:rPr>
      </w:pPr>
      <w:r>
        <w:rPr>
          <w:color w:val="auto"/>
        </w:rPr>
        <w:t>8.3.4 应急终止</w:t>
      </w:r>
    </w:p>
    <w:p w14:paraId="118C3A51">
      <w:pPr>
        <w:ind w:firstLine="480"/>
        <w:rPr>
          <w:color w:val="auto"/>
        </w:rPr>
      </w:pPr>
      <w:r>
        <w:rPr>
          <w:color w:val="auto"/>
        </w:rPr>
        <w:t>符合下列条件，可终止应急行动：</w:t>
      </w:r>
    </w:p>
    <w:p w14:paraId="5725F3BE">
      <w:pPr>
        <w:ind w:firstLine="480"/>
        <w:rPr>
          <w:color w:val="auto"/>
        </w:rPr>
      </w:pPr>
      <w:r>
        <w:rPr>
          <w:color w:val="auto"/>
        </w:rPr>
        <w:t>①现场各专业抢险队伍对事故相关已处置完毕，应急行动已无继续的必要；</w:t>
      </w:r>
    </w:p>
    <w:p w14:paraId="39C729A6">
      <w:pPr>
        <w:ind w:firstLine="480"/>
        <w:rPr>
          <w:color w:val="auto"/>
        </w:rPr>
      </w:pPr>
      <w:r>
        <w:rPr>
          <w:color w:val="auto"/>
        </w:rPr>
        <w:t>②污染事故得到完全控制，污染危险已经消除；</w:t>
      </w:r>
    </w:p>
    <w:p w14:paraId="34A09329">
      <w:pPr>
        <w:ind w:firstLine="480"/>
        <w:rPr>
          <w:color w:val="auto"/>
        </w:rPr>
      </w:pPr>
      <w:r>
        <w:rPr>
          <w:color w:val="auto"/>
        </w:rPr>
        <w:t>③事故所造成的危害已被彻底消除，无继发可能；</w:t>
      </w:r>
    </w:p>
    <w:p w14:paraId="7D725D5A">
      <w:pPr>
        <w:ind w:firstLine="480"/>
        <w:rPr>
          <w:color w:val="auto"/>
        </w:rPr>
      </w:pPr>
      <w:r>
        <w:rPr>
          <w:color w:val="auto"/>
        </w:rPr>
        <w:t>④污染物的泄漏或释放，经检测符合相关规定；</w:t>
      </w:r>
    </w:p>
    <w:p w14:paraId="2275A577">
      <w:pPr>
        <w:ind w:firstLine="480"/>
        <w:rPr>
          <w:color w:val="auto"/>
        </w:rPr>
      </w:pPr>
      <w:r>
        <w:rPr>
          <w:color w:val="auto"/>
        </w:rPr>
        <w:t>⑤采取了必要的防护措施以保护员工免受再次危害，并使事件可能引起的中长期影响趋于合理且尽量低的水平。</w:t>
      </w:r>
      <w:r>
        <w:rPr>
          <w:color w:val="auto"/>
        </w:rPr>
        <w:br w:type="page"/>
      </w:r>
    </w:p>
    <w:p w14:paraId="3EF40A94">
      <w:pPr>
        <w:pStyle w:val="3"/>
        <w:numPr>
          <w:ilvl w:val="0"/>
          <w:numId w:val="0"/>
        </w:numPr>
        <w:spacing w:before="333" w:after="333"/>
        <w:rPr>
          <w:color w:val="auto"/>
        </w:rPr>
      </w:pPr>
      <w:bookmarkStart w:id="94" w:name="_Toc20742"/>
      <w:r>
        <w:rPr>
          <w:color w:val="auto"/>
        </w:rPr>
        <w:t>9水资源节约保护管理对策措施</w:t>
      </w:r>
      <w:bookmarkEnd w:id="94"/>
    </w:p>
    <w:p w14:paraId="2324BF47">
      <w:pPr>
        <w:pStyle w:val="4"/>
        <w:numPr>
          <w:ilvl w:val="1"/>
          <w:numId w:val="0"/>
        </w:numPr>
        <w:spacing w:before="166" w:after="166"/>
        <w:rPr>
          <w:color w:val="auto"/>
        </w:rPr>
      </w:pPr>
      <w:bookmarkStart w:id="95" w:name="_Toc15815"/>
      <w:r>
        <w:rPr>
          <w:color w:val="auto"/>
        </w:rPr>
        <w:t>9.1节约用水措施</w:t>
      </w:r>
      <w:bookmarkEnd w:id="95"/>
    </w:p>
    <w:p w14:paraId="3D9644FB">
      <w:pPr>
        <w:ind w:firstLine="480"/>
        <w:rPr>
          <w:color w:val="auto"/>
        </w:rPr>
      </w:pPr>
      <w:r>
        <w:rPr>
          <w:color w:val="auto"/>
        </w:rPr>
        <w:t>重庆九龙工业园区各企业用水水平与国内、世界先进水平相比尚有差距，仍有节水潜力。因此，各企业在运行过程中必须进一步提高用本工艺，采用较先进的生产工艺和提高中水回用率，做到一水多用、重复利用，力争用水水平接近世界先进水平。</w:t>
      </w:r>
    </w:p>
    <w:p w14:paraId="12CF70CF">
      <w:pPr>
        <w:ind w:firstLine="480"/>
        <w:rPr>
          <w:color w:val="auto"/>
        </w:rPr>
      </w:pPr>
      <w:r>
        <w:rPr>
          <w:color w:val="auto"/>
        </w:rPr>
        <w:t>由于园区的用水需求较大，根据园区的水资源配置方案，开辟新水源的前提是强化节水，按照“节水优先”的总体要求，大力发展循环经济，节约水量用于工业园区的用水量增长。</w:t>
      </w:r>
    </w:p>
    <w:p w14:paraId="1F0BE40A">
      <w:pPr>
        <w:pStyle w:val="5"/>
        <w:numPr>
          <w:ilvl w:val="0"/>
          <w:numId w:val="0"/>
        </w:numPr>
        <w:spacing w:before="166" w:after="166"/>
        <w:rPr>
          <w:color w:val="auto"/>
        </w:rPr>
      </w:pPr>
      <w:r>
        <w:rPr>
          <w:color w:val="auto"/>
        </w:rPr>
        <w:t>9.1.1工业节水</w:t>
      </w:r>
    </w:p>
    <w:p w14:paraId="6C349941">
      <w:pPr>
        <w:ind w:firstLine="482"/>
        <w:rPr>
          <w:b/>
          <w:bCs/>
          <w:color w:val="auto"/>
        </w:rPr>
      </w:pPr>
      <w:r>
        <w:rPr>
          <w:b/>
          <w:bCs/>
          <w:color w:val="auto"/>
        </w:rPr>
        <w:t>（1）优化调整产业结构</w:t>
      </w:r>
    </w:p>
    <w:p w14:paraId="63B8D8A0">
      <w:pPr>
        <w:ind w:firstLine="480"/>
        <w:rPr>
          <w:color w:val="auto"/>
        </w:rPr>
      </w:pPr>
      <w:r>
        <w:rPr>
          <w:color w:val="auto"/>
        </w:rPr>
        <w:t>坚持以水定产的原则，统筹给水、节水、排水、污水处理与再生利用等用水管理与产业发展的协调。根据全区水资源条件和行业特点，科学调整产业结构布局。将发展节水型工业与产业结构调整有机结合起来，发展符合国家产业政策、水资源消耗少、用水效率高的产业，严格控制高耗水、高污染项目建设。</w:t>
      </w:r>
    </w:p>
    <w:p w14:paraId="0D9B703B">
      <w:pPr>
        <w:ind w:firstLine="482"/>
        <w:rPr>
          <w:b/>
          <w:bCs/>
          <w:color w:val="auto"/>
        </w:rPr>
      </w:pPr>
      <w:r>
        <w:rPr>
          <w:b/>
          <w:bCs/>
          <w:color w:val="auto"/>
        </w:rPr>
        <w:t>（2）大力推进工业节水改造</w:t>
      </w:r>
    </w:p>
    <w:p w14:paraId="36CE98DC">
      <w:pPr>
        <w:ind w:firstLine="480"/>
        <w:rPr>
          <w:color w:val="auto"/>
        </w:rPr>
      </w:pPr>
      <w:r>
        <w:rPr>
          <w:color w:val="auto"/>
        </w:rPr>
        <w:t>完善供用水计量体系和在线监测系统，强化生产用水管理。推广高效洗涤、循环用水、废污水再生利用、高耗水生产工艺替代等节水工艺和技术。支持企业开展节水技术改造及再生水回用改造，重点企业要定期开展水平衡测试、用水审计及水效对标。对超过取水定额标准的企业分类分步限期实施节水改造。</w:t>
      </w:r>
    </w:p>
    <w:p w14:paraId="720DB017">
      <w:pPr>
        <w:ind w:firstLine="482"/>
        <w:rPr>
          <w:b/>
          <w:bCs/>
          <w:color w:val="auto"/>
        </w:rPr>
      </w:pPr>
      <w:r>
        <w:rPr>
          <w:b/>
          <w:bCs/>
          <w:color w:val="auto"/>
        </w:rPr>
        <w:t>（3）推动高耗水行业节水增效</w:t>
      </w:r>
    </w:p>
    <w:p w14:paraId="32E7165A">
      <w:pPr>
        <w:ind w:firstLine="480"/>
        <w:rPr>
          <w:color w:val="auto"/>
        </w:rPr>
      </w:pPr>
      <w:r>
        <w:rPr>
          <w:color w:val="auto"/>
        </w:rPr>
        <w:t>对规划期内区内仍然留存的高耗水行业，逐渐淘汰设备落后、污染严重、经济效益差的小型企业；改进高耗水行业的生产工艺，推行少水、无水新工艺。新建和改造大中型企业，采用新技术新设备。在各行业以部分企业为试点，普遍实行清洁生产、全区工业持续进行用水设备、工艺及技术改造。有条件区域采取工程措施实现不同企业之间串联用水。从各方面提高用水水平，全面建成节水型产业。</w:t>
      </w:r>
    </w:p>
    <w:p w14:paraId="536ABC8B">
      <w:pPr>
        <w:ind w:firstLine="482"/>
        <w:rPr>
          <w:b/>
          <w:bCs/>
          <w:color w:val="auto"/>
        </w:rPr>
      </w:pPr>
      <w:r>
        <w:rPr>
          <w:b/>
          <w:bCs/>
          <w:color w:val="auto"/>
        </w:rPr>
        <w:t>（4）积极推行水循环梯级利用</w:t>
      </w:r>
    </w:p>
    <w:p w14:paraId="1BE5BACD">
      <w:pPr>
        <w:overflowPunct w:val="0"/>
        <w:ind w:firstLine="480"/>
        <w:rPr>
          <w:color w:val="auto"/>
        </w:rPr>
      </w:pPr>
      <w:r>
        <w:rPr>
          <w:color w:val="auto"/>
        </w:rPr>
        <w:t>推进园区企业开展以节水为重点内容的绿色高质量转型升级和循环化改造，加快节水及水循环利用设施建设，促进企业间串联用水、分质用水，一水多用和循环利用。园区新建企业要在前期规划布局时，统筹供排水、水处理及循环利用设施建设，推动企业间的用水系统集成优化，形成水循环梯级利用。</w:t>
      </w:r>
    </w:p>
    <w:p w14:paraId="5F521A3A">
      <w:pPr>
        <w:ind w:firstLine="482"/>
        <w:rPr>
          <w:b/>
          <w:bCs/>
          <w:color w:val="auto"/>
        </w:rPr>
      </w:pPr>
      <w:r>
        <w:rPr>
          <w:b/>
          <w:bCs/>
          <w:color w:val="auto"/>
        </w:rPr>
        <w:t>（5）落实企业水平衡测试工作</w:t>
      </w:r>
    </w:p>
    <w:p w14:paraId="498CE557">
      <w:pPr>
        <w:ind w:firstLine="480"/>
        <w:rPr>
          <w:color w:val="auto"/>
        </w:rPr>
      </w:pPr>
      <w:r>
        <w:rPr>
          <w:color w:val="auto"/>
        </w:rPr>
        <w:t>全面开展工业企业的水平衡测试工作，各企业均应按照节水型企业创建的要求，每三年开展一次水平衡测试工作。根据水平衡测试结果，采取工程措施全面整治工业企业内的跑、冒、漏现象，从而减少不必要的水量损失。</w:t>
      </w:r>
    </w:p>
    <w:p w14:paraId="61A6D677">
      <w:pPr>
        <w:pStyle w:val="11"/>
        <w:ind w:firstLine="482"/>
        <w:rPr>
          <w:b/>
          <w:bCs/>
          <w:color w:val="auto"/>
        </w:rPr>
      </w:pPr>
      <w:r>
        <w:rPr>
          <w:b/>
          <w:bCs/>
          <w:color w:val="auto"/>
        </w:rPr>
        <w:t>（6）工业用水节水指标</w:t>
      </w:r>
    </w:p>
    <w:p w14:paraId="0E93E842">
      <w:pPr>
        <w:pStyle w:val="11"/>
        <w:ind w:firstLine="480"/>
        <w:rPr>
          <w:color w:val="auto"/>
        </w:rPr>
      </w:pPr>
      <w:r>
        <w:rPr>
          <w:color w:val="auto"/>
        </w:rPr>
        <w:t>根据《重庆市九龙坡区“十四五”节约用水规划》拟定到2025年末，万万元工业增加值用水量较2020年下降5%。规模以上工业水循环利用率稳定在90%以上，工业用水计量率达到100%，重点行业年用水量10万吨以上企业节水型企业建成率保持100%。</w:t>
      </w:r>
    </w:p>
    <w:p w14:paraId="051CA97A">
      <w:pPr>
        <w:pStyle w:val="5"/>
        <w:numPr>
          <w:ilvl w:val="0"/>
          <w:numId w:val="0"/>
        </w:numPr>
        <w:spacing w:before="166" w:after="166"/>
        <w:rPr>
          <w:color w:val="auto"/>
        </w:rPr>
      </w:pPr>
      <w:r>
        <w:rPr>
          <w:color w:val="auto"/>
        </w:rPr>
        <w:t>9.1.2城市生活节水</w:t>
      </w:r>
    </w:p>
    <w:p w14:paraId="6836A1EF">
      <w:pPr>
        <w:ind w:firstLine="482"/>
        <w:rPr>
          <w:b/>
          <w:bCs/>
          <w:color w:val="auto"/>
        </w:rPr>
      </w:pPr>
      <w:r>
        <w:rPr>
          <w:b/>
          <w:bCs/>
          <w:color w:val="auto"/>
        </w:rPr>
        <w:t>（1）全面推进节水型城市建设</w:t>
      </w:r>
    </w:p>
    <w:p w14:paraId="75071110">
      <w:pPr>
        <w:ind w:firstLine="480"/>
        <w:rPr>
          <w:color w:val="auto"/>
        </w:rPr>
      </w:pPr>
      <w:r>
        <w:rPr>
          <w:color w:val="auto"/>
        </w:rPr>
        <w:t>提高城市节水工作系统性，将节水落实到城市规划、建设、管理各环节，实现优水优用、循环循序利用。落实城市节水各项基础管理制度，推进城镇节水改造；结合海绵城市建设，提高雨水资源利用水平；重点抓好再生水利用设施建设与改造，城市生态景观、工业生产、城市绿化、道路清扫、车辆冲洗和建筑施工等，优先使用再生水，提升再生水利用水平，鼓励构建城镇良性水循环系统。</w:t>
      </w:r>
    </w:p>
    <w:p w14:paraId="61803442">
      <w:pPr>
        <w:ind w:firstLine="482"/>
        <w:rPr>
          <w:b/>
          <w:bCs/>
          <w:color w:val="auto"/>
        </w:rPr>
      </w:pPr>
      <w:r>
        <w:rPr>
          <w:b/>
          <w:bCs/>
          <w:color w:val="auto"/>
        </w:rPr>
        <w:t>（2）大幅降低供水管网漏损</w:t>
      </w:r>
    </w:p>
    <w:p w14:paraId="4834ACC2">
      <w:pPr>
        <w:ind w:firstLine="480"/>
        <w:rPr>
          <w:color w:val="auto"/>
        </w:rPr>
      </w:pPr>
      <w:r>
        <w:rPr>
          <w:color w:val="auto"/>
        </w:rPr>
        <w:t>加快制定和实施供水管网改造建设实施方案，完善供水管网检漏制度。加强公共供水系统运行监督管理，推进城镇供水管网分区计量管理，建立精细化管理平台和漏损管控体系，协同推进二次供水设施改造和专业化管理。重点推动老城区、老校区等管网高漏损区域节水改造，逐步降低管网漏损率。</w:t>
      </w:r>
    </w:p>
    <w:p w14:paraId="133A152A">
      <w:pPr>
        <w:ind w:firstLine="482"/>
        <w:rPr>
          <w:b/>
          <w:bCs/>
          <w:color w:val="auto"/>
        </w:rPr>
      </w:pPr>
      <w:r>
        <w:rPr>
          <w:b/>
          <w:bCs/>
          <w:color w:val="auto"/>
        </w:rPr>
        <w:t>（3）推进城镇供水管网分区计量管理</w:t>
      </w:r>
    </w:p>
    <w:p w14:paraId="3D3139F1">
      <w:pPr>
        <w:ind w:firstLine="480"/>
        <w:rPr>
          <w:color w:val="auto"/>
        </w:rPr>
      </w:pPr>
      <w:r>
        <w:rPr>
          <w:color w:val="auto"/>
        </w:rPr>
        <w:t>根据住建部《城镇供水管网分区计量管理工作指南—供水管网漏损管控体系构建》（试行），建设供水管网漏损控制系统，对管网巡查探漏、分区DMA计量、流量和压力数据等进行统一管理，提高综合分析和辅助决策能力，提升漏损控制水平。加强水表检定和更换，对收费计量水表进行定期检定及定期轮换。</w:t>
      </w:r>
    </w:p>
    <w:p w14:paraId="76386884">
      <w:pPr>
        <w:ind w:firstLine="482"/>
        <w:rPr>
          <w:b/>
          <w:bCs/>
          <w:color w:val="auto"/>
        </w:rPr>
      </w:pPr>
      <w:r>
        <w:rPr>
          <w:b/>
          <w:bCs/>
          <w:color w:val="auto"/>
        </w:rPr>
        <w:t>（4）加快推进“一户一表”改造</w:t>
      </w:r>
    </w:p>
    <w:p w14:paraId="21E1927B">
      <w:pPr>
        <w:ind w:firstLine="480"/>
        <w:rPr>
          <w:color w:val="auto"/>
        </w:rPr>
      </w:pPr>
      <w:r>
        <w:rPr>
          <w:color w:val="auto"/>
        </w:rPr>
        <w:t>目前，九龙坡区“一户一表、独立计费”改造实施还需完善，要督促、协调建成区内现状仍采用“总表”供水模式的住宅小区、楼房进行“一户一表、独立计费”改造，新建住宅要严格按照国家标准要求，设置分户水表，便于户外读表，全面实施居民用水阶梯水价，实现城镇居民“一户一表”全覆盖。</w:t>
      </w:r>
    </w:p>
    <w:p w14:paraId="1E12E57B">
      <w:pPr>
        <w:ind w:firstLine="482"/>
        <w:rPr>
          <w:b/>
          <w:bCs/>
          <w:color w:val="auto"/>
        </w:rPr>
      </w:pPr>
      <w:r>
        <w:rPr>
          <w:b/>
          <w:bCs/>
          <w:color w:val="auto"/>
        </w:rPr>
        <w:t>（5）深入开展公共领域节水</w:t>
      </w:r>
    </w:p>
    <w:p w14:paraId="0E6881B5">
      <w:pPr>
        <w:ind w:firstLine="480"/>
        <w:rPr>
          <w:color w:val="auto"/>
        </w:rPr>
      </w:pPr>
      <w:r>
        <w:rPr>
          <w:color w:val="auto"/>
        </w:rPr>
        <w:t>城市园林绿化宜采用喷灌、微灌等节水灌溉方式。公共机构要开展供水管网、绿化浇灌系统等节水诊断，推广应用节水新技术、新工艺和新产品，提高节水器具使用率。大力推广绿色建筑，新建公共建筑必须安装节水器具。</w:t>
      </w:r>
    </w:p>
    <w:p w14:paraId="01A7A749">
      <w:pPr>
        <w:ind w:firstLine="482"/>
        <w:rPr>
          <w:b/>
          <w:bCs/>
          <w:color w:val="auto"/>
        </w:rPr>
      </w:pPr>
      <w:r>
        <w:rPr>
          <w:b/>
          <w:bCs/>
          <w:color w:val="auto"/>
        </w:rPr>
        <w:t>（6）严控高耗水服务业用水</w:t>
      </w:r>
    </w:p>
    <w:p w14:paraId="0FC2CA92">
      <w:pPr>
        <w:ind w:firstLine="480"/>
        <w:rPr>
          <w:color w:val="auto"/>
        </w:rPr>
      </w:pPr>
      <w:r>
        <w:rPr>
          <w:color w:val="auto"/>
        </w:rPr>
        <w:t>从严控制洗浴、洗车、高尔夫球场、人工滑冰场、洗涤、宾馆等行业用水定额。洗车、高尔夫球场、人工滑冰场等特种行业积极推广循环用水技术、设备与工艺，优先利用再生水、雨水等非常规水源。</w:t>
      </w:r>
    </w:p>
    <w:p w14:paraId="39C0DD54">
      <w:pPr>
        <w:ind w:firstLine="482"/>
        <w:rPr>
          <w:b/>
          <w:bCs/>
          <w:color w:val="auto"/>
        </w:rPr>
      </w:pPr>
      <w:r>
        <w:rPr>
          <w:b/>
          <w:bCs/>
          <w:color w:val="auto"/>
        </w:rPr>
        <w:t>（7）加大推广使用节水器具</w:t>
      </w:r>
    </w:p>
    <w:p w14:paraId="01335EF8">
      <w:pPr>
        <w:ind w:firstLine="480"/>
        <w:rPr>
          <w:color w:val="auto"/>
        </w:rPr>
      </w:pPr>
      <w:r>
        <w:rPr>
          <w:color w:val="auto"/>
        </w:rPr>
        <w:t>加大力度推广应用节水型设备和器具，推进节水产品推广普及。城市建成区内公共建筑、公共区域（厕所）等非居民住宅建筑的用水器具，应当在全面调查摸底基础上，按照实际情况制定换装计划并实施。鼓励老旧居民小区自主开展用水器具改造，引导居民淘汰现有不符合节水标准的生活用水器具。</w:t>
      </w:r>
    </w:p>
    <w:p w14:paraId="425E2CF9">
      <w:pPr>
        <w:pStyle w:val="11"/>
        <w:ind w:firstLine="480"/>
        <w:rPr>
          <w:color w:val="auto"/>
        </w:rPr>
      </w:pPr>
      <w:r>
        <w:rPr>
          <w:color w:val="auto"/>
        </w:rPr>
        <w:t>（8）生活用水节水指标</w:t>
      </w:r>
    </w:p>
    <w:p w14:paraId="4CD15963">
      <w:pPr>
        <w:ind w:firstLine="480"/>
        <w:rPr>
          <w:color w:val="auto"/>
        </w:rPr>
      </w:pPr>
      <w:r>
        <w:rPr>
          <w:color w:val="auto"/>
        </w:rPr>
        <w:t>根据《重庆市九龙坡区“十四五”节约用水规划》拟定到2025年末，城镇公共供水管网漏损率控制在9%以内，新建小区节水器具普及率保持100%，城市再生水利用率达到8%以上，创建一批节水型小区、公共机构、学校。</w:t>
      </w:r>
    </w:p>
    <w:p w14:paraId="57629581">
      <w:pPr>
        <w:pStyle w:val="4"/>
        <w:numPr>
          <w:ilvl w:val="1"/>
          <w:numId w:val="0"/>
        </w:numPr>
        <w:spacing w:before="166" w:after="166"/>
        <w:rPr>
          <w:color w:val="auto"/>
        </w:rPr>
      </w:pPr>
      <w:bookmarkStart w:id="96" w:name="_Toc25720"/>
      <w:r>
        <w:rPr>
          <w:color w:val="auto"/>
        </w:rPr>
        <w:t>9.2水资源保护措施</w:t>
      </w:r>
      <w:bookmarkEnd w:id="96"/>
    </w:p>
    <w:p w14:paraId="5EB9C96B">
      <w:pPr>
        <w:pStyle w:val="5"/>
        <w:numPr>
          <w:ilvl w:val="0"/>
          <w:numId w:val="0"/>
        </w:numPr>
        <w:spacing w:before="166" w:after="166"/>
        <w:rPr>
          <w:color w:val="auto"/>
        </w:rPr>
      </w:pPr>
      <w:r>
        <w:rPr>
          <w:color w:val="auto"/>
        </w:rPr>
        <w:t>9.2.1大力发展循环经济，减少企业生产排放</w:t>
      </w:r>
    </w:p>
    <w:p w14:paraId="5B7B016D">
      <w:pPr>
        <w:ind w:firstLine="480"/>
        <w:rPr>
          <w:color w:val="auto"/>
        </w:rPr>
      </w:pPr>
      <w:r>
        <w:rPr>
          <w:color w:val="auto"/>
        </w:rPr>
        <w:t>重庆九龙工业园区应加强管理，落实各项废污水处理回用措施，同时，水行政主管部门应加强监督管理力度保证工业园区所规划的供水量，同时要对入园企业进行严格控制，鼓励低耗、低污、高科技、高附加值的企业，严禁耗水量大、污染高的企业入驻。实行严格的清洁生产审计，全过程降低对水的消耗和污染；工业企业应严格控制用水量，加大工业用水的重复利用率，发展节水型工业。加强工业污染综合整治；加强现有企业水污染的综合整治，禁止工业和生活污水的直接排放，凡是污染源必须实现达标排放。重庆九龙工业园区工业用水循环利用率要求达到 80%以上。优先引进不排水或少排水企业；鼓励园区内以入驻企业实施节水型生产，使用节水型器械。</w:t>
      </w:r>
    </w:p>
    <w:p w14:paraId="080E15BB">
      <w:pPr>
        <w:ind w:firstLine="480"/>
        <w:rPr>
          <w:color w:val="auto"/>
        </w:rPr>
      </w:pPr>
      <w:r>
        <w:rPr>
          <w:color w:val="auto"/>
        </w:rPr>
        <w:t>结合园区发展战略，优化产业结构和布局，根据区域资源环境承载能力和发展潜力，合理明确不同区域的功能定位。要尽力压缩水资源密集型的产业，大力发展节水型的产业；严禁引入工艺落后、能耗高、污染严重的企业，大力发展科技含量较高，水资源消耗较少，污染较轻的产业。</w:t>
      </w:r>
    </w:p>
    <w:p w14:paraId="14521EA5">
      <w:pPr>
        <w:pStyle w:val="5"/>
        <w:numPr>
          <w:ilvl w:val="0"/>
          <w:numId w:val="0"/>
        </w:numPr>
        <w:spacing w:before="166" w:after="166"/>
        <w:rPr>
          <w:color w:val="auto"/>
        </w:rPr>
      </w:pPr>
      <w:r>
        <w:rPr>
          <w:color w:val="auto"/>
        </w:rPr>
        <w:t>9.2.2强化污水处理，加大再生水利用</w:t>
      </w:r>
    </w:p>
    <w:p w14:paraId="28B2D41B">
      <w:pPr>
        <w:ind w:firstLine="480"/>
        <w:rPr>
          <w:color w:val="auto"/>
        </w:rPr>
      </w:pPr>
      <w:r>
        <w:rPr>
          <w:color w:val="auto"/>
        </w:rPr>
        <w:t>水资源是一种可持续利用的自然资源，加强对水资源的保护能够更加合理的持续开发、利用水资源。在本工程建设、运行中应结合工程的实际，做好各类废污水的处理， 统一集中处理施工垃圾，严格控制施工期废污水达标排放。</w:t>
      </w:r>
    </w:p>
    <w:p w14:paraId="6217A7B6">
      <w:pPr>
        <w:ind w:firstLine="480"/>
        <w:rPr>
          <w:color w:val="auto"/>
        </w:rPr>
      </w:pPr>
      <w:r>
        <w:rPr>
          <w:color w:val="auto"/>
        </w:rPr>
        <w:t>加强对企业污水处理设施的建设、运行及废水排放的管理，严格监督生产废水达标排放；督促企业污水回用设施建设，减少单位产量对水资源的消耗。</w:t>
      </w:r>
    </w:p>
    <w:p w14:paraId="055554C8">
      <w:pPr>
        <w:ind w:firstLine="480"/>
        <w:rPr>
          <w:color w:val="auto"/>
        </w:rPr>
      </w:pPr>
      <w:r>
        <w:rPr>
          <w:color w:val="auto"/>
        </w:rPr>
        <w:t>规划年可考虑再生水厂及再生水利用设施的建设，实现废污水的二次处理及再生水利用；做好再生水利用规划，对用水水质要求不高的企业用水、市政绿化用水、道路清洁用水、景观用水等应完全取用再生水，以减少水资源短缺的压力。</w:t>
      </w:r>
    </w:p>
    <w:p w14:paraId="3C8D6353">
      <w:pPr>
        <w:ind w:firstLine="480"/>
        <w:rPr>
          <w:color w:val="auto"/>
        </w:rPr>
      </w:pPr>
      <w:r>
        <w:rPr>
          <w:color w:val="auto"/>
        </w:rPr>
        <w:t>排水系统工程建设中，应考虑污水管、雨水管及中水管同步建设，逐步建成完善的污水收集系统。</w:t>
      </w:r>
    </w:p>
    <w:p w14:paraId="3E3B1DC6">
      <w:pPr>
        <w:pStyle w:val="5"/>
        <w:numPr>
          <w:ilvl w:val="0"/>
          <w:numId w:val="0"/>
        </w:numPr>
        <w:spacing w:before="166" w:after="166"/>
        <w:rPr>
          <w:color w:val="auto"/>
        </w:rPr>
      </w:pPr>
      <w:r>
        <w:rPr>
          <w:color w:val="auto"/>
        </w:rPr>
        <w:t>9.2.3加强入河排污口监督管理</w:t>
      </w:r>
    </w:p>
    <w:p w14:paraId="7D1C9890">
      <w:pPr>
        <w:ind w:firstLine="480"/>
        <w:rPr>
          <w:color w:val="auto"/>
        </w:rPr>
      </w:pPr>
      <w:r>
        <w:rPr>
          <w:color w:val="auto"/>
        </w:rPr>
        <w:t>加强入河排污口监督管理是实现水功能区水质保护目标的必要措施，对保护水体不受污染具有预防作用，且在水体受污染时有助于追根溯源，找到相应污染主体，便于提出较为有效的治理措施。做好入河排污口设置登记，对园区入河排污口安装水量、水质在线监测系统，实现水量、水质实时在线监测。</w:t>
      </w:r>
    </w:p>
    <w:p w14:paraId="447BC53D">
      <w:pPr>
        <w:ind w:firstLine="480"/>
        <w:rPr>
          <w:color w:val="auto"/>
        </w:rPr>
      </w:pPr>
      <w:r>
        <w:rPr>
          <w:color w:val="auto"/>
        </w:rPr>
        <w:t>将入河排污管理落实到相应的水功能区管理中，建立健全水功能区管理机制，严格执行《水功能区管理办法》；落实相关水功能区的管理、保护责任，建立水资源保护与排污总量控制实时监控管理系统。跟踪监测，防止污染、做好污水处理厂的监督管理、做好日常检查。企业污水处理应专人负责对每天废水、污染物排放量的记录进行记录，定期向水行政主管部门上报相关资料，水行政主管部门应不定期地对上报情况进行核查，对企业取水、退水的运行管理提供技术指导和行政监督。</w:t>
      </w:r>
    </w:p>
    <w:p w14:paraId="097F1B48">
      <w:pPr>
        <w:ind w:firstLine="480"/>
        <w:rPr>
          <w:color w:val="auto"/>
        </w:rPr>
      </w:pPr>
      <w:r>
        <w:rPr>
          <w:color w:val="auto"/>
        </w:rPr>
        <w:t>入园企业应建立生产废水处理循环回用系统，并应建立污水综合处理站，达到相应排放标准后进入污水处理厂。进入园区的企业应当采用原材料利用效率高、污染物排放量少的清洁生产工艺，并加强管理，减少水污染的产生。各单位不得向区内水体排放污水，倾倒工业废渣、城市垃圾和其他废弃物。施工期废水主要来源于砂石料加工废水、混凝土拌合系统冲洗废水，砂石料加工系统废水中悬浮物浓度较高、混凝土系统中不仅SS浓度较高，PH值也较高，为达到规定的排放要求，对以上废水须严格进行处理，未经处理达标不得外排。</w:t>
      </w:r>
    </w:p>
    <w:p w14:paraId="4661A57E">
      <w:pPr>
        <w:pStyle w:val="5"/>
        <w:numPr>
          <w:ilvl w:val="0"/>
          <w:numId w:val="0"/>
        </w:numPr>
        <w:spacing w:before="166" w:after="166"/>
        <w:rPr>
          <w:color w:val="auto"/>
        </w:rPr>
      </w:pPr>
      <w:r>
        <w:rPr>
          <w:color w:val="auto"/>
        </w:rPr>
        <w:t>9.2.4加强监测和应急能力建设</w:t>
      </w:r>
    </w:p>
    <w:p w14:paraId="384E2AD3">
      <w:pPr>
        <w:ind w:firstLine="480"/>
        <w:rPr>
          <w:color w:val="auto"/>
        </w:rPr>
      </w:pPr>
      <w:r>
        <w:rPr>
          <w:color w:val="auto"/>
        </w:rPr>
        <w:t>为实现对园区水资源利用、管理、保护以及突发水污染事故的处置，应加强监测和应急能力建设，主要是加强对供水水源地、水功能区、入河排污口的监测，编制突发性水污染事故处理应急预案，完善水污染事故预警体系。 能力建设包括监测机构、 监测设备、 监测人员及相应的运行管理制度等方面的建设，尽管目前水利、环保、城建等部门有相关的机构，但部门间的完善协作机制还未能建立，目前有的监测人员、设备及监测体系还不能完全与园区的建设规划匹配。因此，有关部门应加强研究，加强相关能力建设，才能有效支撑园区社会经济的协调发展。</w:t>
      </w:r>
    </w:p>
    <w:p w14:paraId="0A62A05B">
      <w:pPr>
        <w:pStyle w:val="4"/>
        <w:numPr>
          <w:ilvl w:val="1"/>
          <w:numId w:val="0"/>
        </w:numPr>
        <w:spacing w:before="166" w:after="166"/>
        <w:rPr>
          <w:color w:val="auto"/>
        </w:rPr>
      </w:pPr>
      <w:bookmarkStart w:id="97" w:name="_Toc3705"/>
      <w:r>
        <w:rPr>
          <w:color w:val="auto"/>
        </w:rPr>
        <w:t>9.3水资源管理措施</w:t>
      </w:r>
      <w:bookmarkEnd w:id="97"/>
    </w:p>
    <w:p w14:paraId="432F9574">
      <w:pPr>
        <w:ind w:firstLine="480"/>
        <w:rPr>
          <w:color w:val="auto"/>
        </w:rPr>
      </w:pPr>
      <w:r>
        <w:rPr>
          <w:color w:val="auto"/>
        </w:rPr>
        <w:t>加强水资源管理、监测，完善日常调度和风险调度预案、管理制度等。执行最严格水资源三条红线管理制度。组织编制园区内各片区水量分配方案、年度用水计划、旱情紧张及突发污染情况下的水量调度预案，实施水量统一配置调度，并监督实施。监督各区域入河污染物排放，确保入河排污不超过纳污能力或限排指标。建议园区管委会下设水资源协调办公室，负责沟通水利局及工业园区的水资源日常管理工作。</w:t>
      </w:r>
    </w:p>
    <w:p w14:paraId="4C878C33">
      <w:pPr>
        <w:ind w:firstLine="480"/>
        <w:rPr>
          <w:color w:val="auto"/>
        </w:rPr>
      </w:pPr>
      <w:r>
        <w:rPr>
          <w:color w:val="auto"/>
        </w:rPr>
        <w:t>（1）建立管理考核体系</w:t>
      </w:r>
    </w:p>
    <w:p w14:paraId="52D2395E">
      <w:pPr>
        <w:ind w:firstLine="480"/>
        <w:rPr>
          <w:color w:val="auto"/>
        </w:rPr>
      </w:pPr>
      <w:r>
        <w:rPr>
          <w:color w:val="auto"/>
        </w:rPr>
        <w:t>结合节水型社会建设与实行最严格水资源管理制度，制定严格落实水资源总量控制、水资源利用效率控制、水功能区限制纳污的“三条红线”的具体要求，建立水资源管理目标考核体系与考核办法，对园区内的水资源管理水平进行年度考核，根据考核结果，审批下一年度的用水计划及新建项目许可。</w:t>
      </w:r>
    </w:p>
    <w:p w14:paraId="5B711FD1">
      <w:pPr>
        <w:ind w:firstLine="480"/>
        <w:rPr>
          <w:color w:val="auto"/>
        </w:rPr>
      </w:pPr>
      <w:r>
        <w:rPr>
          <w:color w:val="auto"/>
        </w:rPr>
        <w:t>（2）建立监控管理体系</w:t>
      </w:r>
    </w:p>
    <w:p w14:paraId="3B527C58">
      <w:pPr>
        <w:ind w:firstLine="480"/>
        <w:rPr>
          <w:color w:val="auto"/>
        </w:rPr>
      </w:pPr>
      <w:r>
        <w:rPr>
          <w:color w:val="auto"/>
        </w:rPr>
        <w:t>加强取退水计量和监测设施的建设，建立易操作的水资源监控管理体系，并开发其相应的监管网络平台。用于对园区内水资源总体供需状况、流域管理状况、分区管理状况、主要水源和取水口、主要供水管线和供水节点、用水大户进行动态监控、评价与管理，用于对主要水指标（总量、定额、效率、效用）进行动态评估与管理，从而提高水资源管理水平。</w:t>
      </w:r>
    </w:p>
    <w:p w14:paraId="4E62AE9C">
      <w:pPr>
        <w:ind w:firstLine="480"/>
        <w:rPr>
          <w:color w:val="auto"/>
        </w:rPr>
      </w:pPr>
      <w:r>
        <w:rPr>
          <w:color w:val="auto"/>
        </w:rPr>
        <w:t>（3）提出补偿方案措施</w:t>
      </w:r>
    </w:p>
    <w:p w14:paraId="3C5893FC">
      <w:pPr>
        <w:ind w:firstLine="480"/>
        <w:rPr>
          <w:color w:val="auto"/>
        </w:rPr>
      </w:pPr>
      <w:r>
        <w:rPr>
          <w:color w:val="auto"/>
        </w:rPr>
        <w:t>若园区总体规划方案实施后与相邻区域（行业）构成不利影响和损害，应定量估算造成的损失或定性说明影响的可能程度和范围，提出相应的补偿方案建议。建立物质补偿方案，对因取水、退水而造成的经济损失应给予一定标准的补偿；建立健全生态补偿投融资体制，要坚持政府主导，努力增加公共财政对生态补偿的投入，又要积极引导社会各方参与，探索多渠道的生态补偿方式。</w:t>
      </w:r>
    </w:p>
    <w:p w14:paraId="742F1D16">
      <w:pPr>
        <w:ind w:firstLine="480"/>
        <w:rPr>
          <w:color w:val="auto"/>
        </w:rPr>
      </w:pPr>
      <w:r>
        <w:rPr>
          <w:color w:val="auto"/>
        </w:rPr>
        <w:br w:type="page"/>
      </w:r>
    </w:p>
    <w:p w14:paraId="0E5BFB28">
      <w:pPr>
        <w:pStyle w:val="3"/>
        <w:numPr>
          <w:ilvl w:val="0"/>
          <w:numId w:val="0"/>
        </w:numPr>
        <w:spacing w:before="333" w:after="333"/>
        <w:rPr>
          <w:color w:val="auto"/>
        </w:rPr>
      </w:pPr>
      <w:bookmarkStart w:id="98" w:name="_Toc18285"/>
      <w:r>
        <w:rPr>
          <w:color w:val="auto"/>
        </w:rPr>
        <w:t>10结论及建议</w:t>
      </w:r>
      <w:bookmarkEnd w:id="98"/>
    </w:p>
    <w:p w14:paraId="39BDCA3F">
      <w:pPr>
        <w:pStyle w:val="4"/>
        <w:numPr>
          <w:ilvl w:val="1"/>
          <w:numId w:val="0"/>
        </w:numPr>
        <w:spacing w:before="166" w:after="166"/>
        <w:rPr>
          <w:color w:val="auto"/>
        </w:rPr>
      </w:pPr>
      <w:bookmarkStart w:id="99" w:name="_Toc1047"/>
      <w:r>
        <w:rPr>
          <w:color w:val="auto"/>
        </w:rPr>
        <w:t>10.1结论</w:t>
      </w:r>
      <w:bookmarkEnd w:id="99"/>
    </w:p>
    <w:p w14:paraId="245107A6">
      <w:pPr>
        <w:pStyle w:val="5"/>
        <w:numPr>
          <w:ilvl w:val="0"/>
          <w:numId w:val="0"/>
        </w:numPr>
        <w:spacing w:before="166" w:after="166"/>
        <w:rPr>
          <w:color w:val="auto"/>
        </w:rPr>
      </w:pPr>
      <w:r>
        <w:rPr>
          <w:color w:val="auto"/>
        </w:rPr>
        <w:t>10.1.1规划取用退水方案与相关规划的符合性</w:t>
      </w:r>
    </w:p>
    <w:p w14:paraId="301491F8">
      <w:pPr>
        <w:ind w:firstLine="480"/>
        <w:rPr>
          <w:color w:val="auto"/>
        </w:rPr>
      </w:pPr>
      <w:r>
        <w:rPr>
          <w:color w:val="auto"/>
        </w:rPr>
        <w:t>九龙工业园区现状及规划水源均为和尚山水厂、丰收坝水厂和西彭水厂，现状供水规模分别为35万m</w:t>
      </w:r>
      <w:r>
        <w:rPr>
          <w:color w:val="auto"/>
          <w:vertAlign w:val="superscript"/>
        </w:rPr>
        <w:t>3</w:t>
      </w:r>
      <w:r>
        <w:rPr>
          <w:color w:val="auto"/>
        </w:rPr>
        <w:t>/d、30万m</w:t>
      </w:r>
      <w:r>
        <w:rPr>
          <w:color w:val="auto"/>
          <w:vertAlign w:val="superscript"/>
        </w:rPr>
        <w:t>3</w:t>
      </w:r>
      <w:r>
        <w:rPr>
          <w:color w:val="auto"/>
        </w:rPr>
        <w:t>/d、5万m</w:t>
      </w:r>
      <w:r>
        <w:rPr>
          <w:color w:val="auto"/>
          <w:vertAlign w:val="superscript"/>
        </w:rPr>
        <w:t>3</w:t>
      </w:r>
      <w:r>
        <w:rPr>
          <w:color w:val="auto"/>
        </w:rPr>
        <w:t>/d，2025年规模分别为35万m</w:t>
      </w:r>
      <w:r>
        <w:rPr>
          <w:color w:val="auto"/>
          <w:vertAlign w:val="superscript"/>
        </w:rPr>
        <w:t>3</w:t>
      </w:r>
      <w:r>
        <w:rPr>
          <w:color w:val="auto"/>
        </w:rPr>
        <w:t>/d、40万m</w:t>
      </w:r>
      <w:r>
        <w:rPr>
          <w:color w:val="auto"/>
          <w:vertAlign w:val="superscript"/>
        </w:rPr>
        <w:t>3</w:t>
      </w:r>
      <w:r>
        <w:rPr>
          <w:color w:val="auto"/>
        </w:rPr>
        <w:t>/d、40万m</w:t>
      </w:r>
      <w:r>
        <w:rPr>
          <w:color w:val="auto"/>
          <w:vertAlign w:val="superscript"/>
        </w:rPr>
        <w:t>3</w:t>
      </w:r>
      <w:r>
        <w:rPr>
          <w:color w:val="auto"/>
        </w:rPr>
        <w:t>/d，取水水源为长江干流地表水，规划水平年园区最高日总需水量12.12万m</w:t>
      </w:r>
      <w:r>
        <w:rPr>
          <w:color w:val="auto"/>
          <w:vertAlign w:val="superscript"/>
        </w:rPr>
        <w:t>3</w:t>
      </w:r>
      <w:r>
        <w:rPr>
          <w:color w:val="auto"/>
        </w:rPr>
        <w:t>/d，平均日需水10.10万m</w:t>
      </w:r>
      <w:r>
        <w:rPr>
          <w:color w:val="auto"/>
          <w:vertAlign w:val="superscript"/>
        </w:rPr>
        <w:t>3</w:t>
      </w:r>
      <w:r>
        <w:rPr>
          <w:color w:val="auto"/>
        </w:rPr>
        <w:t>/d，年需水量为3685.95万m</w:t>
      </w:r>
      <w:r>
        <w:rPr>
          <w:color w:val="auto"/>
          <w:vertAlign w:val="superscript"/>
        </w:rPr>
        <w:t>3</w:t>
      </w:r>
      <w:r>
        <w:rPr>
          <w:color w:val="auto"/>
        </w:rPr>
        <w:t>，其中和尚山水厂供水581.45万m</w:t>
      </w:r>
      <w:r>
        <w:rPr>
          <w:color w:val="auto"/>
          <w:vertAlign w:val="superscript"/>
        </w:rPr>
        <w:t>3</w:t>
      </w:r>
      <w:r>
        <w:rPr>
          <w:color w:val="auto"/>
        </w:rPr>
        <w:t>、丰收坝水厂供水1770.09万m</w:t>
      </w:r>
      <w:r>
        <w:rPr>
          <w:color w:val="auto"/>
          <w:vertAlign w:val="superscript"/>
        </w:rPr>
        <w:t>3</w:t>
      </w:r>
      <w:r>
        <w:rPr>
          <w:color w:val="auto"/>
        </w:rPr>
        <w:t>、和西彭水厂供水1334.42万m</w:t>
      </w:r>
      <w:r>
        <w:rPr>
          <w:color w:val="auto"/>
          <w:vertAlign w:val="superscript"/>
        </w:rPr>
        <w:t>3</w:t>
      </w:r>
      <w:r>
        <w:rPr>
          <w:color w:val="auto"/>
        </w:rPr>
        <w:t>。</w:t>
      </w:r>
    </w:p>
    <w:p w14:paraId="6FE142C8">
      <w:pPr>
        <w:ind w:firstLine="480"/>
        <w:rPr>
          <w:color w:val="auto"/>
        </w:rPr>
      </w:pPr>
      <w:r>
        <w:rPr>
          <w:color w:val="auto"/>
        </w:rPr>
        <w:t>根据调查，九龙工业园区内污水分别由6个污水处理厂处理。其中A区由彩云湖污水处理厂（3.0万m</w:t>
      </w:r>
      <w:r>
        <w:rPr>
          <w:color w:val="auto"/>
          <w:vertAlign w:val="superscript"/>
        </w:rPr>
        <w:t>3</w:t>
      </w:r>
      <w:r>
        <w:rPr>
          <w:color w:val="auto"/>
        </w:rPr>
        <w:t>/d）、鸡冠石污水处理厂（135万m</w:t>
      </w:r>
      <w:r>
        <w:rPr>
          <w:color w:val="auto"/>
          <w:vertAlign w:val="superscript"/>
        </w:rPr>
        <w:t>3</w:t>
      </w:r>
      <w:r>
        <w:rPr>
          <w:color w:val="auto"/>
        </w:rPr>
        <w:t>/d）共同处理，B区由重庆市大九污水处理厂（7万m</w:t>
      </w:r>
      <w:r>
        <w:rPr>
          <w:color w:val="auto"/>
          <w:vertAlign w:val="superscript"/>
        </w:rPr>
        <w:t>3</w:t>
      </w:r>
      <w:r>
        <w:rPr>
          <w:color w:val="auto"/>
        </w:rPr>
        <w:t>/d）、九龙园区B3区污水处理厂处理（2500m³/d），C区由陶家镇生活污水处理厂（</w:t>
      </w:r>
      <w:r>
        <w:rPr>
          <w:rFonts w:eastAsiaTheme="minorEastAsia"/>
          <w:color w:val="auto"/>
        </w:rPr>
        <w:t>4万m</w:t>
      </w:r>
      <w:r>
        <w:rPr>
          <w:rFonts w:eastAsiaTheme="minorEastAsia"/>
          <w:color w:val="auto"/>
          <w:vertAlign w:val="superscript"/>
        </w:rPr>
        <w:t>3</w:t>
      </w:r>
      <w:r>
        <w:rPr>
          <w:rFonts w:eastAsiaTheme="minorEastAsia"/>
          <w:color w:val="auto"/>
        </w:rPr>
        <w:t>/d</w:t>
      </w:r>
      <w:r>
        <w:rPr>
          <w:color w:val="auto"/>
        </w:rPr>
        <w:t>）以及规划建设的九龙园区L分区污水处理厂（1万m</w:t>
      </w:r>
      <w:r>
        <w:rPr>
          <w:color w:val="auto"/>
          <w:vertAlign w:val="superscript"/>
        </w:rPr>
        <w:t>3</w:t>
      </w:r>
      <w:r>
        <w:rPr>
          <w:color w:val="auto"/>
        </w:rPr>
        <w:t>/d）共同处理。</w:t>
      </w:r>
    </w:p>
    <w:p w14:paraId="6DB1FD0F">
      <w:pPr>
        <w:ind w:firstLine="480"/>
        <w:rPr>
          <w:color w:val="auto"/>
        </w:rPr>
      </w:pPr>
      <w:r>
        <w:rPr>
          <w:color w:val="auto"/>
        </w:rPr>
        <w:t>综上所述，九龙工业园区取退水方案符合相关国家及地方的产业政策，符合《重庆市城区水资源规划》、《产业结构调整指导目录（2011年本）》（2019年修订）、《重庆市水中长期供求规划（2016-2030年）》、《重庆市主城区水厂布局规划调整方案》、以及《中华人民共和国长江保护法》等相关上层规划及专项规划，满足水资源利用要求。</w:t>
      </w:r>
    </w:p>
    <w:p w14:paraId="315BE59A">
      <w:pPr>
        <w:pStyle w:val="5"/>
        <w:numPr>
          <w:ilvl w:val="0"/>
          <w:numId w:val="0"/>
        </w:numPr>
        <w:spacing w:before="166" w:after="166"/>
        <w:rPr>
          <w:color w:val="auto"/>
        </w:rPr>
      </w:pPr>
      <w:r>
        <w:rPr>
          <w:color w:val="auto"/>
        </w:rPr>
        <w:t>10.1.2规划取水水源的可行性与可靠性</w:t>
      </w:r>
    </w:p>
    <w:p w14:paraId="5674A36B">
      <w:pPr>
        <w:ind w:firstLine="480"/>
        <w:rPr>
          <w:color w:val="auto"/>
        </w:rPr>
      </w:pPr>
      <w:r>
        <w:rPr>
          <w:color w:val="auto"/>
        </w:rPr>
        <w:t>九龙工业园区取用水符合国家水资源相关政策和重庆市地方法律法规，来水利用后全部进入市政管道或污水处理厂，集中处理达标后，部分回用于市政消防、浇洒道路及景观绿地，其余部分进行排放；通过水量循环，来水大部分又回归原水体，对流域水量影响甚微；同时，来水量完全能保证九龙工业园区的用水需求，工程建设后具有显著的社会效益、经济效益，项目建设取水可行。</w:t>
      </w:r>
    </w:p>
    <w:p w14:paraId="173ACCBD">
      <w:pPr>
        <w:ind w:firstLine="480"/>
        <w:rPr>
          <w:color w:val="auto"/>
        </w:rPr>
      </w:pPr>
      <w:r>
        <w:rPr>
          <w:color w:val="auto"/>
        </w:rPr>
        <w:t>根据《重庆市九龙坡区“十四五”节约用水规划》，2025年末，九龙坡区用水总量为27586万m</w:t>
      </w:r>
      <w:r>
        <w:rPr>
          <w:color w:val="auto"/>
          <w:vertAlign w:val="superscript"/>
        </w:rPr>
        <w:t>3</w:t>
      </w:r>
      <w:r>
        <w:rPr>
          <w:color w:val="auto"/>
        </w:rPr>
        <w:t>，未超过九龙坡区2025年三条红线用水总量指标27650万m³。九龙工业园区规划年新鲜取水量为3685.95万m</w:t>
      </w:r>
      <w:r>
        <w:rPr>
          <w:color w:val="auto"/>
          <w:vertAlign w:val="superscript"/>
        </w:rPr>
        <w:t>3</w:t>
      </w:r>
      <w:r>
        <w:rPr>
          <w:color w:val="auto"/>
        </w:rPr>
        <w:t>，较2020年增加了1031.04万m</w:t>
      </w:r>
      <w:r>
        <w:rPr>
          <w:color w:val="auto"/>
          <w:vertAlign w:val="superscript"/>
        </w:rPr>
        <w:t>3</w:t>
      </w:r>
      <w:r>
        <w:rPr>
          <w:color w:val="auto"/>
        </w:rPr>
        <w:t>，</w:t>
      </w:r>
      <w:r>
        <w:rPr>
          <w:color w:val="auto"/>
          <w:szCs w:val="24"/>
        </w:rPr>
        <w:t>九龙坡区</w:t>
      </w:r>
      <w:r>
        <w:rPr>
          <w:color w:val="auto"/>
        </w:rPr>
        <w:t>2020年至2025年区间用水总量空间为2850万 m³，满足园区新增用水总量要求。并且园区用水量已纳入九龙坡区总体需水预测中计算，因此项目取水符合三条红线用水总量指标要求。</w:t>
      </w:r>
    </w:p>
    <w:p w14:paraId="17CAEE4C">
      <w:pPr>
        <w:ind w:firstLine="480"/>
        <w:rPr>
          <w:color w:val="auto"/>
        </w:rPr>
      </w:pPr>
      <w:r>
        <w:rPr>
          <w:color w:val="auto"/>
        </w:rPr>
        <w:t>根据《重庆市九龙坡区主要江河流域水量分配方案》，水资源五级分区大溪河流域片区2025年分配水量4028万m</w:t>
      </w:r>
      <w:r>
        <w:rPr>
          <w:color w:val="auto"/>
          <w:vertAlign w:val="superscript"/>
        </w:rPr>
        <w:t>3</w:t>
      </w:r>
      <w:r>
        <w:rPr>
          <w:color w:val="auto"/>
        </w:rPr>
        <w:t>，跳蹬河流域片区2025年分配水量17706万m</w:t>
      </w:r>
      <w:r>
        <w:rPr>
          <w:color w:val="auto"/>
          <w:vertAlign w:val="superscript"/>
        </w:rPr>
        <w:t>3</w:t>
      </w:r>
      <w:r>
        <w:rPr>
          <w:color w:val="auto"/>
        </w:rPr>
        <w:t>。</w:t>
      </w:r>
    </w:p>
    <w:p w14:paraId="20CC5E89">
      <w:pPr>
        <w:ind w:firstLine="0" w:firstLineChars="0"/>
        <w:rPr>
          <w:color w:val="auto"/>
        </w:rPr>
      </w:pPr>
      <w:r>
        <w:rPr>
          <w:color w:val="auto"/>
        </w:rPr>
        <w:t>九龙工业园区C区位于陶家镇，属于大溪河流域片区，九龙工业园区C区2025年用水量为1334.42万m</w:t>
      </w:r>
      <w:r>
        <w:rPr>
          <w:color w:val="auto"/>
          <w:vertAlign w:val="superscript"/>
        </w:rPr>
        <w:t>3</w:t>
      </w:r>
      <w:r>
        <w:rPr>
          <w:color w:val="auto"/>
        </w:rPr>
        <w:t>，占比33.13%，满足分区水量指标；九龙工业园区A、B区位于九龙街道、华岩镇、中梁山街道，属于跳蹬河流域片区，九龙工业园区A、B区2025年用水量为2351.54万m</w:t>
      </w:r>
      <w:r>
        <w:rPr>
          <w:color w:val="auto"/>
          <w:vertAlign w:val="superscript"/>
        </w:rPr>
        <w:t>3</w:t>
      </w:r>
      <w:r>
        <w:rPr>
          <w:color w:val="auto"/>
        </w:rPr>
        <w:t>，占比13.28%，满足分区水量指标</w:t>
      </w:r>
    </w:p>
    <w:p w14:paraId="4D26292B">
      <w:pPr>
        <w:ind w:firstLine="480"/>
        <w:rPr>
          <w:color w:val="auto"/>
        </w:rPr>
      </w:pPr>
      <w:r>
        <w:rPr>
          <w:color w:val="auto"/>
        </w:rPr>
        <w:t>九龙工业园区2025年新鲜水需水量12.12万m</w:t>
      </w:r>
      <w:r>
        <w:rPr>
          <w:color w:val="auto"/>
          <w:vertAlign w:val="superscript"/>
        </w:rPr>
        <w:t>3</w:t>
      </w:r>
      <w:r>
        <w:rPr>
          <w:color w:val="auto"/>
        </w:rPr>
        <w:t>/d。根据供水方案，九龙工业园区2025年新鲜水由和尚山水厂、丰收坝水厂、西彭水厂共同承担，水源为长江干流，根据前面章节分析，长江干流三座水厂的取水河段来水丰富，水资源承载能力能够满足和支撑三座水厂取水需要，且取水保障率极高，均在97%以上。</w:t>
      </w:r>
    </w:p>
    <w:p w14:paraId="05936293">
      <w:pPr>
        <w:ind w:firstLine="480"/>
        <w:rPr>
          <w:b/>
          <w:bCs/>
          <w:color w:val="auto"/>
          <w:szCs w:val="24"/>
        </w:rPr>
      </w:pPr>
      <w:r>
        <w:rPr>
          <w:color w:val="auto"/>
        </w:rPr>
        <w:t>九龙工业园区由A、B、C三区组成。</w:t>
      </w:r>
      <w:r>
        <w:rPr>
          <w:color w:val="auto"/>
          <w:szCs w:val="24"/>
        </w:rPr>
        <w:t>A区2025年最高日需水量占</w:t>
      </w:r>
      <w:r>
        <w:rPr>
          <w:color w:val="auto"/>
          <w:szCs w:val="24"/>
          <w:lang w:bidi="ar"/>
        </w:rPr>
        <w:t>和尚山水厂2025年</w:t>
      </w:r>
      <w:r>
        <w:rPr>
          <w:color w:val="auto"/>
          <w:szCs w:val="24"/>
        </w:rPr>
        <w:t>供水能力的15.46%；B区2025年最高日需水量站丰收坝水厂2025年的供水能力为14.55%；C区2025年最高日需水量占西彭水厂2025年的供水能力的10.97%。</w:t>
      </w:r>
      <w:r>
        <w:rPr>
          <w:b/>
          <w:bCs/>
          <w:color w:val="auto"/>
          <w:szCs w:val="24"/>
        </w:rPr>
        <w:t>并且根据各水厂的初步设计报告以及水资源论证报告，各水厂在确定水厂规模时九龙工业园区均在其供水范围内。</w:t>
      </w:r>
    </w:p>
    <w:p w14:paraId="079355CE">
      <w:pPr>
        <w:ind w:firstLine="480"/>
        <w:rPr>
          <w:color w:val="auto"/>
        </w:rPr>
      </w:pPr>
      <w:r>
        <w:rPr>
          <w:color w:val="auto"/>
        </w:rPr>
        <w:t>因此九龙工业园2025年的取水水量可以得到保证。</w:t>
      </w:r>
    </w:p>
    <w:p w14:paraId="3A66E868">
      <w:pPr>
        <w:ind w:firstLine="480"/>
        <w:rPr>
          <w:color w:val="auto"/>
        </w:rPr>
      </w:pPr>
      <w:r>
        <w:rPr>
          <w:color w:val="auto"/>
        </w:rPr>
        <w:t>同时，根据水厂源水监测成果，长江干流取水口河段水质能够达到《地表水环境质量标准》（GB3838-2002）Ⅲ类水质标准，供水水源水质可满足规划区用水要求。</w:t>
      </w:r>
    </w:p>
    <w:p w14:paraId="4D23E042">
      <w:pPr>
        <w:ind w:firstLine="480"/>
        <w:rPr>
          <w:color w:val="auto"/>
        </w:rPr>
      </w:pPr>
      <w:r>
        <w:rPr>
          <w:color w:val="auto"/>
        </w:rPr>
        <w:t>因此，九龙工业园区规划区水质良好，水量有保证，规划取水水源是可行和可靠的。</w:t>
      </w:r>
    </w:p>
    <w:p w14:paraId="3C777F28">
      <w:pPr>
        <w:pStyle w:val="5"/>
        <w:numPr>
          <w:ilvl w:val="0"/>
          <w:numId w:val="0"/>
        </w:numPr>
        <w:spacing w:before="166" w:after="166"/>
        <w:rPr>
          <w:color w:val="auto"/>
        </w:rPr>
      </w:pPr>
      <w:r>
        <w:rPr>
          <w:color w:val="auto"/>
        </w:rPr>
        <w:t>10.1.3规划取水方案</w:t>
      </w:r>
    </w:p>
    <w:p w14:paraId="0617C32F">
      <w:pPr>
        <w:ind w:firstLine="480"/>
        <w:rPr>
          <w:color w:val="auto"/>
        </w:rPr>
      </w:pPr>
      <w:r>
        <w:rPr>
          <w:color w:val="auto"/>
        </w:rPr>
        <w:t>九龙工业园区由A、B、C三区组成。九龙工业园区2025年新鲜水由和尚山水厂、丰收坝水厂、西彭水厂共同承担，取水水源为长江干流地表水，采取分别取水、分区供水的取供水方式，其中和尚山水厂供九龙工业园区A区，丰收坝水厂供九龙工业园区B区，西彭水厂供九龙工业园区C区。该取水方案具有供水距离相对较短、能耗低、安全性较高的特点。</w:t>
      </w:r>
    </w:p>
    <w:p w14:paraId="61F8C76A">
      <w:pPr>
        <w:ind w:firstLine="480"/>
        <w:rPr>
          <w:color w:val="auto"/>
        </w:rPr>
      </w:pPr>
      <w:r>
        <w:rPr>
          <w:color w:val="auto"/>
        </w:rPr>
        <w:t>和尚山水厂位于重庆市九龙坡区杨家坪天宝路，2025年供水规模为35万m</w:t>
      </w:r>
      <w:r>
        <w:rPr>
          <w:color w:val="auto"/>
          <w:vertAlign w:val="superscript"/>
        </w:rPr>
        <w:t>3</w:t>
      </w:r>
      <w:r>
        <w:rPr>
          <w:color w:val="auto"/>
        </w:rPr>
        <w:t>/d，以长江水作源水，水源地位于九龙坡区九龙滩，占地面积158.6亩，2025年向九龙工业园区A区供水量为581.45万m</w:t>
      </w:r>
      <w:r>
        <w:rPr>
          <w:color w:val="auto"/>
          <w:vertAlign w:val="superscript"/>
        </w:rPr>
        <w:t>3</w:t>
      </w:r>
      <w:r>
        <w:rPr>
          <w:color w:val="auto"/>
        </w:rPr>
        <w:t>，最高日供水量为1.91万m</w:t>
      </w:r>
      <w:r>
        <w:rPr>
          <w:color w:val="auto"/>
          <w:vertAlign w:val="superscript"/>
        </w:rPr>
        <w:t>3</w:t>
      </w:r>
      <w:r>
        <w:rPr>
          <w:color w:val="auto"/>
        </w:rPr>
        <w:t>，平均日供水量为1.59万m</w:t>
      </w:r>
      <w:r>
        <w:rPr>
          <w:color w:val="auto"/>
          <w:vertAlign w:val="superscript"/>
        </w:rPr>
        <w:t>3</w:t>
      </w:r>
      <w:r>
        <w:rPr>
          <w:color w:val="auto"/>
        </w:rPr>
        <w:t>。</w:t>
      </w:r>
    </w:p>
    <w:p w14:paraId="06C017F2">
      <w:pPr>
        <w:ind w:firstLine="480"/>
        <w:rPr>
          <w:color w:val="auto"/>
        </w:rPr>
      </w:pPr>
      <w:r>
        <w:rPr>
          <w:color w:val="auto"/>
        </w:rPr>
        <w:t>丰收坝水厂位于大渡口区跳蹬镇石盘村，2025年供水规模40万m</w:t>
      </w:r>
      <w:r>
        <w:rPr>
          <w:color w:val="auto"/>
          <w:vertAlign w:val="superscript"/>
        </w:rPr>
        <w:t>3</w:t>
      </w:r>
      <w:r>
        <w:rPr>
          <w:color w:val="auto"/>
        </w:rPr>
        <w:t>/d，以长江为水源，取水点设在石盘村上游150m处，通过位于江心的取水头部经引水隧洞自流至取水泵房后提升至配水井。2025年向九龙工业园区B区供水量为1770.09万m</w:t>
      </w:r>
      <w:r>
        <w:rPr>
          <w:color w:val="auto"/>
          <w:vertAlign w:val="superscript"/>
        </w:rPr>
        <w:t>3</w:t>
      </w:r>
      <w:r>
        <w:rPr>
          <w:color w:val="auto"/>
        </w:rPr>
        <w:t>，最高日供水量为5.82万m</w:t>
      </w:r>
      <w:r>
        <w:rPr>
          <w:color w:val="auto"/>
          <w:vertAlign w:val="superscript"/>
        </w:rPr>
        <w:t>3</w:t>
      </w:r>
      <w:r>
        <w:rPr>
          <w:color w:val="auto"/>
        </w:rPr>
        <w:t>，平均日供水量为4.85万m</w:t>
      </w:r>
      <w:r>
        <w:rPr>
          <w:color w:val="auto"/>
          <w:vertAlign w:val="superscript"/>
        </w:rPr>
        <w:t>3</w:t>
      </w:r>
      <w:r>
        <w:rPr>
          <w:color w:val="auto"/>
        </w:rPr>
        <w:t>。</w:t>
      </w:r>
    </w:p>
    <w:p w14:paraId="01A7F47C">
      <w:pPr>
        <w:ind w:firstLine="480"/>
        <w:rPr>
          <w:color w:val="auto"/>
        </w:rPr>
      </w:pPr>
      <w:r>
        <w:rPr>
          <w:color w:val="auto"/>
        </w:rPr>
        <w:t>西彭水厂位于重庆市九龙坡区西彭镇双岗村，2025供水规模40万m</w:t>
      </w:r>
      <w:r>
        <w:rPr>
          <w:color w:val="auto"/>
          <w:vertAlign w:val="superscript"/>
        </w:rPr>
        <w:t>3</w:t>
      </w:r>
      <w:r>
        <w:rPr>
          <w:color w:val="auto"/>
        </w:rPr>
        <w:t>/d，以长江为水源，取水点位于金刚沱，总占地面积约19.6亩。2025年向九龙工业园区C区供水量为1334.42万m</w:t>
      </w:r>
      <w:r>
        <w:rPr>
          <w:color w:val="auto"/>
          <w:vertAlign w:val="superscript"/>
        </w:rPr>
        <w:t>3</w:t>
      </w:r>
      <w:r>
        <w:rPr>
          <w:color w:val="auto"/>
        </w:rPr>
        <w:t>，最高日供水量为4.39万m</w:t>
      </w:r>
      <w:r>
        <w:rPr>
          <w:color w:val="auto"/>
          <w:vertAlign w:val="superscript"/>
        </w:rPr>
        <w:t>3</w:t>
      </w:r>
      <w:r>
        <w:rPr>
          <w:color w:val="auto"/>
        </w:rPr>
        <w:t>，平均日供水量为3.66万m</w:t>
      </w:r>
      <w:r>
        <w:rPr>
          <w:color w:val="auto"/>
          <w:vertAlign w:val="superscript"/>
        </w:rPr>
        <w:t>3</w:t>
      </w:r>
      <w:r>
        <w:rPr>
          <w:color w:val="auto"/>
        </w:rPr>
        <w:t>。</w:t>
      </w:r>
    </w:p>
    <w:p w14:paraId="03F8C6D8">
      <w:pPr>
        <w:pStyle w:val="5"/>
        <w:numPr>
          <w:ilvl w:val="0"/>
          <w:numId w:val="0"/>
        </w:numPr>
        <w:spacing w:before="166" w:after="166"/>
        <w:rPr>
          <w:color w:val="auto"/>
        </w:rPr>
      </w:pPr>
      <w:r>
        <w:rPr>
          <w:color w:val="auto"/>
        </w:rPr>
        <w:t>10.1.4规划退水方案</w:t>
      </w:r>
    </w:p>
    <w:p w14:paraId="480EF4A9">
      <w:pPr>
        <w:pStyle w:val="2"/>
        <w:ind w:firstLine="480"/>
        <w:rPr>
          <w:color w:val="auto"/>
        </w:rPr>
      </w:pPr>
      <w:r>
        <w:rPr>
          <w:color w:val="auto"/>
        </w:rPr>
        <w:t>九龙工业园区排水系统采取分类回收，集中处理，统一排放的方式。按废污水的水质性质，基本分为三大排水系统，分别是生产废水、生活污水、雨水系统组成。</w:t>
      </w:r>
    </w:p>
    <w:p w14:paraId="3833D878">
      <w:pPr>
        <w:pStyle w:val="2"/>
        <w:ind w:firstLine="480"/>
        <w:rPr>
          <w:color w:val="auto"/>
        </w:rPr>
      </w:pPr>
      <w:r>
        <w:rPr>
          <w:color w:val="auto"/>
        </w:rPr>
        <w:t>九龙工业园区排水年退水总量为2111.40万m</w:t>
      </w:r>
      <w:r>
        <w:rPr>
          <w:color w:val="auto"/>
          <w:vertAlign w:val="superscript"/>
        </w:rPr>
        <w:t>3</w:t>
      </w:r>
      <w:r>
        <w:rPr>
          <w:color w:val="auto"/>
        </w:rPr>
        <w:t>，其中A区年退水总量为332.06万m</w:t>
      </w:r>
      <w:r>
        <w:rPr>
          <w:color w:val="auto"/>
          <w:vertAlign w:val="superscript"/>
        </w:rPr>
        <w:t>3</w:t>
      </w:r>
      <w:r>
        <w:rPr>
          <w:color w:val="auto"/>
        </w:rPr>
        <w:t>，B区年退水总量为996.05万m</w:t>
      </w:r>
      <w:r>
        <w:rPr>
          <w:color w:val="auto"/>
          <w:vertAlign w:val="superscript"/>
        </w:rPr>
        <w:t>3</w:t>
      </w:r>
      <w:r>
        <w:rPr>
          <w:color w:val="auto"/>
        </w:rPr>
        <w:t>，C区年退水总量为783.29万m</w:t>
      </w:r>
      <w:r>
        <w:rPr>
          <w:color w:val="auto"/>
          <w:vertAlign w:val="superscript"/>
        </w:rPr>
        <w:t>3</w:t>
      </w:r>
      <w:r>
        <w:rPr>
          <w:color w:val="auto"/>
        </w:rPr>
        <w:t>。</w:t>
      </w:r>
    </w:p>
    <w:p w14:paraId="285BDC1A">
      <w:pPr>
        <w:ind w:firstLine="480"/>
        <w:rPr>
          <w:color w:val="auto"/>
        </w:rPr>
      </w:pPr>
      <w:r>
        <w:rPr>
          <w:color w:val="auto"/>
        </w:rPr>
        <w:t>九龙工业园区内污水分别由6个污水处理厂处理。其中A区由彩云湖污水处理厂</w:t>
      </w:r>
      <w:r>
        <w:rPr>
          <w:rFonts w:hint="eastAsia"/>
          <w:color w:val="auto"/>
        </w:rPr>
        <w:t>及</w:t>
      </w:r>
      <w:r>
        <w:rPr>
          <w:color w:val="auto"/>
        </w:rPr>
        <w:t>鸡冠石污水处理厂共同处理，B区由重庆市大九污水处理厂、九龙园区B3区污水处理厂处理，C区由陶家镇生活污水处理厂以及规划建设的九龙园区L分区污水处理厂共同处理。各污水处理厂现状出水水质可达到《城镇污水处理厂污染物排放标准》（GB18918-2002）一级A</w:t>
      </w:r>
      <w:r>
        <w:rPr>
          <w:rFonts w:hint="eastAsia"/>
          <w:color w:val="auto"/>
        </w:rPr>
        <w:t>类以上</w:t>
      </w:r>
      <w:r>
        <w:rPr>
          <w:color w:val="auto"/>
        </w:rPr>
        <w:t>标准。</w:t>
      </w:r>
    </w:p>
    <w:p w14:paraId="482033E0">
      <w:pPr>
        <w:pStyle w:val="5"/>
        <w:numPr>
          <w:ilvl w:val="0"/>
          <w:numId w:val="0"/>
        </w:numPr>
        <w:spacing w:before="166" w:after="166"/>
        <w:rPr>
          <w:color w:val="auto"/>
        </w:rPr>
      </w:pPr>
      <w:r>
        <w:rPr>
          <w:color w:val="auto"/>
        </w:rPr>
        <w:t>10.1.5规划实施对水资源可持续利用的影响分析</w:t>
      </w:r>
    </w:p>
    <w:p w14:paraId="44E5B099">
      <w:pPr>
        <w:ind w:firstLine="480"/>
        <w:rPr>
          <w:color w:val="auto"/>
        </w:rPr>
      </w:pPr>
      <w:r>
        <w:rPr>
          <w:color w:val="auto"/>
        </w:rPr>
        <w:t>（1）对水资源时空分布的影响</w:t>
      </w:r>
    </w:p>
    <w:p w14:paraId="6D65CFD5">
      <w:pPr>
        <w:ind w:firstLine="480"/>
        <w:rPr>
          <w:color w:val="auto"/>
        </w:rPr>
      </w:pPr>
      <w:r>
        <w:rPr>
          <w:color w:val="auto"/>
        </w:rPr>
        <w:t>园区水资源以地表水为主，取水点均位于长江干流。由于园区涉及水厂项目取用的是长江干流过境水资源量，不新建拦河坝等工程，也无调节能力，对区域水资源时空分布基本无影响。</w:t>
      </w:r>
    </w:p>
    <w:p w14:paraId="4ED3852D">
      <w:pPr>
        <w:ind w:firstLine="480"/>
        <w:rPr>
          <w:color w:val="auto"/>
        </w:rPr>
      </w:pPr>
      <w:r>
        <w:rPr>
          <w:color w:val="auto"/>
        </w:rPr>
        <w:t>（2）对水资源总量的影响</w:t>
      </w:r>
    </w:p>
    <w:p w14:paraId="063C2E21">
      <w:pPr>
        <w:ind w:firstLine="480"/>
        <w:jc w:val="left"/>
        <w:rPr>
          <w:color w:val="auto"/>
        </w:rPr>
      </w:pPr>
      <w:r>
        <w:rPr>
          <w:snapToGrid w:val="0"/>
          <w:color w:val="auto"/>
          <w:kern w:val="0"/>
        </w:rPr>
        <w:t>九龙工业园区供水水厂在不同设计水平年及年最枯流量情况下取水量都只占取水口河段来水量的很小部分，对取水口以下河段的流速、流态、水资源量影响几乎没有影响，</w:t>
      </w:r>
      <w:r>
        <w:rPr>
          <w:color w:val="auto"/>
        </w:rPr>
        <w:t>另外，随着三峡水利枢纽工程的逐步蓄水，其功能将逐渐发挥作用，枯季流量将有所增加，枯水流量可增加，水厂取水对区域水资源的影响将更小。同时，由于本工程取水量占长江来水比例很小，加上取水只是部分消耗，污水最终仍达标排入本河流，因此建设项目对区域水资源量的基本无影响。</w:t>
      </w:r>
    </w:p>
    <w:p w14:paraId="66F6E984">
      <w:pPr>
        <w:ind w:firstLine="480"/>
        <w:rPr>
          <w:color w:val="auto"/>
        </w:rPr>
      </w:pPr>
      <w:r>
        <w:rPr>
          <w:color w:val="auto"/>
        </w:rPr>
        <w:t>（3）取水对区域水质水环境的影响</w:t>
      </w:r>
    </w:p>
    <w:p w14:paraId="0C86D373">
      <w:pPr>
        <w:ind w:firstLine="480"/>
        <w:rPr>
          <w:color w:val="auto"/>
        </w:rPr>
      </w:pPr>
      <w:r>
        <w:rPr>
          <w:color w:val="auto"/>
        </w:rPr>
        <w:t>工程取水地点位于长江干流河段，按长江流域水质质量管理目标为Ⅲ类水质。根据本河段现状水质监测成果表明，丰枯水期各项水质指标均满足《地表水环境质量标准》Ⅲ类水水质标准，水质总体状况较好。</w:t>
      </w:r>
    </w:p>
    <w:p w14:paraId="72D627EB">
      <w:pPr>
        <w:adjustRightInd w:val="0"/>
        <w:snapToGrid w:val="0"/>
        <w:ind w:firstLine="480"/>
        <w:rPr>
          <w:color w:val="auto"/>
        </w:rPr>
      </w:pPr>
      <w:r>
        <w:rPr>
          <w:color w:val="auto"/>
        </w:rPr>
        <w:t>经分析，园区有针对性地采取污染治理后各类污染物均能实现达标排放。经预测，片区污染物排放强度均对当地各环境要素的环境质量影响小，不因本片区建设导致所在区域及区域主要保护目标的环境功能发生改变，不产生新的环境问题，片区建成后，区域水环境质量各要素仍达标。</w:t>
      </w:r>
    </w:p>
    <w:p w14:paraId="21B35C9A">
      <w:pPr>
        <w:numPr>
          <w:ilvl w:val="0"/>
          <w:numId w:val="5"/>
        </w:numPr>
        <w:ind w:firstLine="480"/>
        <w:rPr>
          <w:color w:val="auto"/>
        </w:rPr>
      </w:pPr>
      <w:r>
        <w:rPr>
          <w:color w:val="auto"/>
        </w:rPr>
        <w:t>对下游河流生态的影响</w:t>
      </w:r>
    </w:p>
    <w:p w14:paraId="093C5862">
      <w:pPr>
        <w:ind w:firstLine="480"/>
        <w:rPr>
          <w:color w:val="auto"/>
        </w:rPr>
      </w:pPr>
      <w:r>
        <w:rPr>
          <w:color w:val="auto"/>
          <w:szCs w:val="24"/>
        </w:rPr>
        <w:t>取水口处多年平均流量为8360m</w:t>
      </w:r>
      <w:r>
        <w:rPr>
          <w:color w:val="auto"/>
          <w:szCs w:val="24"/>
          <w:vertAlign w:val="superscript"/>
        </w:rPr>
        <w:t>3</w:t>
      </w:r>
      <w:r>
        <w:rPr>
          <w:color w:val="auto"/>
          <w:szCs w:val="24"/>
        </w:rPr>
        <w:t>/s，</w:t>
      </w:r>
      <w:r>
        <w:rPr>
          <w:color w:val="auto"/>
        </w:rPr>
        <w:t>2025年三座水厂水源地最大的取水流量为37.71m</w:t>
      </w:r>
      <w:r>
        <w:rPr>
          <w:color w:val="auto"/>
          <w:vertAlign w:val="superscript"/>
        </w:rPr>
        <w:t>3</w:t>
      </w:r>
      <w:r>
        <w:rPr>
          <w:color w:val="auto"/>
        </w:rPr>
        <w:t>/s</w:t>
      </w:r>
      <w:r>
        <w:rPr>
          <w:color w:val="auto"/>
          <w:szCs w:val="24"/>
        </w:rPr>
        <w:t>，取水后流量为8322.29m</w:t>
      </w:r>
      <w:r>
        <w:rPr>
          <w:color w:val="auto"/>
          <w:szCs w:val="24"/>
          <w:vertAlign w:val="superscript"/>
        </w:rPr>
        <w:t>3</w:t>
      </w:r>
      <w:r>
        <w:rPr>
          <w:color w:val="auto"/>
          <w:szCs w:val="24"/>
        </w:rPr>
        <w:t>/s，占多年平均流量的99.54%，远大于《建设项目水资源论证导则》（SL322-2013）对于河流生态基流在不低于多年平均流量10%的要求；取水口处最枯月平均流量2750m</w:t>
      </w:r>
      <w:r>
        <w:rPr>
          <w:color w:val="auto"/>
          <w:szCs w:val="24"/>
          <w:vertAlign w:val="superscript"/>
        </w:rPr>
        <w:t>3</w:t>
      </w:r>
      <w:r>
        <w:rPr>
          <w:color w:val="auto"/>
          <w:szCs w:val="24"/>
        </w:rPr>
        <w:t>/s，</w:t>
      </w:r>
      <w:r>
        <w:rPr>
          <w:color w:val="auto"/>
        </w:rPr>
        <w:t>2025年最大取水流量为37.71m</w:t>
      </w:r>
      <w:r>
        <w:rPr>
          <w:color w:val="auto"/>
          <w:vertAlign w:val="superscript"/>
        </w:rPr>
        <w:t>3</w:t>
      </w:r>
      <w:r>
        <w:rPr>
          <w:color w:val="auto"/>
        </w:rPr>
        <w:t>/s</w:t>
      </w:r>
      <w:r>
        <w:rPr>
          <w:color w:val="auto"/>
          <w:szCs w:val="24"/>
        </w:rPr>
        <w:t>，工程取水后流量为2712.29m</w:t>
      </w:r>
      <w:r>
        <w:rPr>
          <w:color w:val="auto"/>
          <w:szCs w:val="24"/>
          <w:vertAlign w:val="superscript"/>
        </w:rPr>
        <w:t>3</w:t>
      </w:r>
      <w:r>
        <w:rPr>
          <w:color w:val="auto"/>
          <w:szCs w:val="24"/>
        </w:rPr>
        <w:t>/s，占最枯月平均流量的98.63%，远大于《建设项目水资源论证导则》（SL322-2013）对于河流生态基流在枯水时段应不低于同期流量均值的20%。</w:t>
      </w:r>
      <w:r>
        <w:rPr>
          <w:color w:val="auto"/>
        </w:rPr>
        <w:t>所以本次工程取水后流量能满足下游河流生态需水的要求。另外，三峡电站蓄水后，通过三峡枯水期高水位运行，回水到达取水口上游，因此，下游生态用水量基本不受到影响。</w:t>
      </w:r>
    </w:p>
    <w:p w14:paraId="0B271D0A">
      <w:pPr>
        <w:ind w:firstLine="480"/>
        <w:rPr>
          <w:color w:val="auto"/>
        </w:rPr>
      </w:pPr>
      <w:r>
        <w:rPr>
          <w:color w:val="auto"/>
        </w:rPr>
        <w:t>水厂取水口下游不涉及到鱼类保护区和“三场”（产卵场、索饵场、越冬场），取水不会破坏生态系统和生态过程的完整性及生物多样性，不改变保护区性质和主要保护对象。</w:t>
      </w:r>
    </w:p>
    <w:p w14:paraId="43211857">
      <w:pPr>
        <w:ind w:firstLine="480"/>
        <w:rPr>
          <w:color w:val="auto"/>
        </w:rPr>
      </w:pPr>
      <w:r>
        <w:rPr>
          <w:color w:val="auto"/>
        </w:rPr>
        <w:t>（5）退水对水环境的影响</w:t>
      </w:r>
    </w:p>
    <w:p w14:paraId="71511F67">
      <w:pPr>
        <w:ind w:firstLine="480"/>
        <w:rPr>
          <w:color w:val="auto"/>
        </w:rPr>
      </w:pPr>
      <w:r>
        <w:rPr>
          <w:color w:val="auto"/>
        </w:rPr>
        <w:t>从九龙工业园区涉及的6处污水处理厂退水情况来看，各污水处理厂出水均可达到《城镇污水处理厂污染物排放标准》（GB18918-2002）一级A标准，九龙园区B3区污水处理厂排放标准执行《地表水环境质量标准》（GB3838-2002）IV类标准，九龙园区L分区污水处理厂设计出水COD、NH3-N、总磷等主要指标处理达《地表水环境质量标准》（GB3838-2002）IV类标准，其余指标达《城镇污水处理厂污染物排放标准》（GB18918-2002）一级A标准。九龙工业园区规划区内的污水经各污水处理厂处理后，主要污染物去除率均达到90%以上，正常排放工况下，各污水处理厂外排废污水中COD和NH</w:t>
      </w:r>
      <w:r>
        <w:rPr>
          <w:color w:val="auto"/>
          <w:vertAlign w:val="subscript"/>
        </w:rPr>
        <w:t>3</w:t>
      </w:r>
      <w:r>
        <w:rPr>
          <w:color w:val="auto"/>
        </w:rPr>
        <w:t>-N在排污口下游均未形成污染带，影响范围较小。</w:t>
      </w:r>
    </w:p>
    <w:p w14:paraId="7E1CAD4E">
      <w:pPr>
        <w:adjustRightInd w:val="0"/>
        <w:snapToGrid w:val="0"/>
        <w:ind w:firstLine="480"/>
        <w:rPr>
          <w:color w:val="auto"/>
        </w:rPr>
      </w:pPr>
      <w:r>
        <w:rPr>
          <w:color w:val="auto"/>
        </w:rPr>
        <w:t>同时根据各污水处理厂排污口批复及报表，排污口正常的排污状况下水质类别没有发生显著变化，影响范围非常有限，不会对该江段饵料生物群落结构和生物量产生明显影响；在非正常排放情况下，影响范围相对正常排放有所增大，由于有机污染物浓度较高，可能引起浮游植物与浮游动物数量和组成的变化，耐污种数量和种类可能会增加。</w:t>
      </w:r>
    </w:p>
    <w:p w14:paraId="262B731A">
      <w:pPr>
        <w:adjustRightInd w:val="0"/>
        <w:snapToGrid w:val="0"/>
        <w:ind w:firstLine="480"/>
        <w:rPr>
          <w:color w:val="auto"/>
          <w:kern w:val="0"/>
          <w:szCs w:val="24"/>
        </w:rPr>
      </w:pPr>
      <w:r>
        <w:rPr>
          <w:color w:val="auto"/>
          <w:kern w:val="0"/>
          <w:szCs w:val="24"/>
        </w:rPr>
        <w:t>总体上看，污水处理厂事故排放时对下游水质影响较大。因此，应保证污水的达标排放，杜绝事故排放，以减轻对生态环境的影响。</w:t>
      </w:r>
    </w:p>
    <w:p w14:paraId="08CC5EAB">
      <w:pPr>
        <w:pStyle w:val="5"/>
        <w:numPr>
          <w:ilvl w:val="0"/>
          <w:numId w:val="0"/>
        </w:numPr>
        <w:spacing w:before="166" w:after="166"/>
        <w:rPr>
          <w:color w:val="auto"/>
        </w:rPr>
      </w:pPr>
      <w:r>
        <w:rPr>
          <w:color w:val="auto"/>
        </w:rPr>
        <w:t>10.1.6综合结论</w:t>
      </w:r>
    </w:p>
    <w:p w14:paraId="7D481C9A">
      <w:pPr>
        <w:ind w:firstLine="480"/>
        <w:rPr>
          <w:color w:val="auto"/>
        </w:rPr>
      </w:pPr>
      <w:r>
        <w:rPr>
          <w:color w:val="auto"/>
        </w:rPr>
        <w:t>根据以上分析，</w:t>
      </w:r>
      <w:r>
        <w:rPr>
          <w:rFonts w:hint="eastAsia"/>
          <w:color w:val="auto"/>
        </w:rPr>
        <w:t>九龙工业园区</w:t>
      </w:r>
      <w:r>
        <w:rPr>
          <w:color w:val="auto"/>
        </w:rPr>
        <w:t>取用退水方案与相关法律 、法规以及规划期内用水总量控制 、用水效率控制和水功能限制纳污总量控制目标相符，</w:t>
      </w:r>
      <w:r>
        <w:rPr>
          <w:rFonts w:hint="eastAsia"/>
          <w:color w:val="auto"/>
        </w:rPr>
        <w:t>九龙工业园区的</w:t>
      </w:r>
      <w:r>
        <w:rPr>
          <w:color w:val="auto"/>
        </w:rPr>
        <w:t>取用退水方案可行。</w:t>
      </w:r>
    </w:p>
    <w:p w14:paraId="04E0D858">
      <w:pPr>
        <w:pStyle w:val="4"/>
        <w:numPr>
          <w:ilvl w:val="1"/>
          <w:numId w:val="0"/>
        </w:numPr>
        <w:spacing w:before="166" w:after="166"/>
        <w:rPr>
          <w:color w:val="auto"/>
        </w:rPr>
      </w:pPr>
      <w:bookmarkStart w:id="100" w:name="_Toc12854"/>
      <w:r>
        <w:rPr>
          <w:color w:val="auto"/>
        </w:rPr>
        <w:t>10.2建议</w:t>
      </w:r>
      <w:bookmarkEnd w:id="100"/>
    </w:p>
    <w:p w14:paraId="14BD1F79">
      <w:pPr>
        <w:ind w:firstLine="480"/>
        <w:rPr>
          <w:color w:val="auto"/>
        </w:rPr>
      </w:pPr>
      <w:r>
        <w:rPr>
          <w:color w:val="auto"/>
        </w:rPr>
        <w:t>（1）为防止规划区入驻企业在事故排放工况下，所排污水对水环境造成重大影响，污水管网应先期建设，并做到总量控制，达标排放。同时制定并落实重大污染事故应急预案与措施，确保安全运行。</w:t>
      </w:r>
    </w:p>
    <w:p w14:paraId="01139CA5">
      <w:pPr>
        <w:ind w:firstLine="480"/>
        <w:rPr>
          <w:color w:val="auto"/>
        </w:rPr>
      </w:pPr>
      <w:r>
        <w:rPr>
          <w:color w:val="auto"/>
        </w:rPr>
        <w:t>（2）建立事故排水收集系统，要求各企业内部设事故排水收集系统，各入规划区企业事故排水收集系统设计应执行《水体污染防控紧急措施设计导则》。</w:t>
      </w:r>
    </w:p>
    <w:p w14:paraId="08EC4412">
      <w:pPr>
        <w:ind w:firstLine="480"/>
        <w:rPr>
          <w:color w:val="auto"/>
        </w:rPr>
      </w:pPr>
      <w:r>
        <w:rPr>
          <w:color w:val="auto"/>
        </w:rPr>
        <w:t>（3）进一步优化规划区各入驻工业项目用水工艺和污水处理工艺，提高水的重复利用率，尽量减少污水排放量。</w:t>
      </w:r>
    </w:p>
    <w:p w14:paraId="05E22FBF">
      <w:pPr>
        <w:ind w:firstLine="480"/>
        <w:rPr>
          <w:color w:val="auto"/>
        </w:rPr>
      </w:pPr>
      <w:r>
        <w:rPr>
          <w:color w:val="auto"/>
        </w:rPr>
        <w:t>（4）要求根据规划实施情况，及时布设水环境跟踪监测点，同时，应委托有地表水环境监测资质的单位，在当地水行政主管部门的指导下，依照跟踪监测计划实施监测。</w:t>
      </w:r>
    </w:p>
    <w:p w14:paraId="0CF572D6">
      <w:pPr>
        <w:ind w:firstLine="480"/>
        <w:rPr>
          <w:color w:val="auto"/>
        </w:rPr>
      </w:pPr>
      <w:r>
        <w:rPr>
          <w:color w:val="auto"/>
        </w:rPr>
        <w:t>（5）进入规划区的项目所的企业必须经过严格筛选，选择国内外先进技术、用水量、废水产生量和污染物产生少的企业，把好准入关，凡不符合区域规划的污染物排放量大，污染物难以治理项目不予引进。</w:t>
      </w:r>
    </w:p>
    <w:p w14:paraId="16639732">
      <w:pPr>
        <w:ind w:firstLine="480"/>
        <w:rPr>
          <w:color w:val="auto"/>
        </w:rPr>
      </w:pPr>
      <w:r>
        <w:rPr>
          <w:color w:val="auto"/>
        </w:rPr>
        <w:t>（6）加强规划区环保基础设施的建设，有效削减区域内污染物排放量，为片区提供水环境承载支撑能力。</w:t>
      </w:r>
    </w:p>
    <w:p w14:paraId="2F6FD613">
      <w:pPr>
        <w:ind w:firstLine="480"/>
        <w:rPr>
          <w:color w:val="auto"/>
        </w:rPr>
      </w:pPr>
      <w:r>
        <w:rPr>
          <w:color w:val="auto"/>
        </w:rPr>
        <w:t>（7）工业节水应以提高水的利用效率为核心，建立节水型工业为目标，以企业为主体，重点抓好高用水行业的节水工作。在合理调整布局，加快产业结构调整，通过用水计划管理，加强总量控制、定额管理、系统节水改造及非常规水源利用等措施， 提高工业用水重复利用率。严格执行“三同时、四到位”制度，即节水设施必须与主体工程同时设计、同时施工、同时验收投入运行，用水单位要做到用水计划到位、节水目标到位、节水措施到位、管水制度到位。</w:t>
      </w:r>
    </w:p>
    <w:p w14:paraId="5ACD97E8">
      <w:pPr>
        <w:ind w:firstLine="480"/>
        <w:rPr>
          <w:color w:val="auto"/>
        </w:rPr>
      </w:pPr>
      <w:r>
        <w:rPr>
          <w:color w:val="auto"/>
        </w:rPr>
        <w:t>（8）城市公共节水应以建立节水型城市为目标，以社区为主体，大力发展城市集中供水，加快城市供水管网建设改造，加强节水器具和节水产品的推广普及工作，全面提高生活节水水平。同时，开展雨水收集回用和中水回用系统建设，加强非工程措施在生活节水领域的作用。运用价格杠杆促进节约用水，提高社会公众的节水意识。</w:t>
      </w:r>
    </w:p>
    <w:sectPr>
      <w:headerReference r:id="rId10" w:type="default"/>
      <w:footerReference r:id="rId11" w:type="default"/>
      <w:pgSz w:w="11905" w:h="16838"/>
      <w:pgMar w:top="1417" w:right="1417" w:bottom="1417" w:left="1587" w:header="850" w:footer="992" w:gutter="0"/>
      <w:cols w:space="0" w:num="1"/>
      <w:docGrid w:type="lines"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8A2E">
    <w:pPr>
      <w:pStyle w:val="15"/>
      <w:pBdr>
        <w:top w:val="single" w:color="auto" w:sz="4" w:space="1"/>
      </w:pBdr>
      <w:spacing w:line="240" w:lineRule="auto"/>
      <w:ind w:firstLine="0" w:firstLineChars="0"/>
      <w:jc w:val="both"/>
    </w:pPr>
    <w:r>
      <w:t>精佳建设工程集团有限公司</w:t>
    </w:r>
    <w:r>
      <w:rPr>
        <w:rFonts w:hint="eastAsia"/>
      </w:rPr>
      <w:t xml:space="preserve">  </w:t>
    </w:r>
    <w:r>
      <w:t>ADD：重庆市九龙坡区科园三路1号3楼</w:t>
    </w:r>
    <w:r>
      <w:rPr>
        <w:rFonts w:hint="eastAsia"/>
      </w:rPr>
      <w:t xml:space="preserve"> </w:t>
    </w:r>
    <w:r>
      <w:t xml:space="preserve"> TEL：023-68185237</w:t>
    </w:r>
    <w:r>
      <w:rPr>
        <w:rFonts w:hint="eastAsia"/>
      </w:rPr>
      <w:t xml:space="preserve">               </w:t>
    </w:r>
    <w:r>
      <w:fldChar w:fldCharType="begin"/>
    </w:r>
    <w:r>
      <w:instrText xml:space="preserve">PAGE   \* MERGEFORMAT</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2ED72">
    <w:pPr>
      <w:pStyle w:val="15"/>
      <w:pBdr>
        <w:top w:val="single" w:color="auto" w:sz="4" w:space="1"/>
      </w:pBdr>
      <w:spacing w:line="240" w:lineRule="auto"/>
      <w:ind w:firstLine="0" w:firstLineChars="0"/>
      <w:jc w:val="both"/>
    </w:pPr>
    <w:r>
      <w:t>精佳建设工程集团有限公司</w:t>
    </w:r>
    <w:r>
      <w:rPr>
        <w:rFonts w:hint="eastAsia"/>
      </w:rPr>
      <w:t xml:space="preserve">  </w:t>
    </w:r>
    <w:r>
      <w:t>ADD：重庆市九龙坡区科园三路1号3楼</w:t>
    </w:r>
    <w:r>
      <w:rPr>
        <w:rFonts w:hint="eastAsia"/>
      </w:rPr>
      <w:t xml:space="preserve"> </w:t>
    </w:r>
    <w:r>
      <w:t xml:space="preserve"> TEL：023-68185237</w:t>
    </w:r>
    <w:r>
      <w:rPr>
        <w:rFonts w:hint="eastAsia"/>
      </w:rPr>
      <w:t xml:space="preserve">               </w:t>
    </w:r>
    <w:r>
      <w:fldChar w:fldCharType="begin"/>
    </w:r>
    <w:r>
      <w:instrText xml:space="preserve">PAGE   \* MERGEFORMAT</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F58A">
    <w:pPr>
      <w:pStyle w:val="15"/>
      <w:pBdr>
        <w:top w:val="single" w:color="auto" w:sz="4" w:space="1"/>
      </w:pBdr>
      <w:tabs>
        <w:tab w:val="right" w:pos="8789"/>
        <w:tab w:val="clear" w:pos="8306"/>
      </w:tabs>
      <w:ind w:firstLine="0" w:firstLineChars="0"/>
      <w:jc w:val="both"/>
    </w:pPr>
    <w:r>
      <w:rPr>
        <w:rFonts w:hint="eastAsia"/>
      </w:rPr>
      <w:t xml:space="preserve">精佳建设工程集团有限公司 </w:t>
    </w:r>
    <w:r>
      <w:t xml:space="preserve">  ADD</w:t>
    </w:r>
    <w:r>
      <w:rPr>
        <w:rFonts w:hint="eastAsia"/>
      </w:rPr>
      <w:t>：重庆市九龙坡区科园三路1号3</w:t>
    </w:r>
    <w:r>
      <w:t>F   TEL</w:t>
    </w:r>
    <w:r>
      <w:rPr>
        <w:rFonts w:hint="eastAsia"/>
      </w:rPr>
      <w:t>：0</w:t>
    </w:r>
    <w:r>
      <w:t>23-68185237</w:t>
    </w:r>
    <w:r>
      <w:tab/>
    </w:r>
    <w:r>
      <w:fldChar w:fldCharType="begin"/>
    </w:r>
    <w:r>
      <w:instrText xml:space="preserve">PAGE   \* MERGEFORMAT</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4A248">
    <w:pPr>
      <w:pStyle w:val="15"/>
      <w:pBdr>
        <w:top w:val="single" w:color="auto" w:sz="4" w:space="1"/>
      </w:pBdr>
      <w:spacing w:line="240" w:lineRule="auto"/>
      <w:ind w:firstLine="0" w:firstLineChars="0"/>
      <w:jc w:val="both"/>
    </w:pPr>
    <w:r>
      <w:t>精佳建设工程集团有限公司</w:t>
    </w:r>
    <w:r>
      <w:rPr>
        <w:rFonts w:hint="eastAsia"/>
      </w:rPr>
      <w:t xml:space="preserve">  </w:t>
    </w:r>
    <w:r>
      <w:t>ADD：重庆市九龙坡区科园三路1号3楼</w:t>
    </w:r>
    <w:r>
      <w:rPr>
        <w:rFonts w:hint="eastAsia"/>
      </w:rPr>
      <w:t xml:space="preserve"> </w:t>
    </w:r>
    <w:r>
      <w:t xml:space="preserve"> TEL：023-68185237</w:t>
    </w:r>
    <w:r>
      <w:rPr>
        <w:rFonts w:hint="eastAsia"/>
      </w:rPr>
      <w:t xml:space="preserve">               </w:t>
    </w:r>
    <w:r>
      <w:fldChar w:fldCharType="begin"/>
    </w:r>
    <w:r>
      <w:instrText xml:space="preserve">PAGE   \* MERGEFORMAT</w:instrText>
    </w:r>
    <w:r>
      <w:fldChar w:fldCharType="separate"/>
    </w:r>
    <w: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A352">
    <w:pPr>
      <w:pStyle w:val="16"/>
      <w:ind w:firstLine="360"/>
    </w:pPr>
    <w:r>
      <w:rPr>
        <w:rFonts w:hint="eastAsia"/>
      </w:rPr>
      <w:t>重庆九龙工业园区水资源论证区域整体评价报告书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53628">
    <w:pPr>
      <w:pStyle w:val="16"/>
      <w:ind w:firstLine="360"/>
    </w:pPr>
    <w:r>
      <w:rPr>
        <w:rFonts w:hint="eastAsia"/>
      </w:rPr>
      <w:t>重庆九龙工业园区水资源论证区域整体评价报告书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45812">
    <w:pPr>
      <w:pStyle w:val="16"/>
      <w:ind w:firstLine="360"/>
    </w:pPr>
    <w:r>
      <w:rPr>
        <w:rFonts w:hint="eastAsia"/>
      </w:rPr>
      <w:t>重庆九龙工业园区水资源论证区域整体评价报告书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53D06"/>
    <w:multiLevelType w:val="singleLevel"/>
    <w:tmpl w:val="B1453D06"/>
    <w:lvl w:ilvl="0" w:tentative="0">
      <w:start w:val="4"/>
      <w:numFmt w:val="decimal"/>
      <w:suff w:val="nothing"/>
      <w:lvlText w:val="（%1）"/>
      <w:lvlJc w:val="left"/>
    </w:lvl>
  </w:abstractNum>
  <w:abstractNum w:abstractNumId="1">
    <w:nsid w:val="DFD03791"/>
    <w:multiLevelType w:val="singleLevel"/>
    <w:tmpl w:val="DFD03791"/>
    <w:lvl w:ilvl="0" w:tentative="0">
      <w:start w:val="2"/>
      <w:numFmt w:val="decimal"/>
      <w:suff w:val="nothing"/>
      <w:lvlText w:val="（%1）"/>
      <w:lvlJc w:val="left"/>
    </w:lvl>
  </w:abstractNum>
  <w:abstractNum w:abstractNumId="2">
    <w:nsid w:val="23E00FA1"/>
    <w:multiLevelType w:val="singleLevel"/>
    <w:tmpl w:val="23E00FA1"/>
    <w:lvl w:ilvl="0" w:tentative="0">
      <w:start w:val="5"/>
      <w:numFmt w:val="decimal"/>
      <w:suff w:val="nothing"/>
      <w:lvlText w:val="（%1）"/>
      <w:lvlJc w:val="left"/>
    </w:lvl>
  </w:abstractNum>
  <w:abstractNum w:abstractNumId="3">
    <w:nsid w:val="457F5EA9"/>
    <w:multiLevelType w:val="multilevel"/>
    <w:tmpl w:val="457F5EA9"/>
    <w:lvl w:ilvl="0" w:tentative="0">
      <w:start w:val="1"/>
      <w:numFmt w:val="chineseCountingThousand"/>
      <w:pStyle w:val="3"/>
      <w:isLgl/>
      <w:suff w:val="space"/>
      <w:lvlText w:val="%1"/>
      <w:lvlJc w:val="left"/>
      <w:pPr>
        <w:ind w:left="3261" w:firstLine="0"/>
      </w:pPr>
      <w:rPr>
        <w:rFonts w:hint="eastAsia"/>
        <w:lang w:val="en-US"/>
      </w:rPr>
    </w:lvl>
    <w:lvl w:ilvl="1" w:tentative="0">
      <w:start w:val="1"/>
      <w:numFmt w:val="decimal"/>
      <w:pStyle w:val="4"/>
      <w:isLgl/>
      <w:suff w:val="space"/>
      <w:lvlText w:val="%1.%2"/>
      <w:lvlJc w:val="left"/>
      <w:pPr>
        <w:ind w:left="0" w:firstLine="0"/>
      </w:pPr>
      <w:rPr>
        <w:rFonts w:hint="eastAsia" w:ascii="Times New Roman" w:hAnsi="Times New Roman" w:eastAsia="宋体"/>
        <w:dstrike w:val="0"/>
        <w:color w:val="auto"/>
        <w:sz w:val="28"/>
        <w:szCs w:val="28"/>
        <w:vertAlign w:val="baseline"/>
      </w:rPr>
    </w:lvl>
    <w:lvl w:ilvl="2" w:tentative="0">
      <w:start w:val="1"/>
      <w:numFmt w:val="decimal"/>
      <w:isLgl/>
      <w:suff w:val="space"/>
      <w:lvlText w:val="%1.%2.%3"/>
      <w:lvlJc w:val="left"/>
      <w:pPr>
        <w:ind w:left="1418" w:firstLine="0"/>
      </w:pPr>
      <w:rPr>
        <w:rFonts w:hint="eastAsia" w:ascii="Times New Roman" w:hAnsi="Times New Roman" w:eastAsia="宋体"/>
        <w:dstrike w:val="0"/>
        <w:sz w:val="24"/>
        <w:vertAlign w:val="baseline"/>
      </w:rPr>
    </w:lvl>
    <w:lvl w:ilvl="3" w:tentative="0">
      <w:start w:val="1"/>
      <w:numFmt w:val="decimal"/>
      <w:pStyle w:val="6"/>
      <w:isLgl/>
      <w:suff w:val="space"/>
      <w:lvlText w:val="%1.%2.%3.%4"/>
      <w:lvlJc w:val="left"/>
      <w:pPr>
        <w:ind w:left="3261" w:firstLine="0"/>
      </w:pPr>
      <w:rPr>
        <w:rFonts w:hint="eastAsia" w:ascii="Times New Roman" w:hAnsi="Times New Roman" w:eastAsia="宋体"/>
        <w:sz w:val="24"/>
      </w:rPr>
    </w:lvl>
    <w:lvl w:ilvl="4" w:tentative="0">
      <w:start w:val="1"/>
      <w:numFmt w:val="decimal"/>
      <w:isLgl/>
      <w:suff w:val="space"/>
      <w:lvlText w:val="%1.%2.%3.%4.%5"/>
      <w:lvlJc w:val="left"/>
      <w:pPr>
        <w:ind w:left="0" w:firstLine="0"/>
      </w:pPr>
      <w:rPr>
        <w:rFonts w:hint="default" w:ascii="Cambria" w:hAnsi="Cambria" w:eastAsia="宋体"/>
      </w:rPr>
    </w:lvl>
    <w:lvl w:ilvl="5" w:tentative="0">
      <w:start w:val="1"/>
      <w:numFmt w:val="decimal"/>
      <w:isLgl/>
      <w:suff w:val="space"/>
      <w:lvlText w:val="%1.%2.%3.%4.%5.%6"/>
      <w:lvlJc w:val="left"/>
      <w:pPr>
        <w:ind w:left="0" w:firstLine="0"/>
      </w:pPr>
      <w:rPr>
        <w:rFonts w:hint="default" w:ascii="Cambria" w:hAnsi="Cambria" w:eastAsia="宋体"/>
      </w:rPr>
    </w:lvl>
    <w:lvl w:ilvl="6" w:tentative="0">
      <w:start w:val="1"/>
      <w:numFmt w:val="decimal"/>
      <w:isLgl/>
      <w:suff w:val="space"/>
      <w:lvlText w:val="%1.%2.%3.%4.%5.%6.%7"/>
      <w:lvlJc w:val="left"/>
      <w:pPr>
        <w:ind w:left="0" w:firstLine="0"/>
      </w:pPr>
      <w:rPr>
        <w:rFonts w:hint="eastAsia"/>
      </w:rPr>
    </w:lvl>
    <w:lvl w:ilvl="7" w:tentative="0">
      <w:start w:val="1"/>
      <w:numFmt w:val="decimal"/>
      <w:isLgl/>
      <w:suff w:val="space"/>
      <w:lvlText w:val="%1.%2.%3.%4.%5.%6.%7.%8"/>
      <w:lvlJc w:val="left"/>
      <w:pPr>
        <w:ind w:left="0" w:firstLine="0"/>
      </w:pPr>
      <w:rPr>
        <w:rFonts w:hint="eastAsia"/>
      </w:rPr>
    </w:lvl>
    <w:lvl w:ilvl="8" w:tentative="0">
      <w:start w:val="1"/>
      <w:numFmt w:val="decimal"/>
      <w:isLgl/>
      <w:suff w:val="space"/>
      <w:lvlText w:val="%1.%2.%3.%4.%5.%6.%7.%8.%9"/>
      <w:lvlJc w:val="left"/>
      <w:pPr>
        <w:ind w:left="0" w:firstLine="0"/>
      </w:pPr>
      <w:rPr>
        <w:rFonts w:hint="eastAsia"/>
      </w:rPr>
    </w:lvl>
  </w:abstractNum>
  <w:abstractNum w:abstractNumId="4">
    <w:nsid w:val="74EA740D"/>
    <w:multiLevelType w:val="multilevel"/>
    <w:tmpl w:val="74EA740D"/>
    <w:lvl w:ilvl="0" w:tentative="0">
      <w:start w:val="1"/>
      <w:numFmt w:val="decimal"/>
      <w:pStyle w:val="5"/>
      <w:lvlText w:val="%1.1.1"/>
      <w:lvlJc w:val="left"/>
      <w:pPr>
        <w:ind w:left="420" w:hanging="420"/>
      </w:pPr>
      <w:rPr>
        <w:rFonts w:hint="default" w:ascii="Times New Roman" w:hAnsi="Times New Roman" w:eastAsia="宋体"/>
        <w:b/>
        <w:i w:val="0"/>
        <w:sz w:val="28"/>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40"/>
  <w:drawingGridVerticalSpacing w:val="168"/>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F77"/>
    <w:rsid w:val="000A2F43"/>
    <w:rsid w:val="000B24D5"/>
    <w:rsid w:val="000C61A7"/>
    <w:rsid w:val="00124F55"/>
    <w:rsid w:val="0012526E"/>
    <w:rsid w:val="001321ED"/>
    <w:rsid w:val="0015603B"/>
    <w:rsid w:val="00203F84"/>
    <w:rsid w:val="002265CA"/>
    <w:rsid w:val="002301A4"/>
    <w:rsid w:val="0023359E"/>
    <w:rsid w:val="0029464A"/>
    <w:rsid w:val="002C20DD"/>
    <w:rsid w:val="002D55B8"/>
    <w:rsid w:val="00304DD8"/>
    <w:rsid w:val="003D3416"/>
    <w:rsid w:val="003D6EC7"/>
    <w:rsid w:val="00431FC5"/>
    <w:rsid w:val="004473C6"/>
    <w:rsid w:val="00481024"/>
    <w:rsid w:val="004D592D"/>
    <w:rsid w:val="00596F8C"/>
    <w:rsid w:val="00597C21"/>
    <w:rsid w:val="005D701E"/>
    <w:rsid w:val="005E63AF"/>
    <w:rsid w:val="00632D86"/>
    <w:rsid w:val="00674C2D"/>
    <w:rsid w:val="006B3970"/>
    <w:rsid w:val="006F6FA3"/>
    <w:rsid w:val="00703ED4"/>
    <w:rsid w:val="00707457"/>
    <w:rsid w:val="007262EB"/>
    <w:rsid w:val="00763CE3"/>
    <w:rsid w:val="00774F11"/>
    <w:rsid w:val="00782B7A"/>
    <w:rsid w:val="007B19B8"/>
    <w:rsid w:val="007D35F4"/>
    <w:rsid w:val="007F78B9"/>
    <w:rsid w:val="00802129"/>
    <w:rsid w:val="008C020C"/>
    <w:rsid w:val="0097239C"/>
    <w:rsid w:val="009A1D81"/>
    <w:rsid w:val="009C19CE"/>
    <w:rsid w:val="009E3123"/>
    <w:rsid w:val="00A128E7"/>
    <w:rsid w:val="00A14C81"/>
    <w:rsid w:val="00A55FF0"/>
    <w:rsid w:val="00A62CCF"/>
    <w:rsid w:val="00A86DB5"/>
    <w:rsid w:val="00B476F9"/>
    <w:rsid w:val="00B67915"/>
    <w:rsid w:val="00BD6ADA"/>
    <w:rsid w:val="00BF083F"/>
    <w:rsid w:val="00C046CC"/>
    <w:rsid w:val="00C96323"/>
    <w:rsid w:val="00CE0794"/>
    <w:rsid w:val="00CF308C"/>
    <w:rsid w:val="00D55FD1"/>
    <w:rsid w:val="00DC14AC"/>
    <w:rsid w:val="00DE5B57"/>
    <w:rsid w:val="00DF746D"/>
    <w:rsid w:val="00E1089D"/>
    <w:rsid w:val="00E14AEE"/>
    <w:rsid w:val="00E17BBC"/>
    <w:rsid w:val="00E332A2"/>
    <w:rsid w:val="00E65BE2"/>
    <w:rsid w:val="00E66278"/>
    <w:rsid w:val="00E6702E"/>
    <w:rsid w:val="00E75F77"/>
    <w:rsid w:val="00E87DA7"/>
    <w:rsid w:val="00EA201A"/>
    <w:rsid w:val="00EB4177"/>
    <w:rsid w:val="00EE0C26"/>
    <w:rsid w:val="00F23FD4"/>
    <w:rsid w:val="00F2616F"/>
    <w:rsid w:val="00F36656"/>
    <w:rsid w:val="00F476D8"/>
    <w:rsid w:val="00F759D4"/>
    <w:rsid w:val="00F9029D"/>
    <w:rsid w:val="0102152B"/>
    <w:rsid w:val="01176A14"/>
    <w:rsid w:val="01522A36"/>
    <w:rsid w:val="021F3A4A"/>
    <w:rsid w:val="026B1371"/>
    <w:rsid w:val="02712A7C"/>
    <w:rsid w:val="03046C17"/>
    <w:rsid w:val="03193B3E"/>
    <w:rsid w:val="03496766"/>
    <w:rsid w:val="03AA6247"/>
    <w:rsid w:val="03B56814"/>
    <w:rsid w:val="03BE27FD"/>
    <w:rsid w:val="03ED421F"/>
    <w:rsid w:val="03EE4997"/>
    <w:rsid w:val="03F938BC"/>
    <w:rsid w:val="046122B5"/>
    <w:rsid w:val="04695F91"/>
    <w:rsid w:val="0473031C"/>
    <w:rsid w:val="04D2132E"/>
    <w:rsid w:val="051E234B"/>
    <w:rsid w:val="057D5A19"/>
    <w:rsid w:val="0633493D"/>
    <w:rsid w:val="068F0A03"/>
    <w:rsid w:val="06C60C26"/>
    <w:rsid w:val="06CA59B5"/>
    <w:rsid w:val="06D64260"/>
    <w:rsid w:val="06E90DC6"/>
    <w:rsid w:val="07245877"/>
    <w:rsid w:val="07250E08"/>
    <w:rsid w:val="07403A6C"/>
    <w:rsid w:val="07CE41BA"/>
    <w:rsid w:val="082D06BD"/>
    <w:rsid w:val="082D10D1"/>
    <w:rsid w:val="086F5F8A"/>
    <w:rsid w:val="089F1E28"/>
    <w:rsid w:val="08B6023C"/>
    <w:rsid w:val="08D71A23"/>
    <w:rsid w:val="09327004"/>
    <w:rsid w:val="0977361C"/>
    <w:rsid w:val="098955A7"/>
    <w:rsid w:val="09EE2DBB"/>
    <w:rsid w:val="0A6029EC"/>
    <w:rsid w:val="0A757CEB"/>
    <w:rsid w:val="0A895F11"/>
    <w:rsid w:val="0AAF5511"/>
    <w:rsid w:val="0AB42217"/>
    <w:rsid w:val="0C5432C9"/>
    <w:rsid w:val="0C6C19B7"/>
    <w:rsid w:val="0C6F2951"/>
    <w:rsid w:val="0D092F50"/>
    <w:rsid w:val="0D287ADA"/>
    <w:rsid w:val="0D4D2F51"/>
    <w:rsid w:val="0D5743C5"/>
    <w:rsid w:val="0DBB2453"/>
    <w:rsid w:val="0DD371DE"/>
    <w:rsid w:val="0E0C0BF3"/>
    <w:rsid w:val="0E446035"/>
    <w:rsid w:val="0E4561CB"/>
    <w:rsid w:val="0E4812FA"/>
    <w:rsid w:val="0E7148FA"/>
    <w:rsid w:val="0F134C07"/>
    <w:rsid w:val="0F210D57"/>
    <w:rsid w:val="0FC2469C"/>
    <w:rsid w:val="0FD94118"/>
    <w:rsid w:val="0FE11B8E"/>
    <w:rsid w:val="105202E6"/>
    <w:rsid w:val="10B02228"/>
    <w:rsid w:val="10BB6200"/>
    <w:rsid w:val="10C82F65"/>
    <w:rsid w:val="11986C3B"/>
    <w:rsid w:val="119F4518"/>
    <w:rsid w:val="11BA235A"/>
    <w:rsid w:val="11C74F83"/>
    <w:rsid w:val="121C1AD4"/>
    <w:rsid w:val="12561AD8"/>
    <w:rsid w:val="1270774B"/>
    <w:rsid w:val="12732C02"/>
    <w:rsid w:val="1293710E"/>
    <w:rsid w:val="129C322E"/>
    <w:rsid w:val="12A37AFB"/>
    <w:rsid w:val="12E761B4"/>
    <w:rsid w:val="133F25E7"/>
    <w:rsid w:val="134679C5"/>
    <w:rsid w:val="13740FB4"/>
    <w:rsid w:val="13CD379B"/>
    <w:rsid w:val="13D33D7F"/>
    <w:rsid w:val="13E87024"/>
    <w:rsid w:val="13F63607"/>
    <w:rsid w:val="1451669C"/>
    <w:rsid w:val="15064DF6"/>
    <w:rsid w:val="151C412F"/>
    <w:rsid w:val="15676200"/>
    <w:rsid w:val="15921E10"/>
    <w:rsid w:val="15990969"/>
    <w:rsid w:val="15B7733D"/>
    <w:rsid w:val="15DD2D47"/>
    <w:rsid w:val="15FF515A"/>
    <w:rsid w:val="169E4B72"/>
    <w:rsid w:val="16E83A69"/>
    <w:rsid w:val="17542996"/>
    <w:rsid w:val="17601F38"/>
    <w:rsid w:val="17EB5A02"/>
    <w:rsid w:val="17EF5018"/>
    <w:rsid w:val="17F7288B"/>
    <w:rsid w:val="1812425A"/>
    <w:rsid w:val="183B451A"/>
    <w:rsid w:val="18C1324D"/>
    <w:rsid w:val="192E2864"/>
    <w:rsid w:val="198A1BC5"/>
    <w:rsid w:val="19BC1D6E"/>
    <w:rsid w:val="19CA395D"/>
    <w:rsid w:val="19E30BAB"/>
    <w:rsid w:val="1A05452A"/>
    <w:rsid w:val="1A742D57"/>
    <w:rsid w:val="1A8803B4"/>
    <w:rsid w:val="1AA955D6"/>
    <w:rsid w:val="1B3E2CFD"/>
    <w:rsid w:val="1B4B4EC9"/>
    <w:rsid w:val="1B896551"/>
    <w:rsid w:val="1C07204C"/>
    <w:rsid w:val="1C5D56E4"/>
    <w:rsid w:val="1C80475F"/>
    <w:rsid w:val="1CBF2F01"/>
    <w:rsid w:val="1D270630"/>
    <w:rsid w:val="1D304A51"/>
    <w:rsid w:val="1D353369"/>
    <w:rsid w:val="1D9A129A"/>
    <w:rsid w:val="1DAB6368"/>
    <w:rsid w:val="1DB9360A"/>
    <w:rsid w:val="1DEC4191"/>
    <w:rsid w:val="1E490CB2"/>
    <w:rsid w:val="1E532267"/>
    <w:rsid w:val="1ED941CA"/>
    <w:rsid w:val="1EE735D5"/>
    <w:rsid w:val="1F892165"/>
    <w:rsid w:val="1F9D379C"/>
    <w:rsid w:val="1FD97EEC"/>
    <w:rsid w:val="20D07C7F"/>
    <w:rsid w:val="21023632"/>
    <w:rsid w:val="21AA68CA"/>
    <w:rsid w:val="21B671D9"/>
    <w:rsid w:val="22320504"/>
    <w:rsid w:val="22936D12"/>
    <w:rsid w:val="23272051"/>
    <w:rsid w:val="23327A24"/>
    <w:rsid w:val="243A32CD"/>
    <w:rsid w:val="24F51870"/>
    <w:rsid w:val="2511267E"/>
    <w:rsid w:val="252B2ADA"/>
    <w:rsid w:val="25932411"/>
    <w:rsid w:val="25AB25C5"/>
    <w:rsid w:val="25C91496"/>
    <w:rsid w:val="26C6680B"/>
    <w:rsid w:val="26CD049C"/>
    <w:rsid w:val="26FC32F4"/>
    <w:rsid w:val="274A0BAF"/>
    <w:rsid w:val="27562DD0"/>
    <w:rsid w:val="27AC4544"/>
    <w:rsid w:val="27B95DED"/>
    <w:rsid w:val="27C87342"/>
    <w:rsid w:val="27CC61DF"/>
    <w:rsid w:val="27EE6060"/>
    <w:rsid w:val="27FB27C2"/>
    <w:rsid w:val="286035CB"/>
    <w:rsid w:val="28C004B1"/>
    <w:rsid w:val="28D42C00"/>
    <w:rsid w:val="28FF3BFC"/>
    <w:rsid w:val="294322C0"/>
    <w:rsid w:val="294F0B52"/>
    <w:rsid w:val="29773376"/>
    <w:rsid w:val="29834552"/>
    <w:rsid w:val="29A1266C"/>
    <w:rsid w:val="29D204C2"/>
    <w:rsid w:val="29E767FE"/>
    <w:rsid w:val="29EC31FF"/>
    <w:rsid w:val="2B136703"/>
    <w:rsid w:val="2B737227"/>
    <w:rsid w:val="2B841F2D"/>
    <w:rsid w:val="2BB44F36"/>
    <w:rsid w:val="2C253E94"/>
    <w:rsid w:val="2C69776D"/>
    <w:rsid w:val="2C8213C7"/>
    <w:rsid w:val="2CA005BA"/>
    <w:rsid w:val="2CB419EC"/>
    <w:rsid w:val="2D6A548C"/>
    <w:rsid w:val="2DC34802"/>
    <w:rsid w:val="2E163808"/>
    <w:rsid w:val="2E39435A"/>
    <w:rsid w:val="2E7B5887"/>
    <w:rsid w:val="2EB70A70"/>
    <w:rsid w:val="2F6D3A75"/>
    <w:rsid w:val="2F9B14D2"/>
    <w:rsid w:val="2FA056F0"/>
    <w:rsid w:val="2FBC6AF2"/>
    <w:rsid w:val="303E7D71"/>
    <w:rsid w:val="307F0342"/>
    <w:rsid w:val="30CE46A9"/>
    <w:rsid w:val="30D35078"/>
    <w:rsid w:val="31292879"/>
    <w:rsid w:val="31296AC7"/>
    <w:rsid w:val="315D6CEF"/>
    <w:rsid w:val="31632183"/>
    <w:rsid w:val="318A026A"/>
    <w:rsid w:val="31B5448C"/>
    <w:rsid w:val="31BB481C"/>
    <w:rsid w:val="324377DC"/>
    <w:rsid w:val="324B68EE"/>
    <w:rsid w:val="33151FEC"/>
    <w:rsid w:val="333567B7"/>
    <w:rsid w:val="33386513"/>
    <w:rsid w:val="333C314F"/>
    <w:rsid w:val="33B536F1"/>
    <w:rsid w:val="33C96CD1"/>
    <w:rsid w:val="33F759FD"/>
    <w:rsid w:val="342C2029"/>
    <w:rsid w:val="359B0F31"/>
    <w:rsid w:val="35C929E5"/>
    <w:rsid w:val="361D401E"/>
    <w:rsid w:val="36B430BF"/>
    <w:rsid w:val="36B5387F"/>
    <w:rsid w:val="36CD244D"/>
    <w:rsid w:val="36DB6B68"/>
    <w:rsid w:val="37413441"/>
    <w:rsid w:val="376729D9"/>
    <w:rsid w:val="390910E0"/>
    <w:rsid w:val="390E674C"/>
    <w:rsid w:val="393351C7"/>
    <w:rsid w:val="397276F0"/>
    <w:rsid w:val="398D1AD3"/>
    <w:rsid w:val="3A170927"/>
    <w:rsid w:val="3A430F54"/>
    <w:rsid w:val="3A4A2D92"/>
    <w:rsid w:val="3AF41029"/>
    <w:rsid w:val="3AF5744A"/>
    <w:rsid w:val="3B1A5BA4"/>
    <w:rsid w:val="3B5D0745"/>
    <w:rsid w:val="3B640F1A"/>
    <w:rsid w:val="3B90235F"/>
    <w:rsid w:val="3C435AAC"/>
    <w:rsid w:val="3C5B3ED4"/>
    <w:rsid w:val="3C711F0C"/>
    <w:rsid w:val="3C7770C6"/>
    <w:rsid w:val="3CF30939"/>
    <w:rsid w:val="3D405660"/>
    <w:rsid w:val="3D5717CA"/>
    <w:rsid w:val="3DA52737"/>
    <w:rsid w:val="3DE744B4"/>
    <w:rsid w:val="3EBA01F1"/>
    <w:rsid w:val="3EE72726"/>
    <w:rsid w:val="3F6C178C"/>
    <w:rsid w:val="3F7253B5"/>
    <w:rsid w:val="3F900E83"/>
    <w:rsid w:val="4078480D"/>
    <w:rsid w:val="40DC59B9"/>
    <w:rsid w:val="41E37401"/>
    <w:rsid w:val="425E611C"/>
    <w:rsid w:val="42787A35"/>
    <w:rsid w:val="42B6559B"/>
    <w:rsid w:val="42F54FFA"/>
    <w:rsid w:val="43052E27"/>
    <w:rsid w:val="435B1F85"/>
    <w:rsid w:val="43932B9C"/>
    <w:rsid w:val="43A47928"/>
    <w:rsid w:val="43BD1F28"/>
    <w:rsid w:val="43BE25CC"/>
    <w:rsid w:val="43E776BF"/>
    <w:rsid w:val="443D1A75"/>
    <w:rsid w:val="44840937"/>
    <w:rsid w:val="449E5B30"/>
    <w:rsid w:val="44A1408C"/>
    <w:rsid w:val="44D70006"/>
    <w:rsid w:val="450D1DEE"/>
    <w:rsid w:val="455C5093"/>
    <w:rsid w:val="45922579"/>
    <w:rsid w:val="45D047BB"/>
    <w:rsid w:val="45DC7A03"/>
    <w:rsid w:val="46B92488"/>
    <w:rsid w:val="46DC2C3F"/>
    <w:rsid w:val="46E32C4B"/>
    <w:rsid w:val="472B54E2"/>
    <w:rsid w:val="47853CAC"/>
    <w:rsid w:val="482B0F89"/>
    <w:rsid w:val="48454494"/>
    <w:rsid w:val="48E07D78"/>
    <w:rsid w:val="49470242"/>
    <w:rsid w:val="49E85716"/>
    <w:rsid w:val="4A0C7FD7"/>
    <w:rsid w:val="4A3037B6"/>
    <w:rsid w:val="4A4A07C2"/>
    <w:rsid w:val="4A73698A"/>
    <w:rsid w:val="4AE32895"/>
    <w:rsid w:val="4B9E64C3"/>
    <w:rsid w:val="4BB41686"/>
    <w:rsid w:val="4C2477CB"/>
    <w:rsid w:val="4C675BDE"/>
    <w:rsid w:val="4C997B08"/>
    <w:rsid w:val="4CF60461"/>
    <w:rsid w:val="4CF8710F"/>
    <w:rsid w:val="4D0B3C07"/>
    <w:rsid w:val="4D80779A"/>
    <w:rsid w:val="4E0130F7"/>
    <w:rsid w:val="4E0F5F51"/>
    <w:rsid w:val="4E6850B0"/>
    <w:rsid w:val="4E770A5B"/>
    <w:rsid w:val="4EAE1269"/>
    <w:rsid w:val="4F7617EC"/>
    <w:rsid w:val="4F8824F0"/>
    <w:rsid w:val="50035FBD"/>
    <w:rsid w:val="5122272B"/>
    <w:rsid w:val="513A7C76"/>
    <w:rsid w:val="5141754B"/>
    <w:rsid w:val="516C7A47"/>
    <w:rsid w:val="51A1365A"/>
    <w:rsid w:val="52006AB4"/>
    <w:rsid w:val="52133E4F"/>
    <w:rsid w:val="52266167"/>
    <w:rsid w:val="52377858"/>
    <w:rsid w:val="527B38E2"/>
    <w:rsid w:val="52FB23D0"/>
    <w:rsid w:val="53D86589"/>
    <w:rsid w:val="53DD5CEF"/>
    <w:rsid w:val="53EE61B8"/>
    <w:rsid w:val="54477274"/>
    <w:rsid w:val="545548C4"/>
    <w:rsid w:val="549F5CF0"/>
    <w:rsid w:val="54B54962"/>
    <w:rsid w:val="551965BC"/>
    <w:rsid w:val="55A932BE"/>
    <w:rsid w:val="55AC6D17"/>
    <w:rsid w:val="563153B3"/>
    <w:rsid w:val="563D07D8"/>
    <w:rsid w:val="56726BA7"/>
    <w:rsid w:val="56F674C1"/>
    <w:rsid w:val="57627ED7"/>
    <w:rsid w:val="57F76946"/>
    <w:rsid w:val="584779CF"/>
    <w:rsid w:val="585051BF"/>
    <w:rsid w:val="58886CCF"/>
    <w:rsid w:val="58A16F44"/>
    <w:rsid w:val="58A95545"/>
    <w:rsid w:val="591E309F"/>
    <w:rsid w:val="59C035A8"/>
    <w:rsid w:val="59FB2625"/>
    <w:rsid w:val="5A6654D8"/>
    <w:rsid w:val="5AB314CC"/>
    <w:rsid w:val="5B133954"/>
    <w:rsid w:val="5B2B796F"/>
    <w:rsid w:val="5B997630"/>
    <w:rsid w:val="5B9C78BB"/>
    <w:rsid w:val="5BC54A15"/>
    <w:rsid w:val="5BEF10F9"/>
    <w:rsid w:val="5BF17E8F"/>
    <w:rsid w:val="5BFD0988"/>
    <w:rsid w:val="5C145BE0"/>
    <w:rsid w:val="5C1A3200"/>
    <w:rsid w:val="5C3D70BF"/>
    <w:rsid w:val="5C897ACA"/>
    <w:rsid w:val="5CD96EC4"/>
    <w:rsid w:val="5DAD5606"/>
    <w:rsid w:val="5DC93042"/>
    <w:rsid w:val="5DD827D3"/>
    <w:rsid w:val="5E6B52AD"/>
    <w:rsid w:val="5EA26BA1"/>
    <w:rsid w:val="5FA151A0"/>
    <w:rsid w:val="60286310"/>
    <w:rsid w:val="60351638"/>
    <w:rsid w:val="60B001AC"/>
    <w:rsid w:val="617864B0"/>
    <w:rsid w:val="617A40BA"/>
    <w:rsid w:val="61B2264D"/>
    <w:rsid w:val="61BC724F"/>
    <w:rsid w:val="61D4315D"/>
    <w:rsid w:val="61F15A86"/>
    <w:rsid w:val="620C015E"/>
    <w:rsid w:val="621F0DBB"/>
    <w:rsid w:val="625B3FFA"/>
    <w:rsid w:val="62770412"/>
    <w:rsid w:val="62DD72AC"/>
    <w:rsid w:val="632D040F"/>
    <w:rsid w:val="63C334FF"/>
    <w:rsid w:val="63F62AB7"/>
    <w:rsid w:val="6421742C"/>
    <w:rsid w:val="64406D7C"/>
    <w:rsid w:val="64527CD9"/>
    <w:rsid w:val="647A34DF"/>
    <w:rsid w:val="64B3322D"/>
    <w:rsid w:val="64CA6AAB"/>
    <w:rsid w:val="6503477F"/>
    <w:rsid w:val="6568261E"/>
    <w:rsid w:val="65EB60D7"/>
    <w:rsid w:val="67AE3061"/>
    <w:rsid w:val="67FA050F"/>
    <w:rsid w:val="680327B7"/>
    <w:rsid w:val="68225E81"/>
    <w:rsid w:val="68651705"/>
    <w:rsid w:val="69236293"/>
    <w:rsid w:val="693468A6"/>
    <w:rsid w:val="69543BD1"/>
    <w:rsid w:val="6994065A"/>
    <w:rsid w:val="6A050AFB"/>
    <w:rsid w:val="6A2D1B52"/>
    <w:rsid w:val="6A713E49"/>
    <w:rsid w:val="6AA31326"/>
    <w:rsid w:val="6ABB0BBF"/>
    <w:rsid w:val="6AD133E2"/>
    <w:rsid w:val="6B0C305C"/>
    <w:rsid w:val="6B353C6A"/>
    <w:rsid w:val="6B52560B"/>
    <w:rsid w:val="6B791F83"/>
    <w:rsid w:val="6C16152C"/>
    <w:rsid w:val="6C417E20"/>
    <w:rsid w:val="6C5C0EF7"/>
    <w:rsid w:val="6C6E075E"/>
    <w:rsid w:val="6C996FC9"/>
    <w:rsid w:val="6CD137B6"/>
    <w:rsid w:val="6CF86DF3"/>
    <w:rsid w:val="6DD3063D"/>
    <w:rsid w:val="6E66765E"/>
    <w:rsid w:val="6F1B4231"/>
    <w:rsid w:val="6F5278BC"/>
    <w:rsid w:val="70D06E21"/>
    <w:rsid w:val="70D801CE"/>
    <w:rsid w:val="71796B22"/>
    <w:rsid w:val="71BD6390"/>
    <w:rsid w:val="724B5891"/>
    <w:rsid w:val="726F78B0"/>
    <w:rsid w:val="72B90CCA"/>
    <w:rsid w:val="730B4804"/>
    <w:rsid w:val="734F5034"/>
    <w:rsid w:val="738953D1"/>
    <w:rsid w:val="73D60092"/>
    <w:rsid w:val="73D74BE1"/>
    <w:rsid w:val="740660CA"/>
    <w:rsid w:val="747E0583"/>
    <w:rsid w:val="74BD6A4C"/>
    <w:rsid w:val="755F2BF3"/>
    <w:rsid w:val="75AE754D"/>
    <w:rsid w:val="75CA611D"/>
    <w:rsid w:val="75EF2C7C"/>
    <w:rsid w:val="75F225BB"/>
    <w:rsid w:val="766E6A6B"/>
    <w:rsid w:val="767328B2"/>
    <w:rsid w:val="768107AA"/>
    <w:rsid w:val="76894973"/>
    <w:rsid w:val="76B34247"/>
    <w:rsid w:val="77107F3E"/>
    <w:rsid w:val="77625AD4"/>
    <w:rsid w:val="77924D30"/>
    <w:rsid w:val="77BE13D0"/>
    <w:rsid w:val="781E5B9B"/>
    <w:rsid w:val="7838417C"/>
    <w:rsid w:val="784A3DB0"/>
    <w:rsid w:val="78FA0097"/>
    <w:rsid w:val="790F30F9"/>
    <w:rsid w:val="795E3471"/>
    <w:rsid w:val="79ED3B08"/>
    <w:rsid w:val="7A6D66B7"/>
    <w:rsid w:val="7AAD1386"/>
    <w:rsid w:val="7AE163DE"/>
    <w:rsid w:val="7B707523"/>
    <w:rsid w:val="7BC7335A"/>
    <w:rsid w:val="7BCB6244"/>
    <w:rsid w:val="7C0E31E5"/>
    <w:rsid w:val="7CDA1E99"/>
    <w:rsid w:val="7D346EDE"/>
    <w:rsid w:val="7DAF7C03"/>
    <w:rsid w:val="7DF55B5B"/>
    <w:rsid w:val="7E6573D6"/>
    <w:rsid w:val="7F264B0C"/>
    <w:rsid w:val="7F4553DF"/>
    <w:rsid w:val="7F740570"/>
    <w:rsid w:val="7FF42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28"/>
    <w:qFormat/>
    <w:uiPriority w:val="0"/>
    <w:pPr>
      <w:keepNext/>
      <w:keepLines/>
      <w:numPr>
        <w:ilvl w:val="0"/>
        <w:numId w:val="1"/>
      </w:numPr>
      <w:spacing w:before="100" w:beforeLines="100" w:after="100" w:afterLines="100"/>
      <w:ind w:firstLineChars="0"/>
      <w:jc w:val="center"/>
      <w:outlineLvl w:val="0"/>
    </w:pPr>
    <w:rPr>
      <w:b/>
      <w:bCs/>
      <w:kern w:val="44"/>
      <w:sz w:val="32"/>
      <w:szCs w:val="44"/>
    </w:rPr>
  </w:style>
  <w:style w:type="paragraph" w:styleId="4">
    <w:name w:val="heading 2"/>
    <w:basedOn w:val="1"/>
    <w:next w:val="1"/>
    <w:link w:val="27"/>
    <w:qFormat/>
    <w:uiPriority w:val="0"/>
    <w:pPr>
      <w:keepNext/>
      <w:keepLines/>
      <w:numPr>
        <w:ilvl w:val="1"/>
        <w:numId w:val="1"/>
      </w:numPr>
      <w:spacing w:before="50" w:beforeLines="50" w:after="50" w:afterLines="50"/>
      <w:ind w:firstLineChars="0"/>
      <w:jc w:val="left"/>
      <w:outlineLvl w:val="1"/>
    </w:pPr>
    <w:rPr>
      <w:b/>
      <w:bCs/>
      <w:sz w:val="30"/>
      <w:szCs w:val="32"/>
    </w:rPr>
  </w:style>
  <w:style w:type="paragraph" w:styleId="5">
    <w:name w:val="heading 3"/>
    <w:basedOn w:val="1"/>
    <w:next w:val="1"/>
    <w:link w:val="34"/>
    <w:unhideWhenUsed/>
    <w:qFormat/>
    <w:uiPriority w:val="9"/>
    <w:pPr>
      <w:keepNext/>
      <w:keepLines/>
      <w:numPr>
        <w:ilvl w:val="0"/>
        <w:numId w:val="2"/>
      </w:numPr>
      <w:spacing w:before="50" w:beforeLines="50" w:after="50" w:afterLines="50"/>
      <w:ind w:firstLine="0" w:firstLineChars="0"/>
      <w:jc w:val="left"/>
      <w:outlineLvl w:val="2"/>
    </w:pPr>
    <w:rPr>
      <w:b/>
      <w:bCs/>
      <w:sz w:val="28"/>
      <w:szCs w:val="32"/>
    </w:rPr>
  </w:style>
  <w:style w:type="paragraph" w:styleId="6">
    <w:name w:val="heading 4"/>
    <w:basedOn w:val="1"/>
    <w:next w:val="1"/>
    <w:link w:val="26"/>
    <w:qFormat/>
    <w:uiPriority w:val="9"/>
    <w:pPr>
      <w:keepNext/>
      <w:keepLines/>
      <w:numPr>
        <w:ilvl w:val="3"/>
        <w:numId w:val="1"/>
      </w:numPr>
      <w:ind w:left="0" w:firstLineChars="0"/>
      <w:jc w:val="left"/>
      <w:outlineLvl w:val="3"/>
    </w:pPr>
    <w:rPr>
      <w:b/>
      <w:bCs/>
      <w:szCs w:val="28"/>
    </w:rPr>
  </w:style>
  <w:style w:type="paragraph" w:styleId="7">
    <w:name w:val="heading 5"/>
    <w:basedOn w:val="1"/>
    <w:next w:val="1"/>
    <w:unhideWhenUsed/>
    <w:qFormat/>
    <w:uiPriority w:val="9"/>
    <w:pPr>
      <w:keepNext/>
      <w:keepLines/>
      <w:outlineLvl w:val="4"/>
    </w:pPr>
    <w:rPr>
      <w:b/>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4"/>
    </w:rPr>
  </w:style>
  <w:style w:type="paragraph" w:styleId="9">
    <w:name w:val="caption"/>
    <w:basedOn w:val="1"/>
    <w:next w:val="1"/>
    <w:unhideWhenUsed/>
    <w:qFormat/>
    <w:uiPriority w:val="35"/>
    <w:rPr>
      <w:rFonts w:ascii="Cambria" w:hAnsi="Cambria" w:eastAsia="黑体"/>
      <w:sz w:val="20"/>
    </w:rPr>
  </w:style>
  <w:style w:type="paragraph" w:styleId="10">
    <w:name w:val="Body Text"/>
    <w:basedOn w:val="1"/>
    <w:qFormat/>
    <w:uiPriority w:val="0"/>
    <w:pPr>
      <w:spacing w:after="120"/>
    </w:pPr>
  </w:style>
  <w:style w:type="paragraph" w:styleId="11">
    <w:name w:val="Body Text Indent"/>
    <w:basedOn w:val="1"/>
    <w:qFormat/>
    <w:uiPriority w:val="0"/>
  </w:style>
  <w:style w:type="paragraph" w:styleId="12">
    <w:name w:val="toc 3"/>
    <w:basedOn w:val="1"/>
    <w:next w:val="1"/>
    <w:semiHidden/>
    <w:unhideWhenUsed/>
    <w:qFormat/>
    <w:uiPriority w:val="39"/>
    <w:pPr>
      <w:ind w:left="840" w:leftChars="400"/>
    </w:pPr>
  </w:style>
  <w:style w:type="paragraph" w:styleId="13">
    <w:name w:val="Plain Text"/>
    <w:basedOn w:val="1"/>
    <w:qFormat/>
    <w:uiPriority w:val="0"/>
    <w:rPr>
      <w:sz w:val="28"/>
    </w:rPr>
  </w:style>
  <w:style w:type="paragraph" w:styleId="14">
    <w:name w:val="Balloon Text"/>
    <w:basedOn w:val="1"/>
    <w:link w:val="31"/>
    <w:semiHidden/>
    <w:unhideWhenUsed/>
    <w:qFormat/>
    <w:uiPriority w:val="99"/>
    <w:pPr>
      <w:spacing w:line="240" w:lineRule="auto"/>
    </w:pPr>
    <w:rPr>
      <w:sz w:val="18"/>
      <w:szCs w:val="18"/>
    </w:rPr>
  </w:style>
  <w:style w:type="paragraph" w:styleId="15">
    <w:name w:val="footer"/>
    <w:basedOn w:val="1"/>
    <w:link w:val="30"/>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link w:val="2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1"/>
    <w:basedOn w:val="1"/>
    <w:next w:val="1"/>
    <w:semiHidden/>
    <w:unhideWhenUsed/>
    <w:qFormat/>
    <w:uiPriority w:val="39"/>
    <w:rPr>
      <w:b/>
    </w:rPr>
  </w:style>
  <w:style w:type="paragraph" w:styleId="18">
    <w:name w:val="toc 2"/>
    <w:basedOn w:val="1"/>
    <w:next w:val="1"/>
    <w:semiHidden/>
    <w:unhideWhenUsed/>
    <w:qFormat/>
    <w:uiPriority w:val="39"/>
    <w:pPr>
      <w:ind w:left="420" w:leftChars="200"/>
    </w:pPr>
  </w:style>
  <w:style w:type="paragraph" w:styleId="19">
    <w:name w:val="Body Text 2"/>
    <w:basedOn w:val="1"/>
    <w:qFormat/>
    <w:uiPriority w:val="0"/>
    <w:pPr>
      <w:spacing w:after="120" w:line="480" w:lineRule="auto"/>
    </w:pPr>
    <w:rPr>
      <w:sz w:val="21"/>
      <w:szCs w:val="24"/>
    </w:rPr>
  </w:style>
  <w:style w:type="paragraph" w:styleId="20">
    <w:name w:val="Body Text First Indent 2"/>
    <w:basedOn w:val="11"/>
    <w:qFormat/>
    <w:uiPriority w:val="0"/>
    <w:pPr>
      <w:ind w:firstLine="420"/>
    </w:p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semiHidden/>
    <w:unhideWhenUsed/>
    <w:qFormat/>
    <w:uiPriority w:val="99"/>
    <w:rPr>
      <w:color w:val="0000FF"/>
      <w:u w:val="single"/>
    </w:rPr>
  </w:style>
  <w:style w:type="paragraph" w:customStyle="1" w:styleId="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6">
    <w:name w:val="标题 4 字符"/>
    <w:basedOn w:val="23"/>
    <w:link w:val="6"/>
    <w:qFormat/>
    <w:uiPriority w:val="9"/>
    <w:rPr>
      <w:rFonts w:ascii="Times New Roman" w:hAnsi="Times New Roman" w:eastAsia="宋体" w:cs="Times New Roman"/>
      <w:b/>
      <w:bCs/>
      <w:sz w:val="24"/>
      <w:szCs w:val="28"/>
    </w:rPr>
  </w:style>
  <w:style w:type="character" w:customStyle="1" w:styleId="27">
    <w:name w:val="标题 2 字符"/>
    <w:link w:val="4"/>
    <w:qFormat/>
    <w:uiPriority w:val="0"/>
    <w:rPr>
      <w:rFonts w:ascii="Times New Roman" w:hAnsi="Times New Roman" w:eastAsia="宋体" w:cs="Times New Roman"/>
      <w:b/>
      <w:bCs/>
      <w:sz w:val="30"/>
      <w:szCs w:val="32"/>
    </w:rPr>
  </w:style>
  <w:style w:type="character" w:customStyle="1" w:styleId="28">
    <w:name w:val="标题 1 字符"/>
    <w:link w:val="3"/>
    <w:qFormat/>
    <w:uiPriority w:val="0"/>
    <w:rPr>
      <w:rFonts w:ascii="Times New Roman" w:hAnsi="Times New Roman" w:eastAsia="宋体" w:cs="Times New Roman"/>
      <w:b/>
      <w:bCs/>
      <w:kern w:val="44"/>
      <w:sz w:val="32"/>
      <w:szCs w:val="44"/>
    </w:rPr>
  </w:style>
  <w:style w:type="character" w:customStyle="1" w:styleId="29">
    <w:name w:val="页眉 字符"/>
    <w:basedOn w:val="23"/>
    <w:link w:val="16"/>
    <w:qFormat/>
    <w:uiPriority w:val="99"/>
    <w:rPr>
      <w:rFonts w:ascii="Times New Roman" w:hAnsi="Times New Roman" w:eastAsia="宋体" w:cs="Times New Roman"/>
      <w:sz w:val="18"/>
      <w:szCs w:val="18"/>
    </w:rPr>
  </w:style>
  <w:style w:type="character" w:customStyle="1" w:styleId="30">
    <w:name w:val="页脚 字符"/>
    <w:basedOn w:val="23"/>
    <w:link w:val="15"/>
    <w:qFormat/>
    <w:uiPriority w:val="99"/>
    <w:rPr>
      <w:rFonts w:ascii="Times New Roman" w:hAnsi="Times New Roman" w:eastAsia="宋体" w:cs="Times New Roman"/>
      <w:sz w:val="18"/>
      <w:szCs w:val="18"/>
    </w:rPr>
  </w:style>
  <w:style w:type="character" w:customStyle="1" w:styleId="31">
    <w:name w:val="批注框文本 字符"/>
    <w:basedOn w:val="23"/>
    <w:link w:val="14"/>
    <w:semiHidden/>
    <w:qFormat/>
    <w:uiPriority w:val="99"/>
    <w:rPr>
      <w:rFonts w:ascii="Times New Roman" w:hAnsi="Times New Roman" w:eastAsia="宋体" w:cs="Times New Roman"/>
      <w:sz w:val="18"/>
      <w:szCs w:val="18"/>
    </w:rPr>
  </w:style>
  <w:style w:type="character" w:customStyle="1" w:styleId="32">
    <w:name w:val="图表文本 Char"/>
    <w:link w:val="33"/>
    <w:qFormat/>
    <w:uiPriority w:val="0"/>
    <w:rPr>
      <w:rFonts w:eastAsia="Times New Roman"/>
    </w:rPr>
  </w:style>
  <w:style w:type="paragraph" w:customStyle="1" w:styleId="33">
    <w:name w:val="图表文本"/>
    <w:basedOn w:val="1"/>
    <w:link w:val="32"/>
    <w:qFormat/>
    <w:uiPriority w:val="0"/>
    <w:pPr>
      <w:spacing w:line="320" w:lineRule="exact"/>
      <w:ind w:firstLine="0" w:firstLineChars="0"/>
      <w:jc w:val="center"/>
    </w:pPr>
    <w:rPr>
      <w:rFonts w:eastAsia="Times New Roman" w:asciiTheme="minorHAnsi" w:hAnsiTheme="minorHAnsi" w:cstheme="minorBidi"/>
      <w:sz w:val="21"/>
      <w:szCs w:val="22"/>
    </w:rPr>
  </w:style>
  <w:style w:type="character" w:customStyle="1" w:styleId="34">
    <w:name w:val="标题 3 字符"/>
    <w:basedOn w:val="23"/>
    <w:link w:val="5"/>
    <w:qFormat/>
    <w:uiPriority w:val="9"/>
    <w:rPr>
      <w:rFonts w:ascii="Times New Roman" w:hAnsi="Times New Roman" w:eastAsia="宋体" w:cs="Times New Roman"/>
      <w:b/>
      <w:bCs/>
      <w:sz w:val="28"/>
      <w:szCs w:val="32"/>
    </w:rPr>
  </w:style>
  <w:style w:type="character" w:customStyle="1" w:styleId="35">
    <w:name w:val="明显参考1"/>
    <w:basedOn w:val="23"/>
    <w:qFormat/>
    <w:uiPriority w:val="32"/>
    <w:rPr>
      <w:b/>
      <w:bCs/>
      <w:smallCaps/>
      <w:color w:val="C0504D" w:themeColor="accent2"/>
      <w:spacing w:val="5"/>
      <w:u w:val="single"/>
      <w14:textFill>
        <w14:solidFill>
          <w14:schemeClr w14:val="accent2"/>
        </w14:solidFill>
      </w14:textFill>
    </w:rPr>
  </w:style>
  <w:style w:type="paragraph" w:customStyle="1" w:styleId="36">
    <w:name w:val="Char Char Char"/>
    <w:basedOn w:val="1"/>
    <w:qFormat/>
    <w:uiPriority w:val="0"/>
    <w:pPr>
      <w:spacing w:line="240" w:lineRule="auto"/>
      <w:ind w:firstLine="0" w:firstLineChars="0"/>
    </w:pPr>
    <w:rPr>
      <w:rFonts w:ascii="Calibri" w:hAnsi="Calibri" w:cs="黑体"/>
      <w:sz w:val="21"/>
      <w:szCs w:val="24"/>
    </w:rPr>
  </w:style>
  <w:style w:type="paragraph" w:styleId="37">
    <w:name w:val="List Paragraph"/>
    <w:basedOn w:val="1"/>
    <w:qFormat/>
    <w:uiPriority w:val="34"/>
    <w:pPr>
      <w:ind w:firstLine="420"/>
    </w:pPr>
  </w:style>
  <w:style w:type="paragraph" w:customStyle="1" w:styleId="38">
    <w:name w:val="表头"/>
    <w:basedOn w:val="33"/>
    <w:next w:val="1"/>
    <w:qFormat/>
    <w:uiPriority w:val="0"/>
    <w:pPr>
      <w:spacing w:line="520" w:lineRule="exact"/>
      <w:jc w:val="left"/>
    </w:pPr>
    <w:rPr>
      <w:rFonts w:ascii="Times New Roman" w:hAnsi="Times New Roman" w:eastAsia="宋体" w:cs="宋体"/>
      <w:b/>
      <w:sz w:val="24"/>
    </w:rPr>
  </w:style>
  <w:style w:type="paragraph" w:customStyle="1" w:styleId="39">
    <w:name w:val="表格内容"/>
    <w:basedOn w:val="1"/>
    <w:qFormat/>
    <w:uiPriority w:val="0"/>
    <w:pPr>
      <w:autoSpaceDN w:val="0"/>
      <w:spacing w:line="240" w:lineRule="exact"/>
      <w:ind w:firstLine="0" w:firstLineChars="0"/>
      <w:jc w:val="center"/>
      <w:textAlignment w:val="center"/>
    </w:pPr>
    <w:rPr>
      <w:sz w:val="21"/>
    </w:rPr>
  </w:style>
  <w:style w:type="paragraph" w:customStyle="1" w:styleId="40">
    <w:name w:val="附图名称"/>
    <w:basedOn w:val="1"/>
    <w:qFormat/>
    <w:uiPriority w:val="0"/>
    <w:pPr>
      <w:spacing w:line="360" w:lineRule="auto"/>
      <w:ind w:firstLine="0" w:firstLineChars="0"/>
      <w:jc w:val="center"/>
    </w:pPr>
    <w:rPr>
      <w:b/>
    </w:rPr>
  </w:style>
  <w:style w:type="paragraph" w:customStyle="1" w:styleId="41">
    <w:name w:val="表格格式"/>
    <w:basedOn w:val="1"/>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sz w:val="21"/>
    </w:rPr>
  </w:style>
  <w:style w:type="paragraph" w:customStyle="1" w:styleId="42">
    <w:name w:val="（l）正文"/>
    <w:basedOn w:val="1"/>
    <w:qFormat/>
    <w:uiPriority w:val="0"/>
    <w:pPr>
      <w:spacing w:line="360" w:lineRule="auto"/>
    </w:pPr>
    <w:rPr>
      <w:rFonts w:ascii="宋体" w:hAnsi="宋体"/>
      <w:szCs w:val="24"/>
    </w:rPr>
  </w:style>
  <w:style w:type="paragraph" w:customStyle="1" w:styleId="43">
    <w:name w:val="表格标题"/>
    <w:basedOn w:val="2"/>
    <w:qFormat/>
    <w:uiPriority w:val="0"/>
    <w:pPr>
      <w:ind w:firstLine="0" w:firstLineChars="0"/>
    </w:pPr>
    <w:rPr>
      <w:b/>
      <w:color w:val="000000"/>
      <w:szCs w:val="21"/>
    </w:rPr>
  </w:style>
  <w:style w:type="paragraph" w:customStyle="1" w:styleId="44">
    <w:name w:val="表格文本"/>
    <w:basedOn w:val="1"/>
    <w:next w:val="1"/>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sz w:val="21"/>
      <w:szCs w:val="21"/>
    </w:rPr>
  </w:style>
  <w:style w:type="paragraph" w:customStyle="1" w:styleId="45">
    <w:name w:val="报告正文"/>
    <w:basedOn w:val="1"/>
    <w:qFormat/>
    <w:uiPriority w:val="0"/>
    <w:pPr>
      <w:spacing w:line="360" w:lineRule="auto"/>
      <w:ind w:firstLine="1440"/>
      <w:textAlignment w:val="baseline"/>
    </w:pPr>
  </w:style>
  <w:style w:type="paragraph" w:customStyle="1" w:styleId="46">
    <w:name w:val="B图片"/>
    <w:basedOn w:val="47"/>
    <w:qFormat/>
    <w:uiPriority w:val="0"/>
    <w:pPr>
      <w:tabs>
        <w:tab w:val="left" w:pos="7820"/>
      </w:tabs>
      <w:spacing w:before="0" w:beforeLines="0" w:after="50" w:afterLines="50"/>
    </w:pPr>
  </w:style>
  <w:style w:type="paragraph" w:customStyle="1" w:styleId="47">
    <w:name w:val="B表格"/>
    <w:basedOn w:val="1"/>
    <w:qFormat/>
    <w:uiPriority w:val="0"/>
    <w:pPr>
      <w:tabs>
        <w:tab w:val="left" w:pos="7820"/>
      </w:tabs>
      <w:spacing w:before="50" w:beforeLines="50" w:line="480" w:lineRule="exact"/>
      <w:jc w:val="center"/>
      <w:outlineLvl w:val="5"/>
    </w:pPr>
    <w:rPr>
      <w:rFonts w:ascii="黑体" w:eastAsia="黑体"/>
      <w:color w:val="000000"/>
      <w:szCs w:val="28"/>
    </w:rPr>
  </w:style>
  <w:style w:type="character" w:customStyle="1" w:styleId="48">
    <w:name w:val="font61"/>
    <w:qFormat/>
    <w:uiPriority w:val="0"/>
    <w:rPr>
      <w:rFonts w:hint="default" w:ascii="Times New Roman" w:hAnsi="Times New Roman" w:cs="Times New Roman"/>
      <w:b/>
      <w:bCs/>
      <w:color w:val="000000"/>
      <w:sz w:val="21"/>
      <w:szCs w:val="21"/>
      <w:u w:val="none"/>
      <w:vertAlign w:val="superscript"/>
    </w:rPr>
  </w:style>
  <w:style w:type="character" w:customStyle="1" w:styleId="49">
    <w:name w:val="font21"/>
    <w:basedOn w:val="23"/>
    <w:qFormat/>
    <w:uiPriority w:val="0"/>
    <w:rPr>
      <w:rFonts w:hint="default" w:ascii="Times New Roman" w:hAnsi="Times New Roman" w:cs="Times New Roman"/>
      <w:color w:val="000000"/>
      <w:sz w:val="21"/>
      <w:szCs w:val="21"/>
      <w:u w:val="none"/>
    </w:rPr>
  </w:style>
  <w:style w:type="character" w:customStyle="1" w:styleId="50">
    <w:name w:val="font01"/>
    <w:basedOn w:val="23"/>
    <w:qFormat/>
    <w:uiPriority w:val="0"/>
    <w:rPr>
      <w:rFonts w:hint="eastAsia" w:ascii="宋体" w:hAnsi="宋体" w:eastAsia="宋体" w:cs="宋体"/>
      <w:color w:val="000000"/>
      <w:sz w:val="22"/>
      <w:szCs w:val="22"/>
      <w:u w:val="none"/>
    </w:rPr>
  </w:style>
  <w:style w:type="character" w:customStyle="1" w:styleId="51">
    <w:name w:val="font11"/>
    <w:basedOn w:val="23"/>
    <w:qFormat/>
    <w:uiPriority w:val="0"/>
    <w:rPr>
      <w:rFonts w:hint="default" w:ascii="仿宋_GB2312" w:eastAsia="仿宋_GB2312" w:cs="仿宋_GB2312"/>
      <w:color w:val="000000"/>
      <w:sz w:val="21"/>
      <w:szCs w:val="21"/>
      <w:u w:val="none"/>
    </w:rPr>
  </w:style>
  <w:style w:type="character" w:customStyle="1" w:styleId="52">
    <w:name w:val="font51"/>
    <w:basedOn w:val="23"/>
    <w:qFormat/>
    <w:uiPriority w:val="0"/>
    <w:rPr>
      <w:rFonts w:ascii="仿宋_GB2312" w:eastAsia="仿宋_GB2312" w:cs="仿宋_GB2312"/>
      <w:color w:val="000000"/>
      <w:sz w:val="21"/>
      <w:szCs w:val="21"/>
      <w:u w:val="none"/>
    </w:rPr>
  </w:style>
  <w:style w:type="paragraph" w:customStyle="1" w:styleId="53">
    <w:name w:val="B表中内容"/>
    <w:basedOn w:val="54"/>
    <w:qFormat/>
    <w:uiPriority w:val="0"/>
    <w:pPr>
      <w:tabs>
        <w:tab w:val="left" w:pos="7820"/>
      </w:tabs>
    </w:pPr>
  </w:style>
  <w:style w:type="paragraph" w:customStyle="1" w:styleId="54">
    <w:name w:val="B表内容"/>
    <w:basedOn w:val="1"/>
    <w:qFormat/>
    <w:uiPriority w:val="0"/>
    <w:pPr>
      <w:tabs>
        <w:tab w:val="left" w:pos="7820"/>
      </w:tabs>
      <w:spacing w:line="240" w:lineRule="atLeast"/>
      <w:jc w:val="center"/>
    </w:pPr>
    <w:rPr>
      <w:rFonts w:ascii="仿宋_GB2312" w:eastAsia="仿宋_GB2312"/>
      <w:color w:val="000000"/>
      <w:sz w:val="18"/>
      <w:szCs w:val="18"/>
    </w:rPr>
  </w:style>
  <w:style w:type="paragraph" w:customStyle="1" w:styleId="55">
    <w:name w:val="表格"/>
    <w:basedOn w:val="1"/>
    <w:qFormat/>
    <w:uiPriority w:val="0"/>
    <w:pPr>
      <w:spacing w:line="360" w:lineRule="auto"/>
      <w:jc w:val="center"/>
    </w:pPr>
  </w:style>
  <w:style w:type="paragraph" w:customStyle="1" w:styleId="56">
    <w:name w:val="L正文"/>
    <w:basedOn w:val="57"/>
    <w:qFormat/>
    <w:uiPriority w:val="0"/>
    <w:pPr>
      <w:ind w:firstLine="480"/>
    </w:pPr>
  </w:style>
  <w:style w:type="paragraph" w:customStyle="1" w:styleId="57">
    <w:name w:val="lian"/>
    <w:basedOn w:val="1"/>
    <w:qFormat/>
    <w:uiPriority w:val="0"/>
    <w:pPr>
      <w:adjustRightInd w:val="0"/>
    </w:pPr>
  </w:style>
  <w:style w:type="paragraph" w:customStyle="1" w:styleId="58">
    <w:name w:val="正文仿宋_GB2312"/>
    <w:basedOn w:val="1"/>
    <w:qFormat/>
    <w:uiPriority w:val="0"/>
    <w:pPr>
      <w:ind w:firstLine="560"/>
      <w:jc w:val="left"/>
    </w:pPr>
    <w:rPr>
      <w:rFonts w:ascii="仿宋_GB2312" w:hAnsi="黑体" w:eastAsia="仿宋_GB2312"/>
      <w:szCs w:val="21"/>
    </w:rPr>
  </w:style>
  <w:style w:type="paragraph" w:customStyle="1" w:styleId="59">
    <w:name w:val="！表格"/>
    <w:basedOn w:val="1"/>
    <w:next w:val="1"/>
    <w:qFormat/>
    <w:uiPriority w:val="0"/>
    <w:pPr>
      <w:widowControl/>
      <w:jc w:val="center"/>
    </w:pPr>
    <w:rPr>
      <w:kern w:val="0"/>
      <w:sz w:val="21"/>
      <w:szCs w:val="21"/>
    </w:rPr>
  </w:style>
  <w:style w:type="paragraph" w:customStyle="1" w:styleId="60">
    <w:name w:val="Table Paragraph"/>
    <w:basedOn w:val="1"/>
    <w:qFormat/>
    <w:uiPriority w:val="1"/>
    <w:pPr>
      <w:jc w:val="center"/>
    </w:pPr>
    <w:rPr>
      <w:rFonts w:ascii="宋体" w:hAnsi="宋体" w:cs="宋体"/>
      <w:lang w:val="zh-CN" w:bidi="zh-CN"/>
    </w:rPr>
  </w:style>
  <w:style w:type="character" w:customStyle="1" w:styleId="61">
    <w:name w:val="font31"/>
    <w:basedOn w:val="23"/>
    <w:qFormat/>
    <w:uiPriority w:val="0"/>
    <w:rPr>
      <w:rFonts w:hint="default" w:ascii="Times New Roman" w:hAnsi="Times New Roman" w:cs="Times New Roman"/>
      <w:color w:val="FF0000"/>
      <w:sz w:val="21"/>
      <w:szCs w:val="21"/>
      <w:u w:val="none"/>
      <w:vertAlign w:val="superscript"/>
    </w:rPr>
  </w:style>
  <w:style w:type="paragraph" w:customStyle="1" w:styleId="62">
    <w:name w:val="图表"/>
    <w:basedOn w:val="9"/>
    <w:qFormat/>
    <w:uiPriority w:val="0"/>
    <w:pPr>
      <w:ind w:firstLine="482" w:firstLineChars="0"/>
      <w:jc w:val="center"/>
    </w:pPr>
    <w:rPr>
      <w:rFonts w:ascii="Times New Roman" w:hAnsi="Times New Roman" w:eastAsia="Times New Roman"/>
      <w:b/>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2.png"/><Relationship Id="rId37" Type="http://schemas.openxmlformats.org/officeDocument/2006/relationships/oleObject" Target="embeddings/oleObject3.bin"/><Relationship Id="rId36" Type="http://schemas.openxmlformats.org/officeDocument/2006/relationships/image" Target="media/image21.wmf"/><Relationship Id="rId35" Type="http://schemas.openxmlformats.org/officeDocument/2006/relationships/oleObject" Target="embeddings/oleObject2.bin"/><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image" Target="media/image12.wmf"/><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chart" Target="charts/chart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020&#24180;&#39033;&#30446;\34-&#20061;&#40857;&#22253;&#21306;&#22495;&#27700;&#36164;&#28304;&#35770;&#35777;\0-&#36865;&#23457;&#31295;\&#20061;&#40857;&#22253;&#21306;&#224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[九龙园区域.xlsx]需水量计算!$N$67</c:f>
              <c:strCache>
                <c:ptCount val="1"/>
                <c:pt idx="0">
                  <c:v>指标(万m3/d)</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856698963430959"/>
                  <c:y val="0.090523744703684"/>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897222222222222"/>
                      <c:h val="0.092361111111111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[九龙园区域.xlsx]需水量计算!$O$66:$S$66</c:f>
              <c:strCache>
                <c:ptCount val="5"/>
                <c:pt idx="0">
                  <c:v>生活综合需水</c:v>
                </c:pt>
                <c:pt idx="1">
                  <c:v>工业企业需水</c:v>
                </c:pt>
                <c:pt idx="2">
                  <c:v>道路绿地浇洒需水</c:v>
                </c:pt>
                <c:pt idx="3">
                  <c:v>管网渗漏水量</c:v>
                </c:pt>
                <c:pt idx="4">
                  <c:v>未预见水量</c:v>
                </c:pt>
              </c:strCache>
            </c:strRef>
          </c:cat>
          <c:val>
            <c:numRef>
              <c:f>[九龙园区域.xlsx]需水量计算!$O$67:$S$67</c:f>
              <c:numCache>
                <c:formatCode>0.00_ </c:formatCode>
                <c:ptCount val="5"/>
                <c:pt idx="0">
                  <c:v>863.504606280606</c:v>
                </c:pt>
                <c:pt idx="1">
                  <c:v>1755.22</c:v>
                </c:pt>
                <c:pt idx="2">
                  <c:v>455.46525</c:v>
                </c:pt>
                <c:pt idx="3">
                  <c:v>276.677087065255</c:v>
                </c:pt>
                <c:pt idx="4">
                  <c:v>335.086694334586</c:v>
                </c:pt>
              </c:numCache>
            </c:numRef>
          </c:val>
        </c:ser>
        <c:ser>
          <c:idx val="1"/>
          <c:order val="1"/>
          <c:tx>
            <c:strRef>
              <c:f>[九龙园区域.xlsx]需水量计算!$N$68</c:f>
              <c:strCache>
                <c:ptCount val="1"/>
                <c:pt idx="0">
                  <c:v>所占比例(%)</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[九龙园区域.xlsx]需水量计算!$O$66:$S$66</c:f>
              <c:strCache>
                <c:ptCount val="5"/>
                <c:pt idx="0">
                  <c:v>生活综合需水</c:v>
                </c:pt>
                <c:pt idx="1">
                  <c:v>工业企业需水</c:v>
                </c:pt>
                <c:pt idx="2">
                  <c:v>道路绿地浇洒需水</c:v>
                </c:pt>
                <c:pt idx="3">
                  <c:v>管网渗漏水量</c:v>
                </c:pt>
                <c:pt idx="4">
                  <c:v>未预见水量</c:v>
                </c:pt>
              </c:strCache>
            </c:strRef>
          </c:cat>
          <c:val>
            <c:numRef>
              <c:f>[九龙园区域.xlsx]需水量计算!$O$68:$S$68</c:f>
              <c:numCache>
                <c:formatCode>0%</c:formatCode>
                <c:ptCount val="5"/>
                <c:pt idx="0">
                  <c:v>0.23426898196799</c:v>
                </c:pt>
                <c:pt idx="1">
                  <c:v>0.476191556523362</c:v>
                </c:pt>
                <c:pt idx="2">
                  <c:v>0.123567818472785</c:v>
                </c:pt>
                <c:pt idx="3">
                  <c:v>0.0750625521267723</c:v>
                </c:pt>
                <c:pt idx="4">
                  <c:v>0.0909090909090909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972222222222"/>
          <c:y val="0.268518518518519"/>
          <c:w val="0.267361111111111"/>
          <c:h val="0.4291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729ef02-d510-4057-9a4a-5da6de6ef4a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167</Pages>
  <Words>13276</Words>
  <Characters>15378</Characters>
  <Lines>926</Lines>
  <Paragraphs>260</Paragraphs>
  <TotalTime>26</TotalTime>
  <ScaleCrop>false</ScaleCrop>
  <LinksUpToDate>false</LinksUpToDate>
  <CharactersWithSpaces>16794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2021-03-09T02:24:00Z</dcterms:created>
  <dc:creator>Administrator</dc:creator>
  <cp:lastModifiedBy>silence</cp:lastModifiedBy>
  <cp:lastPrinted>2021-05-19T02:25:00Z</cp:lastPrinted>
  <dcterms:modified xsi:type="dcterms:W3CDTF">2026-06-17T06:48:35Z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137281EF32B6481FAD009EDE8A816322</vt:lpwstr>
  </property>
  <property fmtid="{D5CDD505-2E9C-101B-9397-08002B2CF9AE}" pid="4" name="KSOSaveFontToCloudKey">
    <vt:lpwstr>768829089_btnclosed</vt:lpwstr>
  </property>
  <property fmtid="{D5CDD505-2E9C-101B-9397-08002B2CF9AE}" pid="5" name="KSOTemplateDocerSaveRecord">
    <vt:lpwstr>eyJoZGlkIjoiZjRmYWUxOWJhMWE5OGFmZGQyNzA0NjBkZTNhOGRjMDEiLCJ1c2VySWQiOiIyNDg4ODMzNzUifQ==</vt:lpwstr>
  </property>
</Properties>
</file>